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40" w:lineRule="exact"/>
        <w:jc w:val="left"/>
        <w:textAlignment w:val="baseline"/>
        <w:rPr>
          <w:rFonts w:ascii="微软雅黑" w:hAnsi="微软雅黑" w:eastAsia="微软雅黑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ind w:firstLine="0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健康家风故事征集活动方案</w:t>
      </w:r>
    </w:p>
    <w:p>
      <w:pPr>
        <w:spacing w:line="560" w:lineRule="exact"/>
        <w:ind w:firstLine="640"/>
        <w:textAlignment w:val="baseline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after="120" w:line="560" w:lineRule="exact"/>
        <w:ind w:firstLine="640"/>
        <w:textAlignment w:val="baseline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一、征集范围</w:t>
      </w:r>
    </w:p>
    <w:p>
      <w:pPr>
        <w:spacing w:line="560" w:lineRule="exact"/>
        <w:ind w:firstLine="640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面向全国广大家庭，征集和推介一批传统健康家风故事和新时代健康家风故事。</w:t>
      </w:r>
    </w:p>
    <w:p>
      <w:pPr>
        <w:spacing w:after="120" w:line="560" w:lineRule="exact"/>
        <w:ind w:firstLine="640"/>
        <w:textAlignment w:val="baseline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二、案例分类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1.传统健康家风故事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挖掘家族世代传承、历史悠久的经典家规家训家风，包括传统健康家风的起源、历史沿革、特色和亮点等，生动简洁、脉络清晰，突出家风与健康的关系，呈现时代感和现时意义。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2.新时代健康家风故事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展示新时代家规家训家风，符合社会主义核心价值观，内容真实、健康向上、富有内涵、特色鲜明，展现新时代健康家风元素，以小家故事浸润社会风尚。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（1）同心抗疫类。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在新冠肺炎疫情防控期间，积极投身疫情防控工作，展现忠诚履职、勇于奉献、小家大爱的家国情怀，弘扬相亲相爱、守望相助的传统美德。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（2）美丽庭院类。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净化美化居家环境，清新空气，定期开展卫生大扫除，自觉参与城乡环境卫生整洁行动，落实垃圾分类，绿色低碳出行，使用环保用品，打造绿色整洁人居环境。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（3）健康传播类。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具备良好健康素养和健康素质，掌握一定的健康知识与技能，积极宣传健康知识、健康理念与健康生活方式，拥有突出的健康影响力。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highlight w:val="white"/>
        </w:rPr>
        <w:t>（4）合理膳食类。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倡导居家饮食，按需备餐，做到节约精致、杜绝浪费，注重营养均衡，融入养生保健等特色，根据个人健康情况合理搭配食物，倡导减盐、减油、减糖，健康烹调，弘扬我国优良饮食文化。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highlight w:val="white"/>
        </w:rPr>
        <w:t>（5）戒烟限酒类。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充分了解吸烟和二手烟暴露的严重危害，创建无烟家庭，限制饮酒，不劝酒、不斗酒、不酗酒，自觉控烟限酒，鼓励并帮助吸烟饮酒者戒烟戒酒。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highlight w:val="white"/>
        </w:rPr>
        <w:t>（6）健身互助类。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了解和掌握全民健身、身体活动相关知识，掌握运动技能，培养运动习惯，保持健康体重，吃动平衡，起居有常，科学运动避免运动风险。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highlight w:val="white"/>
        </w:rPr>
        <w:t>（7）阳光心理类。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树立心理健康意识，保持积极健康的情绪，使用科学的方法缓解压力，调畅情志，重视睡眠健康，拥有良好的家庭氛围和融洽的家庭关系。 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highlight w:val="white"/>
        </w:rPr>
        <w:t>（8）优生优育类。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了解并掌握优生优育知识，主动参加婚检和孕前优生检查，践行适龄婚育、生殖健康、科学孕育，营造崇尚科学、健康生育的家庭氛围。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（9）中医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eastAsia="zh-CN"/>
        </w:rPr>
        <w:t>养生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了解中医药养生保健知识和方法，调摄情志、均衡营养、调节起居、适量运动，养成健康生活习惯，乐享幸福家庭生活。</w:t>
      </w:r>
    </w:p>
    <w:p>
      <w:pPr>
        <w:spacing w:after="120" w:line="560" w:lineRule="exact"/>
        <w:ind w:firstLine="640"/>
        <w:textAlignment w:val="baseline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报送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要求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请各省（自治区、直辖市）、计划单列市、新疆生产建设兵团计生协，根据本地健康家庭创建工作情况，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会同当地活动组织单位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选10个健康家风故事（应当同时包括传统健康家风故事和新时代健康家风故事，且新时代家风故事每个类别至少有一个案例），于9月30日前将《健康家风故事推荐表》（加盖公章的扫描件）及申报事迹相关视频（MP4格式）、图片（不小于800KB）等以电子邮件形式发送至中国家庭报社汇总（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"mailto:syfz@cfnews.org.cn"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syfz@cfnews.org.cn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），中国计生协将联合主办单位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评审。</w:t>
      </w:r>
    </w:p>
    <w:p>
      <w:pPr>
        <w:spacing w:after="120" w:line="560" w:lineRule="exact"/>
        <w:ind w:firstLine="640"/>
        <w:textAlignment w:val="baseline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四、宣传推广</w:t>
      </w:r>
    </w:p>
    <w:p>
      <w:pPr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各主办单位宣传渠道以及健康中国行动网站、中国家庭报社全媒体矩阵等平台对健康家风故事予以宣传推广，适时联合知名互联网新媒体平台开展专题推介活动，并在2022年度中国家庭健康大会上集中展示优秀案例。</w:t>
      </w:r>
    </w:p>
    <w:p>
      <w:pPr>
        <w:spacing w:after="120" w:line="560" w:lineRule="exact"/>
        <w:jc w:val="center"/>
        <w:textAlignment w:val="baseline"/>
        <w:rPr>
          <w:rFonts w:ascii="宋体" w:hAnsi="宋体" w:cs="仿宋"/>
          <w:b/>
          <w:color w:val="000000"/>
          <w:sz w:val="44"/>
          <w:szCs w:val="44"/>
        </w:rPr>
      </w:pPr>
      <w:r>
        <w:rPr>
          <w:rFonts w:ascii="仿宋" w:hAnsi="仿宋" w:eastAsia="仿宋" w:cs="仿宋"/>
          <w:color w:val="00000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健康家风故事推荐表</w:t>
      </w:r>
    </w:p>
    <w:tbl>
      <w:tblPr>
        <w:tblStyle w:val="2"/>
        <w:tblW w:w="90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551"/>
        <w:gridCol w:w="1124"/>
        <w:gridCol w:w="132"/>
        <w:gridCol w:w="1257"/>
        <w:gridCol w:w="1132"/>
        <w:gridCol w:w="818"/>
        <w:gridCol w:w="603"/>
        <w:gridCol w:w="16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9080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textAlignment w:val="baseline"/>
              <w:rPr>
                <w:rFonts w:ascii="CESI_FS_GB2312" w:hAnsi="CESI_FS_GB2312" w:eastAsia="CESI_FS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b/>
                <w:color w:val="000000"/>
                <w:sz w:val="28"/>
                <w:szCs w:val="28"/>
              </w:rPr>
              <w:t>省级报送单位（盖章）：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报送单位名称</w:t>
            </w:r>
          </w:p>
        </w:tc>
        <w:tc>
          <w:tcPr>
            <w:tcW w:w="66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667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  <w:lang w:eastAsia="zh-CN"/>
              </w:rPr>
              <w:t>推荐家庭文明诚信守法情况</w:t>
            </w:r>
          </w:p>
        </w:tc>
        <w:tc>
          <w:tcPr>
            <w:tcW w:w="22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67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（精确到门牌号）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9080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b/>
                <w:color w:val="000000"/>
                <w:sz w:val="28"/>
                <w:szCs w:val="28"/>
              </w:rPr>
              <w:t>健康家风故事信息登记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家庭代表姓名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家庭人口数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16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40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67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（精确到门牌号）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85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家庭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主要成员（含家庭代表）</w:t>
            </w: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  <w:tc>
          <w:tcPr>
            <w:tcW w:w="41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健康家风故事</w:t>
            </w:r>
          </w:p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6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9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健康家风口号</w:t>
            </w:r>
          </w:p>
        </w:tc>
        <w:tc>
          <w:tcPr>
            <w:tcW w:w="6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（用一句话总结表述健康家风故事）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1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健康家风故事概述</w:t>
            </w:r>
          </w:p>
        </w:tc>
        <w:tc>
          <w:tcPr>
            <w:tcW w:w="6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50" w:after="50" w:line="560" w:lineRule="exact"/>
              <w:jc w:val="center"/>
              <w:textAlignment w:val="baseline"/>
              <w:rPr>
                <w:rFonts w:ascii="CESI_FS_GB2312" w:hAnsi="CESI_FS_GB2312" w:eastAsia="CESI_FS_GB2312" w:cs="仿宋"/>
                <w:color w:val="000000"/>
                <w:sz w:val="28"/>
                <w:szCs w:val="28"/>
              </w:rPr>
            </w:pPr>
            <w:r>
              <w:rPr>
                <w:rFonts w:hint="eastAsia" w:ascii="CESI_FS_GB2312" w:hAnsi="CESI_FS_GB2312" w:eastAsia="CESI_FS_GB2312" w:cs="仿宋"/>
                <w:color w:val="000000"/>
                <w:sz w:val="28"/>
                <w:szCs w:val="28"/>
              </w:rPr>
              <w:t>（800字以内，可另附页）</w:t>
            </w:r>
          </w:p>
        </w:tc>
      </w:tr>
    </w:tbl>
    <w:p>
      <w:pPr>
        <w:widowControl/>
        <w:spacing w:line="320" w:lineRule="exact"/>
        <w:textAlignment w:val="baseline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特别提示：报送单位报送健康家风故事案例及相关图片、视频等资料须征得被推荐家庭同意，报送资料必须为被推荐家庭的真实资料，如侵犯肖像权、名誉权、隐私权、著作权、商标权及其他创作权益等，涉及法律责任由报送单位承担。案例提交即视为报送单位授权主办方对报送案例及其相关图片、视频等资料进行相关形式的推广使用，包括但不限于在广播、网络、手机、电视等各信息网络终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_FS_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YjI5NDIyMjE3NGQwZGE0NmFlOTViMzY0MzhmZDAifQ=="/>
  </w:docVars>
  <w:rsids>
    <w:rsidRoot w:val="16EF0E9A"/>
    <w:rsid w:val="16EF0E9A"/>
    <w:rsid w:val="574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1228</Characters>
  <Lines>0</Lines>
  <Paragraphs>0</Paragraphs>
  <TotalTime>0</TotalTime>
  <ScaleCrop>false</ScaleCrop>
  <LinksUpToDate>false</LinksUpToDate>
  <CharactersWithSpaces>1229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2022-07-01T07:12:00Z</dcterms:created>
  <dc:creator>南山客</dc:creator>
  <cp:lastModifiedBy>南山客</cp:lastModifiedBy>
  <dcterms:modified xsi:type="dcterms:W3CDTF">2022-07-01T07:13:28Z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CDDD1D4D95EF457F898CF6654A20109E</vt:lpwstr>
  </property>
</Properties>
</file>