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D711">
      <w:bookmarkStart w:id="0" w:name="_GoBack"/>
      <w:bookmarkEnd w:id="0"/>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A4BF8C6">
        <w:trPr>
          <w:tblCellSpacing w:w="0" w:type="dxa"/>
        </w:trPr>
        <w:tc>
          <w:tcPr>
            <w:tcW w:w="0" w:type="auto"/>
            <w:vAlign w:val="center"/>
          </w:tcPr>
          <w:p w14:paraId="0EA21FC1">
            <w:r>
              <w:rPr>
                <w:rStyle w:val="10"/>
                <w:rFonts w:hint="eastAsia"/>
              </w:rPr>
              <w:t>登记证号：</w:t>
            </w:r>
            <w:r>
              <w:rPr>
                <w:rFonts w:hint="eastAsia"/>
              </w:rPr>
              <w:t>PD20160069</w:t>
            </w:r>
          </w:p>
        </w:tc>
      </w:tr>
      <w:tr w14:paraId="081BF41E">
        <w:tblPrEx>
          <w:tblCellMar>
            <w:top w:w="0" w:type="dxa"/>
            <w:left w:w="0" w:type="dxa"/>
            <w:bottom w:w="0" w:type="dxa"/>
            <w:right w:w="0" w:type="dxa"/>
          </w:tblCellMar>
        </w:tblPrEx>
        <w:trPr>
          <w:tblCellSpacing w:w="0" w:type="dxa"/>
        </w:trPr>
        <w:tc>
          <w:tcPr>
            <w:tcW w:w="0" w:type="auto"/>
            <w:vAlign w:val="center"/>
          </w:tcPr>
          <w:p w14:paraId="67868C42">
            <w:r>
              <w:rPr>
                <w:rStyle w:val="10"/>
                <w:rFonts w:hint="eastAsia"/>
              </w:rPr>
              <w:t>登记证持有人：</w:t>
            </w:r>
            <w:r>
              <w:rPr>
                <w:rFonts w:hint="eastAsia"/>
              </w:rPr>
              <w:t>江西华兴化工有限公司</w:t>
            </w:r>
          </w:p>
        </w:tc>
      </w:tr>
      <w:tr w14:paraId="224BDAF0">
        <w:tblPrEx>
          <w:tblCellMar>
            <w:top w:w="0" w:type="dxa"/>
            <w:left w:w="0" w:type="dxa"/>
            <w:bottom w:w="0" w:type="dxa"/>
            <w:right w:w="0" w:type="dxa"/>
          </w:tblCellMar>
        </w:tblPrEx>
        <w:trPr>
          <w:tblCellSpacing w:w="0" w:type="dxa"/>
        </w:trPr>
        <w:tc>
          <w:tcPr>
            <w:tcW w:w="0" w:type="auto"/>
            <w:vAlign w:val="center"/>
          </w:tcPr>
          <w:p w14:paraId="34B8C79E">
            <w:r>
              <w:rPr>
                <w:rStyle w:val="10"/>
                <w:rFonts w:hint="eastAsia"/>
              </w:rPr>
              <w:t>农药名称：</w:t>
            </w:r>
            <w:r>
              <w:rPr>
                <w:rFonts w:hint="eastAsia"/>
              </w:rPr>
              <w:t>苯丁锡</w:t>
            </w:r>
          </w:p>
        </w:tc>
      </w:tr>
      <w:tr w14:paraId="2311AAF5">
        <w:tblPrEx>
          <w:tblCellMar>
            <w:top w:w="0" w:type="dxa"/>
            <w:left w:w="0" w:type="dxa"/>
            <w:bottom w:w="0" w:type="dxa"/>
            <w:right w:w="0" w:type="dxa"/>
          </w:tblCellMar>
        </w:tblPrEx>
        <w:trPr>
          <w:tblCellSpacing w:w="0" w:type="dxa"/>
        </w:trPr>
        <w:tc>
          <w:tcPr>
            <w:tcW w:w="0" w:type="auto"/>
            <w:vAlign w:val="center"/>
          </w:tcPr>
          <w:p w14:paraId="5F7F51B1">
            <w:r>
              <w:rPr>
                <w:rStyle w:val="10"/>
                <w:rFonts w:hint="eastAsia"/>
              </w:rPr>
              <w:t>剂型：</w:t>
            </w:r>
            <w:r>
              <w:rPr>
                <w:rFonts w:hint="eastAsia"/>
              </w:rPr>
              <w:t>悬浮剂</w:t>
            </w:r>
          </w:p>
        </w:tc>
      </w:tr>
      <w:tr w14:paraId="7A3EB3B6">
        <w:tblPrEx>
          <w:tblCellMar>
            <w:top w:w="0" w:type="dxa"/>
            <w:left w:w="0" w:type="dxa"/>
            <w:bottom w:w="0" w:type="dxa"/>
            <w:right w:w="0" w:type="dxa"/>
          </w:tblCellMar>
        </w:tblPrEx>
        <w:trPr>
          <w:tblCellSpacing w:w="0" w:type="dxa"/>
        </w:trPr>
        <w:tc>
          <w:tcPr>
            <w:tcW w:w="0" w:type="auto"/>
            <w:vAlign w:val="center"/>
          </w:tcPr>
          <w:p w14:paraId="72798961">
            <w:r>
              <w:rPr>
                <w:rStyle w:val="10"/>
                <w:rFonts w:hint="eastAsia"/>
              </w:rPr>
              <w:t>毒性及其标识：</w:t>
            </w:r>
            <w:r>
              <w:rPr>
                <w:rFonts w:hint="eastAsia"/>
              </w:rPr>
              <w:t xml:space="preserve"> </w:t>
            </w:r>
            <w:r>
              <w:drawing>
                <wp:inline distT="0" distB="0" distL="0" distR="0">
                  <wp:extent cx="474345" cy="323850"/>
                  <wp:effectExtent l="0" t="0" r="1905"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360B2531">
        <w:tblPrEx>
          <w:tblCellMar>
            <w:top w:w="0" w:type="dxa"/>
            <w:left w:w="0" w:type="dxa"/>
            <w:bottom w:w="0" w:type="dxa"/>
            <w:right w:w="0" w:type="dxa"/>
          </w:tblCellMar>
        </w:tblPrEx>
        <w:trPr>
          <w:tblCellSpacing w:w="0" w:type="dxa"/>
        </w:trPr>
        <w:tc>
          <w:tcPr>
            <w:tcW w:w="0" w:type="auto"/>
            <w:vAlign w:val="center"/>
          </w:tcPr>
          <w:p w14:paraId="43686B8B">
            <w:r>
              <w:rPr>
                <w:rStyle w:val="10"/>
                <w:rFonts w:hint="eastAsia"/>
              </w:rPr>
              <w:t>总有效成分含量：</w:t>
            </w:r>
            <w:r>
              <w:rPr>
                <w:rFonts w:hint="eastAsia"/>
              </w:rPr>
              <w:t>20%</w:t>
            </w:r>
          </w:p>
        </w:tc>
      </w:tr>
      <w:tr w14:paraId="4C25302D">
        <w:tblPrEx>
          <w:tblCellMar>
            <w:top w:w="0" w:type="dxa"/>
            <w:left w:w="0" w:type="dxa"/>
            <w:bottom w:w="0" w:type="dxa"/>
            <w:right w:w="0" w:type="dxa"/>
          </w:tblCellMar>
        </w:tblPrEx>
        <w:trPr>
          <w:tblCellSpacing w:w="0" w:type="dxa"/>
        </w:trPr>
        <w:tc>
          <w:tcPr>
            <w:tcW w:w="0" w:type="auto"/>
            <w:vAlign w:val="center"/>
          </w:tcPr>
          <w:p w14:paraId="74C450F9">
            <w:r>
              <w:rPr>
                <w:rFonts w:hint="eastAsia"/>
              </w:rPr>
              <w:t xml:space="preserve">有效成分及其含量： </w:t>
            </w:r>
          </w:p>
          <w:p w14:paraId="242BED1F">
            <w:r>
              <w:rPr>
                <w:rFonts w:hint="eastAsia"/>
              </w:rPr>
              <w:t xml:space="preserve">    苯丁锡20%    </w:t>
            </w:r>
          </w:p>
        </w:tc>
      </w:tr>
      <w:tr w14:paraId="1B35CF2E">
        <w:tblPrEx>
          <w:tblCellMar>
            <w:top w:w="0" w:type="dxa"/>
            <w:left w:w="0" w:type="dxa"/>
            <w:bottom w:w="0" w:type="dxa"/>
            <w:right w:w="0" w:type="dxa"/>
          </w:tblCellMar>
        </w:tblPrEx>
        <w:trPr>
          <w:tblCellSpacing w:w="0" w:type="dxa"/>
        </w:trPr>
        <w:tc>
          <w:tcPr>
            <w:tcW w:w="0" w:type="auto"/>
            <w:vAlign w:val="center"/>
          </w:tcPr>
          <w:p w14:paraId="78B080D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2709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6D6BE18">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C283F3">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58F4486">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A2271A">
                  <w:r>
                    <w:rPr>
                      <w:rStyle w:val="11"/>
                      <w:rFonts w:hint="eastAsia"/>
                    </w:rPr>
                    <w:t>施用方式</w:t>
                  </w:r>
                </w:p>
              </w:tc>
            </w:tr>
            <w:tr w14:paraId="3A825E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A6A57B">
                  <w:r>
                    <w:rPr>
                      <w:rStyle w:val="11"/>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4177B14">
                  <w:r>
                    <w:rPr>
                      <w:rStyle w:val="11"/>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440F8194">
                  <w:r>
                    <w:rPr>
                      <w:rStyle w:val="11"/>
                      <w:rFonts w:hint="eastAsia"/>
                    </w:rPr>
                    <w:t>稀释800-1200倍液</w:t>
                  </w:r>
                </w:p>
              </w:tc>
              <w:tc>
                <w:tcPr>
                  <w:tcW w:w="0" w:type="auto"/>
                  <w:tcBorders>
                    <w:top w:val="outset" w:color="auto" w:sz="6" w:space="0"/>
                    <w:left w:val="outset" w:color="auto" w:sz="6" w:space="0"/>
                    <w:bottom w:val="outset" w:color="auto" w:sz="6" w:space="0"/>
                    <w:right w:val="outset" w:color="auto" w:sz="6" w:space="0"/>
                  </w:tcBorders>
                  <w:vAlign w:val="center"/>
                </w:tcPr>
                <w:p w14:paraId="65DE978B">
                  <w:r>
                    <w:rPr>
                      <w:rStyle w:val="11"/>
                      <w:rFonts w:hint="eastAsia"/>
                    </w:rPr>
                    <w:t>喷雾</w:t>
                  </w:r>
                </w:p>
              </w:tc>
            </w:tr>
          </w:tbl>
          <w:p w14:paraId="3ADFA0DB">
            <w:pPr>
              <w:rPr>
                <w:rFonts w:ascii="Times New Roman" w:hAnsi="Times New Roman" w:cs="Times New Roman"/>
                <w:sz w:val="20"/>
                <w:szCs w:val="20"/>
              </w:rPr>
            </w:pPr>
          </w:p>
        </w:tc>
      </w:tr>
      <w:tr w14:paraId="2E43BAFD">
        <w:tblPrEx>
          <w:tblCellMar>
            <w:top w:w="0" w:type="dxa"/>
            <w:left w:w="0" w:type="dxa"/>
            <w:bottom w:w="0" w:type="dxa"/>
            <w:right w:w="0" w:type="dxa"/>
          </w:tblCellMar>
        </w:tblPrEx>
        <w:trPr>
          <w:tblCellSpacing w:w="0" w:type="dxa"/>
        </w:trPr>
        <w:tc>
          <w:tcPr>
            <w:tcW w:w="0" w:type="auto"/>
            <w:vAlign w:val="center"/>
          </w:tcPr>
          <w:p w14:paraId="57ED9685">
            <w:r>
              <w:rPr>
                <w:rStyle w:val="10"/>
                <w:rFonts w:hint="eastAsia"/>
              </w:rPr>
              <w:t>使用技术要求:</w:t>
            </w:r>
            <w:r>
              <w:rPr>
                <w:rFonts w:hint="eastAsia"/>
              </w:rPr>
              <w:br w:type="textWrapping"/>
            </w:r>
            <w:r>
              <w:rPr>
                <w:rStyle w:val="11"/>
                <w:rFonts w:hint="eastAsia"/>
              </w:rPr>
              <w:t>1、应于柑橘树红蜘蛛若螨始盛期施药，施用时应使作物叶片正反面、果实表面以及树干、枝条等充分均匀着药。2、大风天或预计1小时内有雨，请勿施药。3、在柑橘树上安全间隔期30天，每季最多使用2次。</w:t>
            </w:r>
          </w:p>
        </w:tc>
      </w:tr>
      <w:tr w14:paraId="5B92FF27">
        <w:tblPrEx>
          <w:tblCellMar>
            <w:top w:w="0" w:type="dxa"/>
            <w:left w:w="0" w:type="dxa"/>
            <w:bottom w:w="0" w:type="dxa"/>
            <w:right w:w="0" w:type="dxa"/>
          </w:tblCellMar>
        </w:tblPrEx>
        <w:trPr>
          <w:tblCellSpacing w:w="0" w:type="dxa"/>
        </w:trPr>
        <w:tc>
          <w:tcPr>
            <w:tcW w:w="0" w:type="auto"/>
            <w:vAlign w:val="center"/>
          </w:tcPr>
          <w:p w14:paraId="0DC0110A">
            <w:r>
              <w:rPr>
                <w:rStyle w:val="10"/>
                <w:rFonts w:hint="eastAsia"/>
              </w:rPr>
              <w:t>产品性能:</w:t>
            </w:r>
            <w:r>
              <w:rPr>
                <w:rFonts w:hint="eastAsia"/>
              </w:rPr>
              <w:br w:type="textWrapping"/>
            </w:r>
            <w:r>
              <w:rPr>
                <w:rStyle w:val="11"/>
                <w:rFonts w:hint="eastAsia"/>
              </w:rPr>
              <w:t>本品属感温型杀螨剂，可通过抑制氧化磷酸化过程来干扰ATP的合成，具有触杀和胃毒作用，可用于防治柑橘树红蜘蛛。</w:t>
            </w:r>
          </w:p>
        </w:tc>
      </w:tr>
      <w:tr w14:paraId="19767E64">
        <w:tblPrEx>
          <w:tblCellMar>
            <w:top w:w="0" w:type="dxa"/>
            <w:left w:w="0" w:type="dxa"/>
            <w:bottom w:w="0" w:type="dxa"/>
            <w:right w:w="0" w:type="dxa"/>
          </w:tblCellMar>
        </w:tblPrEx>
        <w:trPr>
          <w:tblCellSpacing w:w="0" w:type="dxa"/>
        </w:trPr>
        <w:tc>
          <w:tcPr>
            <w:tcW w:w="0" w:type="auto"/>
            <w:vAlign w:val="center"/>
          </w:tcPr>
          <w:p w14:paraId="1574C38B">
            <w:r>
              <w:rPr>
                <w:rStyle w:val="10"/>
                <w:rFonts w:hint="eastAsia"/>
              </w:rPr>
              <w:t>注意事项：</w:t>
            </w:r>
            <w:r>
              <w:rPr>
                <w:rFonts w:hint="eastAsia"/>
              </w:rPr>
              <w:br w:type="textWrapping"/>
            </w:r>
            <w:r>
              <w:rPr>
                <w:rStyle w:val="11"/>
                <w:rFonts w:hint="eastAsia"/>
              </w:rPr>
              <w:t>1、本品对鱼、水蚤、藻类等水生生物以及家蚕有毒，对赤眼蜂有风险，远离水产养殖区、河塘等水体施药，赤眼蜂（或其他代表性天敌）等天敌放飞区域禁用，蚕室及桑园附近禁用，禁止在河塘等水体中清洗施药器具。清洗施药器具的水也不能排入河塘等水体。2、使用本品应采取相应的安全防护措施，穿靴子、长袖上衣和长裤，戴防护手套、口罩等，避免药液接触眼睛、粘膜和伤口等。使用中不可吸烟、饮水及吃东西，使用后及时用大量清水和肥皂清洗手、脸等暴露部位皮肤并更换衣物。3、建议与其他不同作用机理的杀螨剂轮换使用，以延缓抗性产生。4、用过的容器应妥善处理，不可做他用，也不可随意丢弃。5、禁止儿童、孕妇及哺乳期的妇女接触。过敏者禁用，使用中有任何不良反应请及时就医。</w:t>
            </w:r>
          </w:p>
        </w:tc>
      </w:tr>
      <w:tr w14:paraId="7FB263DE">
        <w:tblPrEx>
          <w:tblCellMar>
            <w:top w:w="0" w:type="dxa"/>
            <w:left w:w="0" w:type="dxa"/>
            <w:bottom w:w="0" w:type="dxa"/>
            <w:right w:w="0" w:type="dxa"/>
          </w:tblCellMar>
        </w:tblPrEx>
        <w:trPr>
          <w:tblCellSpacing w:w="0" w:type="dxa"/>
        </w:trPr>
        <w:tc>
          <w:tcPr>
            <w:tcW w:w="0" w:type="auto"/>
            <w:vAlign w:val="center"/>
          </w:tcPr>
          <w:p w14:paraId="2AC56862">
            <w:r>
              <w:rPr>
                <w:rStyle w:val="10"/>
                <w:rFonts w:hint="eastAsia"/>
              </w:rPr>
              <w:t>中毒急救措施：</w:t>
            </w:r>
            <w:r>
              <w:rPr>
                <w:rFonts w:hint="eastAsia"/>
              </w:rPr>
              <w:br w:type="textWrapping"/>
            </w:r>
            <w:r>
              <w:rPr>
                <w:rStyle w:val="11"/>
                <w:rFonts w:hint="eastAsia"/>
              </w:rPr>
              <w:t>中毒症状：属剧烈神经毒物。头痛、头晕、多汗；重者恶心呕吐，大汗淋漓，排尿困难，抽搐、神经错乱，昏迷、呼吸困难等。皮肤接触：脱去污染的衣物，用软布去除沾染农药，立即用清水和肥皂彻底清洗受污染的皮肤。眼睛溅入：立即用流动清水冲洗不少于15分钟。吸入：立即离开施药现场，转移到空气清新处。 误食：立即停止服用，用清水充分漱口后，立即携带农药标签到医院就诊。医生使用：1. 注意生命体征及中枢神经系统（包括脑水肿）症状。2. 控制入水量。3. 目前无特效解毒剂，对症治疗。</w:t>
            </w:r>
          </w:p>
        </w:tc>
      </w:tr>
      <w:tr w14:paraId="1ED28B52">
        <w:tblPrEx>
          <w:tblCellMar>
            <w:top w:w="0" w:type="dxa"/>
            <w:left w:w="0" w:type="dxa"/>
            <w:bottom w:w="0" w:type="dxa"/>
            <w:right w:w="0" w:type="dxa"/>
          </w:tblCellMar>
        </w:tblPrEx>
        <w:trPr>
          <w:tblCellSpacing w:w="0" w:type="dxa"/>
        </w:trPr>
        <w:tc>
          <w:tcPr>
            <w:tcW w:w="0" w:type="auto"/>
            <w:vAlign w:val="center"/>
          </w:tcPr>
          <w:p w14:paraId="5C3EF77E">
            <w:r>
              <w:rPr>
                <w:rStyle w:val="10"/>
                <w:rFonts w:hint="eastAsia"/>
              </w:rPr>
              <w:t>储存和运输方法：</w:t>
            </w:r>
            <w:r>
              <w:rPr>
                <w:rFonts w:hint="eastAsia"/>
              </w:rPr>
              <w:br w:type="textWrapping"/>
            </w:r>
            <w:r>
              <w:rPr>
                <w:rStyle w:val="11"/>
                <w:rFonts w:hint="eastAsia"/>
              </w:rPr>
              <w:t>本品应贮存在干燥、阴凉、通风、防雨处，远离火源或热源。置于儿童、无关人员及动物接触不到的地方，并加锁保存。勿与食品、饮料、种子、饲料等同贮同运。</w:t>
            </w:r>
          </w:p>
        </w:tc>
      </w:tr>
      <w:tr w14:paraId="3FC8FDB7">
        <w:tblPrEx>
          <w:tblCellMar>
            <w:top w:w="0" w:type="dxa"/>
            <w:left w:w="0" w:type="dxa"/>
            <w:bottom w:w="0" w:type="dxa"/>
            <w:right w:w="0" w:type="dxa"/>
          </w:tblCellMar>
        </w:tblPrEx>
        <w:trPr>
          <w:tblCellSpacing w:w="0" w:type="dxa"/>
        </w:trPr>
        <w:tc>
          <w:tcPr>
            <w:tcW w:w="0" w:type="auto"/>
            <w:vAlign w:val="center"/>
          </w:tcPr>
          <w:p w14:paraId="32C05F24">
            <w:r>
              <w:rPr>
                <w:rStyle w:val="10"/>
                <w:rFonts w:hint="eastAsia"/>
              </w:rPr>
              <w:t>质量保证期：</w:t>
            </w:r>
            <w:r>
              <w:rPr>
                <w:rStyle w:val="11"/>
                <w:rFonts w:hint="eastAsia"/>
              </w:rPr>
              <w:t>2年</w:t>
            </w:r>
          </w:p>
        </w:tc>
      </w:tr>
      <w:tr w14:paraId="0C917F92">
        <w:tblPrEx>
          <w:tblCellMar>
            <w:top w:w="0" w:type="dxa"/>
            <w:left w:w="0" w:type="dxa"/>
            <w:bottom w:w="0" w:type="dxa"/>
            <w:right w:w="0" w:type="dxa"/>
          </w:tblCellMar>
        </w:tblPrEx>
        <w:trPr>
          <w:tblCellSpacing w:w="0" w:type="dxa"/>
        </w:trPr>
        <w:tc>
          <w:tcPr>
            <w:tcW w:w="0" w:type="auto"/>
            <w:vAlign w:val="center"/>
          </w:tcPr>
          <w:p w14:paraId="380E4606">
            <w:r>
              <w:rPr>
                <w:rStyle w:val="10"/>
                <w:rFonts w:hint="eastAsia"/>
              </w:rPr>
              <w:t>备注：</w:t>
            </w:r>
          </w:p>
        </w:tc>
      </w:tr>
    </w:tbl>
    <w:p w14:paraId="5FDEFD73">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91E8F24">
        <w:tblPrEx>
          <w:tblCellMar>
            <w:top w:w="0" w:type="dxa"/>
            <w:left w:w="0" w:type="dxa"/>
            <w:bottom w:w="0" w:type="dxa"/>
            <w:right w:w="0" w:type="dxa"/>
          </w:tblCellMar>
        </w:tblPrEx>
        <w:trPr>
          <w:tblCellSpacing w:w="0" w:type="dxa"/>
        </w:trPr>
        <w:tc>
          <w:tcPr>
            <w:tcW w:w="0" w:type="auto"/>
            <w:vAlign w:val="center"/>
          </w:tcPr>
          <w:p w14:paraId="6CBD786D">
            <w:r>
              <w:rPr>
                <w:rStyle w:val="10"/>
                <w:rFonts w:hint="eastAsia"/>
              </w:rPr>
              <w:t>登记证号：</w:t>
            </w:r>
            <w:r>
              <w:rPr>
                <w:rFonts w:hint="eastAsia"/>
              </w:rPr>
              <w:t>PD20141760</w:t>
            </w:r>
          </w:p>
        </w:tc>
      </w:tr>
      <w:tr w14:paraId="558E450E">
        <w:tblPrEx>
          <w:tblCellMar>
            <w:top w:w="0" w:type="dxa"/>
            <w:left w:w="0" w:type="dxa"/>
            <w:bottom w:w="0" w:type="dxa"/>
            <w:right w:w="0" w:type="dxa"/>
          </w:tblCellMar>
        </w:tblPrEx>
        <w:trPr>
          <w:tblCellSpacing w:w="0" w:type="dxa"/>
        </w:trPr>
        <w:tc>
          <w:tcPr>
            <w:tcW w:w="0" w:type="auto"/>
            <w:vAlign w:val="center"/>
          </w:tcPr>
          <w:p w14:paraId="6BC47D21">
            <w:r>
              <w:rPr>
                <w:rStyle w:val="10"/>
                <w:rFonts w:hint="eastAsia"/>
              </w:rPr>
              <w:t>登记证持有人：</w:t>
            </w:r>
            <w:r>
              <w:rPr>
                <w:rFonts w:hint="eastAsia"/>
              </w:rPr>
              <w:t>江苏省农药研究所股份有限公司</w:t>
            </w:r>
          </w:p>
        </w:tc>
      </w:tr>
      <w:tr w14:paraId="22247FDB">
        <w:tblPrEx>
          <w:tblCellMar>
            <w:top w:w="0" w:type="dxa"/>
            <w:left w:w="0" w:type="dxa"/>
            <w:bottom w:w="0" w:type="dxa"/>
            <w:right w:w="0" w:type="dxa"/>
          </w:tblCellMar>
        </w:tblPrEx>
        <w:trPr>
          <w:tblCellSpacing w:w="0" w:type="dxa"/>
        </w:trPr>
        <w:tc>
          <w:tcPr>
            <w:tcW w:w="0" w:type="auto"/>
            <w:vAlign w:val="center"/>
          </w:tcPr>
          <w:p w14:paraId="36520A0C">
            <w:r>
              <w:rPr>
                <w:rStyle w:val="10"/>
                <w:rFonts w:hint="eastAsia"/>
              </w:rPr>
              <w:t>农药名称：</w:t>
            </w:r>
            <w:r>
              <w:rPr>
                <w:rFonts w:hint="eastAsia"/>
              </w:rPr>
              <w:t>吡蚜·毒死蜱</w:t>
            </w:r>
          </w:p>
        </w:tc>
      </w:tr>
      <w:tr w14:paraId="60583A5D">
        <w:tblPrEx>
          <w:tblCellMar>
            <w:top w:w="0" w:type="dxa"/>
            <w:left w:w="0" w:type="dxa"/>
            <w:bottom w:w="0" w:type="dxa"/>
            <w:right w:w="0" w:type="dxa"/>
          </w:tblCellMar>
        </w:tblPrEx>
        <w:trPr>
          <w:tblCellSpacing w:w="0" w:type="dxa"/>
        </w:trPr>
        <w:tc>
          <w:tcPr>
            <w:tcW w:w="0" w:type="auto"/>
            <w:vAlign w:val="center"/>
          </w:tcPr>
          <w:p w14:paraId="00730B27">
            <w:r>
              <w:rPr>
                <w:rStyle w:val="10"/>
                <w:rFonts w:hint="eastAsia"/>
              </w:rPr>
              <w:t>剂型：</w:t>
            </w:r>
            <w:r>
              <w:rPr>
                <w:rFonts w:hint="eastAsia"/>
              </w:rPr>
              <w:t>可湿性粉剂</w:t>
            </w:r>
          </w:p>
        </w:tc>
      </w:tr>
      <w:tr w14:paraId="48D3630F">
        <w:tblPrEx>
          <w:tblCellMar>
            <w:top w:w="0" w:type="dxa"/>
            <w:left w:w="0" w:type="dxa"/>
            <w:bottom w:w="0" w:type="dxa"/>
            <w:right w:w="0" w:type="dxa"/>
          </w:tblCellMar>
        </w:tblPrEx>
        <w:trPr>
          <w:tblCellSpacing w:w="0" w:type="dxa"/>
        </w:trPr>
        <w:tc>
          <w:tcPr>
            <w:tcW w:w="0" w:type="auto"/>
            <w:vAlign w:val="center"/>
          </w:tcPr>
          <w:p w14:paraId="39A07ABE">
            <w:r>
              <w:rPr>
                <w:rStyle w:val="10"/>
                <w:rFonts w:hint="eastAsia"/>
              </w:rPr>
              <w:t>毒性及其标识：</w:t>
            </w:r>
            <w:r>
              <w:rPr>
                <w:rFonts w:hint="eastAsia"/>
              </w:rPr>
              <w:t xml:space="preserve"> </w:t>
            </w:r>
            <w:r>
              <w:drawing>
                <wp:inline distT="0" distB="0" distL="0" distR="0">
                  <wp:extent cx="474345" cy="323850"/>
                  <wp:effectExtent l="0" t="0" r="1905"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207B3909">
        <w:tblPrEx>
          <w:tblCellMar>
            <w:top w:w="0" w:type="dxa"/>
            <w:left w:w="0" w:type="dxa"/>
            <w:bottom w:w="0" w:type="dxa"/>
            <w:right w:w="0" w:type="dxa"/>
          </w:tblCellMar>
        </w:tblPrEx>
        <w:trPr>
          <w:tblCellSpacing w:w="0" w:type="dxa"/>
        </w:trPr>
        <w:tc>
          <w:tcPr>
            <w:tcW w:w="0" w:type="auto"/>
            <w:vAlign w:val="center"/>
          </w:tcPr>
          <w:p w14:paraId="3E0BD123">
            <w:r>
              <w:rPr>
                <w:rStyle w:val="10"/>
                <w:rFonts w:hint="eastAsia"/>
              </w:rPr>
              <w:t>总有效成分含量：</w:t>
            </w:r>
            <w:r>
              <w:rPr>
                <w:rFonts w:hint="eastAsia"/>
              </w:rPr>
              <w:t>30%</w:t>
            </w:r>
          </w:p>
        </w:tc>
      </w:tr>
      <w:tr w14:paraId="3C0A46D7">
        <w:tblPrEx>
          <w:tblCellMar>
            <w:top w:w="0" w:type="dxa"/>
            <w:left w:w="0" w:type="dxa"/>
            <w:bottom w:w="0" w:type="dxa"/>
            <w:right w:w="0" w:type="dxa"/>
          </w:tblCellMar>
        </w:tblPrEx>
        <w:trPr>
          <w:tblCellSpacing w:w="0" w:type="dxa"/>
        </w:trPr>
        <w:tc>
          <w:tcPr>
            <w:tcW w:w="0" w:type="auto"/>
            <w:vAlign w:val="center"/>
          </w:tcPr>
          <w:p w14:paraId="0680E549">
            <w:r>
              <w:rPr>
                <w:rFonts w:hint="eastAsia"/>
              </w:rPr>
              <w:t xml:space="preserve">有效成分及其含量： </w:t>
            </w:r>
          </w:p>
          <w:p w14:paraId="00F63248">
            <w:r>
              <w:rPr>
                <w:rFonts w:hint="eastAsia"/>
              </w:rPr>
              <w:t xml:space="preserve">    毒死蜱20%    吡蚜酮10%    </w:t>
            </w:r>
          </w:p>
        </w:tc>
      </w:tr>
      <w:tr w14:paraId="4BAC59AB">
        <w:tblPrEx>
          <w:tblCellMar>
            <w:top w:w="0" w:type="dxa"/>
            <w:left w:w="0" w:type="dxa"/>
            <w:bottom w:w="0" w:type="dxa"/>
            <w:right w:w="0" w:type="dxa"/>
          </w:tblCellMar>
        </w:tblPrEx>
        <w:trPr>
          <w:tblCellSpacing w:w="0" w:type="dxa"/>
        </w:trPr>
        <w:tc>
          <w:tcPr>
            <w:tcW w:w="0" w:type="auto"/>
            <w:vAlign w:val="center"/>
          </w:tcPr>
          <w:p w14:paraId="0DE9FD6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88E2D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F8E718F">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B7CF279">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DACB82">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8EB457E">
                  <w:r>
                    <w:rPr>
                      <w:rStyle w:val="11"/>
                      <w:rFonts w:hint="eastAsia"/>
                    </w:rPr>
                    <w:t>施用方式</w:t>
                  </w:r>
                </w:p>
              </w:tc>
            </w:tr>
            <w:tr w14:paraId="136E7B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E9A1DF">
                  <w:r>
                    <w:rPr>
                      <w:rStyle w:val="11"/>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960D6A0">
                  <w:r>
                    <w:rPr>
                      <w:rStyle w:val="11"/>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68FF6983">
                  <w:r>
                    <w:rPr>
                      <w:rStyle w:val="11"/>
                      <w:rFonts w:hint="eastAsia"/>
                    </w:rPr>
                    <w:t>30-45克/亩</w:t>
                  </w:r>
                </w:p>
              </w:tc>
              <w:tc>
                <w:tcPr>
                  <w:tcW w:w="0" w:type="auto"/>
                  <w:tcBorders>
                    <w:top w:val="outset" w:color="auto" w:sz="6" w:space="0"/>
                    <w:left w:val="outset" w:color="auto" w:sz="6" w:space="0"/>
                    <w:bottom w:val="outset" w:color="auto" w:sz="6" w:space="0"/>
                    <w:right w:val="outset" w:color="auto" w:sz="6" w:space="0"/>
                  </w:tcBorders>
                  <w:vAlign w:val="center"/>
                </w:tcPr>
                <w:p w14:paraId="644B4E18">
                  <w:r>
                    <w:rPr>
                      <w:rStyle w:val="11"/>
                      <w:rFonts w:hint="eastAsia"/>
                    </w:rPr>
                    <w:t>喷雾</w:t>
                  </w:r>
                </w:p>
              </w:tc>
            </w:tr>
          </w:tbl>
          <w:p w14:paraId="5617B87E">
            <w:pPr>
              <w:rPr>
                <w:rFonts w:ascii="Times New Roman" w:hAnsi="Times New Roman" w:cs="Times New Roman"/>
                <w:sz w:val="20"/>
                <w:szCs w:val="20"/>
              </w:rPr>
            </w:pPr>
          </w:p>
        </w:tc>
      </w:tr>
      <w:tr w14:paraId="054E883B">
        <w:tblPrEx>
          <w:tblCellMar>
            <w:top w:w="0" w:type="dxa"/>
            <w:left w:w="0" w:type="dxa"/>
            <w:bottom w:w="0" w:type="dxa"/>
            <w:right w:w="0" w:type="dxa"/>
          </w:tblCellMar>
        </w:tblPrEx>
        <w:trPr>
          <w:tblCellSpacing w:w="0" w:type="dxa"/>
        </w:trPr>
        <w:tc>
          <w:tcPr>
            <w:tcW w:w="0" w:type="auto"/>
            <w:vAlign w:val="center"/>
          </w:tcPr>
          <w:p w14:paraId="614F55E1">
            <w:r>
              <w:rPr>
                <w:rStyle w:val="10"/>
                <w:rFonts w:hint="eastAsia"/>
              </w:rPr>
              <w:t>使用技术要求:</w:t>
            </w:r>
            <w:r>
              <w:rPr>
                <w:rFonts w:hint="eastAsia"/>
              </w:rPr>
              <w:br w:type="textWrapping"/>
            </w:r>
            <w:r>
              <w:rPr>
                <w:rStyle w:val="11"/>
                <w:rFonts w:hint="eastAsia"/>
              </w:rPr>
              <w:t>1.在稻飞虱低龄若虫施盛期施药，施药应在植株整体均匀喷雾，着重对稻丛中下部喷雾，田间最好保水3-5厘米。2.大风天或预计1小时内降雨，请勿施药。3.施药后应设立警示标志，人畜在施药后1天后方可进入施药地点。4.本品在水稻上使用的安全间隔期为21天，每个生长季最多施用1次。</w:t>
            </w:r>
          </w:p>
        </w:tc>
      </w:tr>
      <w:tr w14:paraId="0EB3FDEE">
        <w:tblPrEx>
          <w:tblCellMar>
            <w:top w:w="0" w:type="dxa"/>
            <w:left w:w="0" w:type="dxa"/>
            <w:bottom w:w="0" w:type="dxa"/>
            <w:right w:w="0" w:type="dxa"/>
          </w:tblCellMar>
        </w:tblPrEx>
        <w:trPr>
          <w:tblCellSpacing w:w="0" w:type="dxa"/>
        </w:trPr>
        <w:tc>
          <w:tcPr>
            <w:tcW w:w="0" w:type="auto"/>
            <w:vAlign w:val="center"/>
          </w:tcPr>
          <w:p w14:paraId="4CBA7134">
            <w:r>
              <w:rPr>
                <w:rStyle w:val="10"/>
                <w:rFonts w:hint="eastAsia"/>
              </w:rPr>
              <w:t>产品性能:</w:t>
            </w:r>
            <w:r>
              <w:rPr>
                <w:rFonts w:hint="eastAsia"/>
              </w:rPr>
              <w:br w:type="textWrapping"/>
            </w:r>
            <w:r>
              <w:rPr>
                <w:rStyle w:val="11"/>
                <w:rFonts w:hint="eastAsia"/>
              </w:rPr>
              <w:t>本品具有触杀、胃毒、熏蒸作用，可用于防治水稻稻飞虱。</w:t>
            </w:r>
          </w:p>
        </w:tc>
      </w:tr>
      <w:tr w14:paraId="6DFEC1B4">
        <w:tblPrEx>
          <w:tblCellMar>
            <w:top w:w="0" w:type="dxa"/>
            <w:left w:w="0" w:type="dxa"/>
            <w:bottom w:w="0" w:type="dxa"/>
            <w:right w:w="0" w:type="dxa"/>
          </w:tblCellMar>
        </w:tblPrEx>
        <w:trPr>
          <w:tblCellSpacing w:w="0" w:type="dxa"/>
        </w:trPr>
        <w:tc>
          <w:tcPr>
            <w:tcW w:w="0" w:type="auto"/>
            <w:vAlign w:val="center"/>
          </w:tcPr>
          <w:p w14:paraId="76989115">
            <w:r>
              <w:rPr>
                <w:rStyle w:val="10"/>
                <w:rFonts w:hint="eastAsia"/>
              </w:rPr>
              <w:t>注意事项：</w:t>
            </w:r>
            <w:r>
              <w:rPr>
                <w:rFonts w:hint="eastAsia"/>
              </w:rPr>
              <w:br w:type="textWrapping"/>
            </w:r>
            <w:r>
              <w:rPr>
                <w:rStyle w:val="11"/>
                <w:rFonts w:hint="eastAsia"/>
              </w:rPr>
              <w:t>1、禁止在蔬菜上使用。2、本品对蜜蜂、家蚕、鱼类、鸟类有毒，施药期间应避免对周围群峰的影响、开花植物花期，蚕室和桑园附近禁用。远离水产养殖区施药，禁止在河塘等水体中清洗施药器具。赤眼蜂等天敌放飞区禁用，鱼或虾蟹稻田禁用，施药后的田水不得在接排入水体。3、在配药和施药时，应穿戴防护服、戴口罩、手套等，严禁吸烟和饮食。4、建议与其他作用机制不同的杀虫剂轮换使用。5、用药后应用大量清水和肥皂将手、脸及其它接触到药剂或雾滴的部位清洗干净。6、烟草对本品敏感，使用时勿使药液飘到烟草作物上。7、孕妇、哺乳期妇女及过敏者禁用，使用中有任何不良反应请及时就医。8、用过的容器应妥善处理，不可做他用，也不可随意丢弃。</w:t>
            </w:r>
          </w:p>
        </w:tc>
      </w:tr>
      <w:tr w14:paraId="76480920">
        <w:tblPrEx>
          <w:tblCellMar>
            <w:top w:w="0" w:type="dxa"/>
            <w:left w:w="0" w:type="dxa"/>
            <w:bottom w:w="0" w:type="dxa"/>
            <w:right w:w="0" w:type="dxa"/>
          </w:tblCellMar>
        </w:tblPrEx>
        <w:trPr>
          <w:tblCellSpacing w:w="0" w:type="dxa"/>
        </w:trPr>
        <w:tc>
          <w:tcPr>
            <w:tcW w:w="0" w:type="auto"/>
            <w:vAlign w:val="center"/>
          </w:tcPr>
          <w:p w14:paraId="0B1E32E1">
            <w:r>
              <w:rPr>
                <w:rStyle w:val="10"/>
                <w:rFonts w:hint="eastAsia"/>
              </w:rPr>
              <w:t>中毒急救措施：</w:t>
            </w:r>
            <w:r>
              <w:rPr>
                <w:rFonts w:hint="eastAsia"/>
              </w:rPr>
              <w:br w:type="textWrapping"/>
            </w:r>
            <w:r>
              <w:rPr>
                <w:rStyle w:val="11"/>
                <w:rFonts w:hint="eastAsia"/>
              </w:rPr>
              <w:t>中毒症状：头痛、头晕、无力、视力模糊、恶心、呕吐、瞳孔缩小、肌肉震颤。重者出现肺水肿、昏迷。中毒急救：皮肤接触：立即脱去被污染的衣着，用肥皂水及流动的清水彻底冲洗污染的皮肤、头发、指甲并就医。眼睛接触：提起</w:t>
            </w:r>
            <w:r>
              <w:rPr>
                <w:rStyle w:val="11"/>
                <w:rFonts w:hint="eastAsia"/>
                <w:lang w:eastAsia="zh-CN"/>
              </w:rPr>
              <w:t>眼睑</w:t>
            </w:r>
            <w:r>
              <w:rPr>
                <w:rStyle w:val="11"/>
                <w:rFonts w:hint="eastAsia"/>
              </w:rPr>
              <w:t>，用流动的清水或生理水冲洗，就医。吸入：迅速脱离现场至空气新鲜处。保持呼吸畅通。如呼吸困难，给输氧。如呼吸停止，立即进行人工呼吸并就医。误服：饮足量温水，催吐。用清水或2%-5%碳酸氢钠溶液洗胃，就医。</w:t>
            </w:r>
          </w:p>
        </w:tc>
      </w:tr>
      <w:tr w14:paraId="40FAAC3D">
        <w:tblPrEx>
          <w:tblCellMar>
            <w:top w:w="0" w:type="dxa"/>
            <w:left w:w="0" w:type="dxa"/>
            <w:bottom w:w="0" w:type="dxa"/>
            <w:right w:w="0" w:type="dxa"/>
          </w:tblCellMar>
        </w:tblPrEx>
        <w:trPr>
          <w:tblCellSpacing w:w="0" w:type="dxa"/>
        </w:trPr>
        <w:tc>
          <w:tcPr>
            <w:tcW w:w="0" w:type="auto"/>
            <w:vAlign w:val="center"/>
          </w:tcPr>
          <w:p w14:paraId="349E8DCF">
            <w:r>
              <w:rPr>
                <w:rStyle w:val="10"/>
                <w:rFonts w:hint="eastAsia"/>
              </w:rPr>
              <w:t>储存和运输方法：</w:t>
            </w:r>
            <w:r>
              <w:rPr>
                <w:rFonts w:hint="eastAsia"/>
              </w:rPr>
              <w:br w:type="textWrapping"/>
            </w:r>
            <w:r>
              <w:rPr>
                <w:rStyle w:val="11"/>
                <w:rFonts w:hint="eastAsia"/>
              </w:rPr>
              <w:t>本品应贮存在干燥、阴凉、通风、防雨处，远离火源或热源。置于儿童及无关人员触及不到之处，并加锁。勿与食品、饮料、饲料及易燃易爆物等其他商品同贮同运。避免与眼睛、皮肤接触，防止由口鼻吸入。运输中确保不泄露、不倒塌、不坠落、不损坏，轻装轻卸，防高温、雨淋，运输车辆应配备相应品种和数量的消防器材及泄露应急处理设备。公路运输时要规定路线行驶，勿在居民区和人口稠密区停留。</w:t>
            </w:r>
          </w:p>
        </w:tc>
      </w:tr>
      <w:tr w14:paraId="3AD579BF">
        <w:tblPrEx>
          <w:tblCellMar>
            <w:top w:w="0" w:type="dxa"/>
            <w:left w:w="0" w:type="dxa"/>
            <w:bottom w:w="0" w:type="dxa"/>
            <w:right w:w="0" w:type="dxa"/>
          </w:tblCellMar>
        </w:tblPrEx>
        <w:trPr>
          <w:tblCellSpacing w:w="0" w:type="dxa"/>
        </w:trPr>
        <w:tc>
          <w:tcPr>
            <w:tcW w:w="0" w:type="auto"/>
            <w:vAlign w:val="center"/>
          </w:tcPr>
          <w:p w14:paraId="02F25505">
            <w:r>
              <w:rPr>
                <w:rStyle w:val="10"/>
                <w:rFonts w:hint="eastAsia"/>
              </w:rPr>
              <w:t>质量保证期：</w:t>
            </w:r>
            <w:r>
              <w:rPr>
                <w:rStyle w:val="11"/>
                <w:rFonts w:hint="eastAsia"/>
              </w:rPr>
              <w:t>2年</w:t>
            </w:r>
          </w:p>
        </w:tc>
      </w:tr>
      <w:tr w14:paraId="191CD0D5">
        <w:tblPrEx>
          <w:tblCellMar>
            <w:top w:w="0" w:type="dxa"/>
            <w:left w:w="0" w:type="dxa"/>
            <w:bottom w:w="0" w:type="dxa"/>
            <w:right w:w="0" w:type="dxa"/>
          </w:tblCellMar>
        </w:tblPrEx>
        <w:trPr>
          <w:tblCellSpacing w:w="0" w:type="dxa"/>
        </w:trPr>
        <w:tc>
          <w:tcPr>
            <w:tcW w:w="0" w:type="auto"/>
            <w:vAlign w:val="center"/>
          </w:tcPr>
          <w:p w14:paraId="331AA620">
            <w:r>
              <w:rPr>
                <w:rStyle w:val="10"/>
                <w:rFonts w:hint="eastAsia"/>
              </w:rPr>
              <w:t>备注：</w:t>
            </w:r>
            <w:r>
              <w:rPr>
                <w:rFonts w:hint="eastAsia"/>
              </w:rPr>
              <w:br w:type="textWrapping"/>
            </w:r>
            <w:r>
              <w:rPr>
                <w:rStyle w:val="11"/>
                <w:rFonts w:hint="eastAsia"/>
              </w:rPr>
              <w:t>标注"限制使用"字样</w:t>
            </w:r>
          </w:p>
        </w:tc>
      </w:tr>
    </w:tbl>
    <w:p w14:paraId="02455E5D">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8D6B239">
        <w:tblPrEx>
          <w:tblCellMar>
            <w:top w:w="0" w:type="dxa"/>
            <w:left w:w="0" w:type="dxa"/>
            <w:bottom w:w="0" w:type="dxa"/>
            <w:right w:w="0" w:type="dxa"/>
          </w:tblCellMar>
        </w:tblPrEx>
        <w:trPr>
          <w:tblCellSpacing w:w="0" w:type="dxa"/>
        </w:trPr>
        <w:tc>
          <w:tcPr>
            <w:tcW w:w="0" w:type="auto"/>
            <w:vAlign w:val="center"/>
          </w:tcPr>
          <w:p w14:paraId="201771B7">
            <w:r>
              <w:rPr>
                <w:rStyle w:val="10"/>
                <w:rFonts w:hint="eastAsia"/>
              </w:rPr>
              <w:t>登记证号：</w:t>
            </w:r>
            <w:r>
              <w:rPr>
                <w:rFonts w:hint="eastAsia"/>
              </w:rPr>
              <w:t>PD20210980</w:t>
            </w:r>
          </w:p>
        </w:tc>
      </w:tr>
      <w:tr w14:paraId="319C1440">
        <w:tblPrEx>
          <w:tblCellMar>
            <w:top w:w="0" w:type="dxa"/>
            <w:left w:w="0" w:type="dxa"/>
            <w:bottom w:w="0" w:type="dxa"/>
            <w:right w:w="0" w:type="dxa"/>
          </w:tblCellMar>
        </w:tblPrEx>
        <w:trPr>
          <w:tblCellSpacing w:w="0" w:type="dxa"/>
        </w:trPr>
        <w:tc>
          <w:tcPr>
            <w:tcW w:w="0" w:type="auto"/>
            <w:vAlign w:val="center"/>
          </w:tcPr>
          <w:p w14:paraId="66FDBBC8">
            <w:r>
              <w:rPr>
                <w:rStyle w:val="10"/>
                <w:rFonts w:hint="eastAsia"/>
              </w:rPr>
              <w:t>登记证持有人：</w:t>
            </w:r>
            <w:r>
              <w:rPr>
                <w:rFonts w:hint="eastAsia"/>
              </w:rPr>
              <w:t>瑞士先正达作物保护有限公司</w:t>
            </w:r>
          </w:p>
        </w:tc>
      </w:tr>
      <w:tr w14:paraId="2C2D1B89">
        <w:tblPrEx>
          <w:tblCellMar>
            <w:top w:w="0" w:type="dxa"/>
            <w:left w:w="0" w:type="dxa"/>
            <w:bottom w:w="0" w:type="dxa"/>
            <w:right w:w="0" w:type="dxa"/>
          </w:tblCellMar>
        </w:tblPrEx>
        <w:trPr>
          <w:tblCellSpacing w:w="0" w:type="dxa"/>
        </w:trPr>
        <w:tc>
          <w:tcPr>
            <w:tcW w:w="0" w:type="auto"/>
            <w:vAlign w:val="center"/>
          </w:tcPr>
          <w:p w14:paraId="6AC85A99">
            <w:r>
              <w:rPr>
                <w:rStyle w:val="10"/>
                <w:rFonts w:hint="eastAsia"/>
              </w:rPr>
              <w:t>农药名称：</w:t>
            </w:r>
            <w:r>
              <w:rPr>
                <w:rFonts w:hint="eastAsia"/>
              </w:rPr>
              <w:t>霜脲氰·双炔酰菌胺</w:t>
            </w:r>
          </w:p>
        </w:tc>
      </w:tr>
      <w:tr w14:paraId="25C6B776">
        <w:tblPrEx>
          <w:tblCellMar>
            <w:top w:w="0" w:type="dxa"/>
            <w:left w:w="0" w:type="dxa"/>
            <w:bottom w:w="0" w:type="dxa"/>
            <w:right w:w="0" w:type="dxa"/>
          </w:tblCellMar>
        </w:tblPrEx>
        <w:trPr>
          <w:tblCellSpacing w:w="0" w:type="dxa"/>
        </w:trPr>
        <w:tc>
          <w:tcPr>
            <w:tcW w:w="0" w:type="auto"/>
            <w:vAlign w:val="center"/>
          </w:tcPr>
          <w:p w14:paraId="6817602A">
            <w:r>
              <w:rPr>
                <w:rStyle w:val="10"/>
                <w:rFonts w:hint="eastAsia"/>
              </w:rPr>
              <w:t>剂型：</w:t>
            </w:r>
            <w:r>
              <w:rPr>
                <w:rFonts w:hint="eastAsia"/>
              </w:rPr>
              <w:t>水分散粒剂</w:t>
            </w:r>
          </w:p>
        </w:tc>
      </w:tr>
      <w:tr w14:paraId="67431A28">
        <w:tblPrEx>
          <w:tblCellMar>
            <w:top w:w="0" w:type="dxa"/>
            <w:left w:w="0" w:type="dxa"/>
            <w:bottom w:w="0" w:type="dxa"/>
            <w:right w:w="0" w:type="dxa"/>
          </w:tblCellMar>
        </w:tblPrEx>
        <w:trPr>
          <w:tblCellSpacing w:w="0" w:type="dxa"/>
        </w:trPr>
        <w:tc>
          <w:tcPr>
            <w:tcW w:w="0" w:type="auto"/>
            <w:vAlign w:val="center"/>
          </w:tcPr>
          <w:p w14:paraId="4C417E6C">
            <w:r>
              <w:rPr>
                <w:rStyle w:val="10"/>
                <w:rFonts w:hint="eastAsia"/>
              </w:rPr>
              <w:t>毒性及其标识：</w:t>
            </w:r>
            <w:r>
              <w:rPr>
                <w:rFonts w:hint="eastAsia"/>
              </w:rPr>
              <w:t xml:space="preserve"> </w:t>
            </w:r>
            <w:r>
              <w:drawing>
                <wp:inline distT="0" distB="0" distL="0" distR="0">
                  <wp:extent cx="474345" cy="323850"/>
                  <wp:effectExtent l="0" t="0" r="1905"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1256594C">
        <w:tblPrEx>
          <w:tblCellMar>
            <w:top w:w="0" w:type="dxa"/>
            <w:left w:w="0" w:type="dxa"/>
            <w:bottom w:w="0" w:type="dxa"/>
            <w:right w:w="0" w:type="dxa"/>
          </w:tblCellMar>
        </w:tblPrEx>
        <w:trPr>
          <w:tblCellSpacing w:w="0" w:type="dxa"/>
        </w:trPr>
        <w:tc>
          <w:tcPr>
            <w:tcW w:w="0" w:type="auto"/>
            <w:vAlign w:val="center"/>
          </w:tcPr>
          <w:p w14:paraId="3F656C42">
            <w:r>
              <w:rPr>
                <w:rStyle w:val="10"/>
                <w:rFonts w:hint="eastAsia"/>
              </w:rPr>
              <w:t>总有效成分含量：</w:t>
            </w:r>
            <w:r>
              <w:rPr>
                <w:rFonts w:hint="eastAsia"/>
              </w:rPr>
              <w:t>43%</w:t>
            </w:r>
          </w:p>
        </w:tc>
      </w:tr>
      <w:tr w14:paraId="1678B418">
        <w:tblPrEx>
          <w:tblCellMar>
            <w:top w:w="0" w:type="dxa"/>
            <w:left w:w="0" w:type="dxa"/>
            <w:bottom w:w="0" w:type="dxa"/>
            <w:right w:w="0" w:type="dxa"/>
          </w:tblCellMar>
        </w:tblPrEx>
        <w:trPr>
          <w:tblCellSpacing w:w="0" w:type="dxa"/>
        </w:trPr>
        <w:tc>
          <w:tcPr>
            <w:tcW w:w="0" w:type="auto"/>
            <w:vAlign w:val="center"/>
          </w:tcPr>
          <w:p w14:paraId="10A2BEF8">
            <w:r>
              <w:rPr>
                <w:rFonts w:hint="eastAsia"/>
              </w:rPr>
              <w:t xml:space="preserve">有效成分及其含量： </w:t>
            </w:r>
          </w:p>
          <w:p w14:paraId="39B6A909">
            <w:r>
              <w:rPr>
                <w:rFonts w:hint="eastAsia"/>
              </w:rPr>
              <w:t xml:space="preserve">    霜脲氰18%    双炔酰菌胺25%    </w:t>
            </w:r>
          </w:p>
        </w:tc>
      </w:tr>
      <w:tr w14:paraId="011820A1">
        <w:tblPrEx>
          <w:tblCellMar>
            <w:top w:w="0" w:type="dxa"/>
            <w:left w:w="0" w:type="dxa"/>
            <w:bottom w:w="0" w:type="dxa"/>
            <w:right w:w="0" w:type="dxa"/>
          </w:tblCellMar>
        </w:tblPrEx>
        <w:trPr>
          <w:tblCellSpacing w:w="0" w:type="dxa"/>
        </w:trPr>
        <w:tc>
          <w:tcPr>
            <w:tcW w:w="0" w:type="auto"/>
            <w:vAlign w:val="center"/>
          </w:tcPr>
          <w:p w14:paraId="3C56BC2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B5CFA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A2DE9D5">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413BFC3">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4E0084">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D595A40">
                  <w:r>
                    <w:rPr>
                      <w:rStyle w:val="11"/>
                      <w:rFonts w:hint="eastAsia"/>
                    </w:rPr>
                    <w:t>施用方式</w:t>
                  </w:r>
                </w:p>
              </w:tc>
            </w:tr>
            <w:tr w14:paraId="4CB735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80E778">
                  <w:r>
                    <w:rPr>
                      <w:rStyle w:val="11"/>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A3FF923">
                  <w:r>
                    <w:rPr>
                      <w:rStyle w:val="11"/>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71D9276F">
                  <w:r>
                    <w:rPr>
                      <w:rStyle w:val="11"/>
                      <w:rFonts w:hint="eastAsia"/>
                    </w:rPr>
                    <w:t>30-60克/亩</w:t>
                  </w:r>
                </w:p>
              </w:tc>
              <w:tc>
                <w:tcPr>
                  <w:tcW w:w="0" w:type="auto"/>
                  <w:tcBorders>
                    <w:top w:val="outset" w:color="auto" w:sz="6" w:space="0"/>
                    <w:left w:val="outset" w:color="auto" w:sz="6" w:space="0"/>
                    <w:bottom w:val="outset" w:color="auto" w:sz="6" w:space="0"/>
                    <w:right w:val="outset" w:color="auto" w:sz="6" w:space="0"/>
                  </w:tcBorders>
                  <w:vAlign w:val="center"/>
                </w:tcPr>
                <w:p w14:paraId="1E93155F">
                  <w:r>
                    <w:rPr>
                      <w:rStyle w:val="11"/>
                      <w:rFonts w:hint="eastAsia"/>
                    </w:rPr>
                    <w:t>喷雾</w:t>
                  </w:r>
                </w:p>
              </w:tc>
            </w:tr>
          </w:tbl>
          <w:p w14:paraId="408178D8">
            <w:pPr>
              <w:rPr>
                <w:rFonts w:ascii="Times New Roman" w:hAnsi="Times New Roman" w:cs="Times New Roman"/>
                <w:sz w:val="20"/>
                <w:szCs w:val="20"/>
              </w:rPr>
            </w:pPr>
          </w:p>
        </w:tc>
      </w:tr>
      <w:tr w14:paraId="52C0D5DA">
        <w:tblPrEx>
          <w:tblCellMar>
            <w:top w:w="0" w:type="dxa"/>
            <w:left w:w="0" w:type="dxa"/>
            <w:bottom w:w="0" w:type="dxa"/>
            <w:right w:w="0" w:type="dxa"/>
          </w:tblCellMar>
        </w:tblPrEx>
        <w:trPr>
          <w:tblCellSpacing w:w="0" w:type="dxa"/>
        </w:trPr>
        <w:tc>
          <w:tcPr>
            <w:tcW w:w="0" w:type="auto"/>
            <w:vAlign w:val="center"/>
          </w:tcPr>
          <w:p w14:paraId="5FD0E419">
            <w:r>
              <w:rPr>
                <w:rStyle w:val="10"/>
                <w:rFonts w:hint="eastAsia"/>
              </w:rPr>
              <w:t>使用技术要求:</w:t>
            </w:r>
            <w:r>
              <w:rPr>
                <w:rFonts w:hint="eastAsia"/>
              </w:rPr>
              <w:br w:type="textWrapping"/>
            </w:r>
            <w:r>
              <w:rPr>
                <w:rStyle w:val="11"/>
                <w:rFonts w:hint="eastAsia"/>
              </w:rPr>
              <w:t>1. 马铃薯晚疫病病害发生前或发病初期首次喷雾施药，每间隔7-10天施药1次，连续施药2-3次，兑水量推荐450升/公顷。每季最多施药3次，安全间隔期为14天。 2. 大风天或预计施药后1小时内有降雨，或极端温湿度条件下，请勿使用本品。</w:t>
            </w:r>
          </w:p>
        </w:tc>
      </w:tr>
      <w:tr w14:paraId="669A6BC1">
        <w:tblPrEx>
          <w:tblCellMar>
            <w:top w:w="0" w:type="dxa"/>
            <w:left w:w="0" w:type="dxa"/>
            <w:bottom w:w="0" w:type="dxa"/>
            <w:right w:w="0" w:type="dxa"/>
          </w:tblCellMar>
        </w:tblPrEx>
        <w:trPr>
          <w:tblCellSpacing w:w="0" w:type="dxa"/>
        </w:trPr>
        <w:tc>
          <w:tcPr>
            <w:tcW w:w="0" w:type="auto"/>
            <w:vAlign w:val="center"/>
          </w:tcPr>
          <w:p w14:paraId="1C538107">
            <w:r>
              <w:rPr>
                <w:rStyle w:val="10"/>
                <w:rFonts w:hint="eastAsia"/>
              </w:rPr>
              <w:t>产品性能:</w:t>
            </w:r>
            <w:r>
              <w:rPr>
                <w:rFonts w:hint="eastAsia"/>
              </w:rPr>
              <w:br w:type="textWrapping"/>
            </w:r>
            <w:r>
              <w:rPr>
                <w:rStyle w:val="11"/>
                <w:rFonts w:hint="eastAsia"/>
              </w:rPr>
              <w:t>本品由两种不同作用机理的杀菌剂复配而成。其中，双炔酰菌胺为扁桃酰胺类杀菌剂，作用机理为纤维素合成酶抑制剂第7族杀菌剂，通过干扰致病真菌的磷脂和细胞壁沉积物生物合成，达到抑制孢子萌发和菌丝体的生长。霜脲氰是取代脲类杀菌剂，属第27族杀菌剂，抑制菌丝生长同时抑制脂质体、氨基酸和核酸的合成以及休止孢的萌发。有较强的保护、治疗和铲除作用，具有局部内吸和触杀作用。</w:t>
            </w:r>
          </w:p>
        </w:tc>
      </w:tr>
      <w:tr w14:paraId="4D2CA837">
        <w:tblPrEx>
          <w:tblCellMar>
            <w:top w:w="0" w:type="dxa"/>
            <w:left w:w="0" w:type="dxa"/>
            <w:bottom w:w="0" w:type="dxa"/>
            <w:right w:w="0" w:type="dxa"/>
          </w:tblCellMar>
        </w:tblPrEx>
        <w:trPr>
          <w:tblCellSpacing w:w="0" w:type="dxa"/>
        </w:trPr>
        <w:tc>
          <w:tcPr>
            <w:tcW w:w="0" w:type="auto"/>
            <w:vAlign w:val="center"/>
          </w:tcPr>
          <w:p w14:paraId="1BEB135C">
            <w:r>
              <w:rPr>
                <w:rStyle w:val="10"/>
                <w:rFonts w:hint="eastAsia"/>
              </w:rPr>
              <w:t>注意事项：</w:t>
            </w:r>
            <w:r>
              <w:rPr>
                <w:rFonts w:hint="eastAsia"/>
              </w:rPr>
              <w:br w:type="textWrapping"/>
            </w:r>
            <w:r>
              <w:rPr>
                <w:rStyle w:val="11"/>
                <w:rFonts w:hint="eastAsia"/>
              </w:rPr>
              <w:t>1.请按照农药安全使用准则使用本品。避免药液接触皮肤、眼睛和污染衣物，避免吸入雾滴。切勿在施药现场饮食、抽烟，在饮食和抽烟前，应先洗手、洗脸。2.配药时，应戴丁腈橡胶手套、防护口罩、护目镜，穿长袖衣、长裤和防护靴。施药时，应穿长袖衣、长裤，戴防护面罩、丁腈橡胶手套和防护靴。3.施药后，彻底清洗防护用具，洗澡，并更换和清洗工作服，确保施药衣物同普通衣物分开清洗。4.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5.药液及其废液不得污染各类水域，土壤等环境。本品对鱼类等水生生物有毒，远离水产养殖区、河塘等水域施药，禁止在河塘、生活用水等区域中清洗施药器具，切勿将本品及其废液、空包装等弃于池塘、河溪和湖泊等，以免污染水源。6.远离桑园和蚕室施药。桑园及蚕室附近施用本药后，禁止采集最外围桑叶饲喂家蚕。7.施药后的地块24小时内禁止放牧和畜禽进入，勿在安全间隔期内进行采收。8.避免孕妇、哺乳期妇女，儿童、病人及身体有伤口及过敏者接触本品。 制造厂敬告用户：用药前请先阅读标签上的安全使用说明，误用产品会导致危险。必须始终按照产品标签说明或接受当地农业技术部门指导使用。</w:t>
            </w:r>
          </w:p>
        </w:tc>
      </w:tr>
      <w:tr w14:paraId="1B6585FB">
        <w:tblPrEx>
          <w:tblCellMar>
            <w:top w:w="0" w:type="dxa"/>
            <w:left w:w="0" w:type="dxa"/>
            <w:bottom w:w="0" w:type="dxa"/>
            <w:right w:w="0" w:type="dxa"/>
          </w:tblCellMar>
        </w:tblPrEx>
        <w:trPr>
          <w:tblCellSpacing w:w="0" w:type="dxa"/>
        </w:trPr>
        <w:tc>
          <w:tcPr>
            <w:tcW w:w="0" w:type="auto"/>
            <w:vAlign w:val="center"/>
          </w:tcPr>
          <w:p w14:paraId="513F63A7">
            <w:r>
              <w:rPr>
                <w:rStyle w:val="10"/>
                <w:rFonts w:hint="eastAsia"/>
              </w:rPr>
              <w:t>中毒急救措施：</w:t>
            </w:r>
            <w:r>
              <w:rPr>
                <w:rFonts w:hint="eastAsia"/>
              </w:rPr>
              <w:br w:type="textWrapping"/>
            </w:r>
            <w:r>
              <w:rPr>
                <w:rStyle w:val="11"/>
                <w:rFonts w:hint="eastAsia"/>
              </w:rPr>
              <w:t>该产品对眼睛有刺激性，使用时避免药液接触眼睛。 1. 按标签推荐方法使用，无中毒症状。用药时如果感到不适，立即停止工作，拨打紧急服务热线咨询，采取急救措施，并携此标签送医就诊。 2.皮肤接触：立即脱掉被污染的衣物，用大量清水彻底清洗被污染的皮肤，如果刺激感持续，立即携带产品标签寻求医生诊治。被污染的衣物再次使用前需同普通衣服分开彻底清洗。3.眼睛溅药：立即用清水冲洗眼睛和眼睑至少15-20分钟，如果戴有隐形眼镜，将其摘掉后再继续冲洗15-20分钟，尽快寻求请医生诊治。 4.发生吸入：立即将吸入者转移到空气新鲜处，注意保暖和休息，立即请医生诊治。如果吸入者停止呼吸，需请专业人员进行人工呼吸。5.误服：请勿引吐。立即携带标签，送医就诊。如果自口服2小时内，且口服剂量为致死剂量，使用医用活性炭洗胃，注意防止胃容物进入呼吸道。如果病人可以吞咽，可以给病人喝水。注意：如果患者无意识，不要给患者喂食任何食物和水。解毒剂：无专用解毒剂，对症治疗。 中毒时，请拨打中国疾控中心中毒控制中心咨询热线：400-650-5726</w:t>
            </w:r>
          </w:p>
        </w:tc>
      </w:tr>
      <w:tr w14:paraId="1015D578">
        <w:tblPrEx>
          <w:tblCellMar>
            <w:top w:w="0" w:type="dxa"/>
            <w:left w:w="0" w:type="dxa"/>
            <w:bottom w:w="0" w:type="dxa"/>
            <w:right w:w="0" w:type="dxa"/>
          </w:tblCellMar>
        </w:tblPrEx>
        <w:trPr>
          <w:tblCellSpacing w:w="0" w:type="dxa"/>
        </w:trPr>
        <w:tc>
          <w:tcPr>
            <w:tcW w:w="0" w:type="auto"/>
            <w:vAlign w:val="center"/>
          </w:tcPr>
          <w:p w14:paraId="6F018DEF">
            <w:r>
              <w:rPr>
                <w:rStyle w:val="10"/>
                <w:rFonts w:hint="eastAsia"/>
              </w:rPr>
              <w:t>储存和运输方法：</w:t>
            </w:r>
            <w:r>
              <w:rPr>
                <w:rFonts w:hint="eastAsia"/>
              </w:rPr>
              <w:br w:type="textWrapping"/>
            </w:r>
            <w:r>
              <w:rPr>
                <w:rStyle w:val="11"/>
                <w:rFonts w:hint="eastAsia"/>
              </w:rPr>
              <w:t>1.本品应加锁保存，勿让儿童、无关人员和动物接触。勿与食物、饮料、粮食、种子和动物饲料等其他商品在一起存放或运输。未用完的产品应放在原包装内密封保存；切勿置于饮、食、饲料等其他容器中，配制未用的制剂应放入塑料、钢衬塑料、不锈钢和玻璃纤维容器的容器中储存，并清晰标注。2.本品应贮藏在避光、干燥、通风处。运输时应注意避光、防高温、雨淋。3.贮藏温度应避免低于-10℃或高于30℃。4.产品码放高度不宜超过2米，勿将产品倒置, 以免损坏包装。</w:t>
            </w:r>
          </w:p>
        </w:tc>
      </w:tr>
      <w:tr w14:paraId="684E2B3F">
        <w:tblPrEx>
          <w:tblCellMar>
            <w:top w:w="0" w:type="dxa"/>
            <w:left w:w="0" w:type="dxa"/>
            <w:bottom w:w="0" w:type="dxa"/>
            <w:right w:w="0" w:type="dxa"/>
          </w:tblCellMar>
        </w:tblPrEx>
        <w:trPr>
          <w:tblCellSpacing w:w="0" w:type="dxa"/>
        </w:trPr>
        <w:tc>
          <w:tcPr>
            <w:tcW w:w="0" w:type="auto"/>
            <w:vAlign w:val="center"/>
          </w:tcPr>
          <w:p w14:paraId="47F902AE">
            <w:r>
              <w:rPr>
                <w:rStyle w:val="10"/>
                <w:rFonts w:hint="eastAsia"/>
              </w:rPr>
              <w:t>质量保证期：</w:t>
            </w:r>
            <w:r>
              <w:rPr>
                <w:rStyle w:val="11"/>
                <w:rFonts w:hint="eastAsia"/>
              </w:rPr>
              <w:t>3年</w:t>
            </w:r>
          </w:p>
        </w:tc>
      </w:tr>
      <w:tr w14:paraId="09C1D97D">
        <w:tblPrEx>
          <w:tblCellMar>
            <w:top w:w="0" w:type="dxa"/>
            <w:left w:w="0" w:type="dxa"/>
            <w:bottom w:w="0" w:type="dxa"/>
            <w:right w:w="0" w:type="dxa"/>
          </w:tblCellMar>
        </w:tblPrEx>
        <w:trPr>
          <w:tblCellSpacing w:w="0" w:type="dxa"/>
        </w:trPr>
        <w:tc>
          <w:tcPr>
            <w:tcW w:w="0" w:type="auto"/>
            <w:vAlign w:val="center"/>
          </w:tcPr>
          <w:p w14:paraId="5D87D60B">
            <w:r>
              <w:rPr>
                <w:rStyle w:val="10"/>
                <w:rFonts w:hint="eastAsia"/>
              </w:rPr>
              <w:t>备注：</w:t>
            </w:r>
          </w:p>
        </w:tc>
      </w:tr>
    </w:tbl>
    <w:p w14:paraId="7AB83D42">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E6E2268">
        <w:trPr>
          <w:tblCellSpacing w:w="0" w:type="dxa"/>
        </w:trPr>
        <w:tc>
          <w:tcPr>
            <w:tcW w:w="0" w:type="auto"/>
            <w:vAlign w:val="center"/>
          </w:tcPr>
          <w:p w14:paraId="37F2B53B">
            <w:r>
              <w:rPr>
                <w:rStyle w:val="10"/>
                <w:rFonts w:hint="eastAsia"/>
              </w:rPr>
              <w:t>登记证号：</w:t>
            </w:r>
            <w:r>
              <w:rPr>
                <w:rFonts w:hint="eastAsia"/>
              </w:rPr>
              <w:t>PD20181616</w:t>
            </w:r>
          </w:p>
        </w:tc>
      </w:tr>
      <w:tr w14:paraId="6E9851C3">
        <w:tblPrEx>
          <w:tblCellMar>
            <w:top w:w="0" w:type="dxa"/>
            <w:left w:w="0" w:type="dxa"/>
            <w:bottom w:w="0" w:type="dxa"/>
            <w:right w:w="0" w:type="dxa"/>
          </w:tblCellMar>
        </w:tblPrEx>
        <w:trPr>
          <w:tblCellSpacing w:w="0" w:type="dxa"/>
        </w:trPr>
        <w:tc>
          <w:tcPr>
            <w:tcW w:w="0" w:type="auto"/>
            <w:vAlign w:val="center"/>
          </w:tcPr>
          <w:p w14:paraId="549B45E8">
            <w:r>
              <w:rPr>
                <w:rStyle w:val="10"/>
                <w:rFonts w:hint="eastAsia"/>
              </w:rPr>
              <w:t>登记证持有人：</w:t>
            </w:r>
            <w:r>
              <w:rPr>
                <w:rFonts w:hint="eastAsia"/>
              </w:rPr>
              <w:t>陕西上格之路生物科学有限公司</w:t>
            </w:r>
          </w:p>
        </w:tc>
      </w:tr>
      <w:tr w14:paraId="487A70F9">
        <w:tblPrEx>
          <w:tblCellMar>
            <w:top w:w="0" w:type="dxa"/>
            <w:left w:w="0" w:type="dxa"/>
            <w:bottom w:w="0" w:type="dxa"/>
            <w:right w:w="0" w:type="dxa"/>
          </w:tblCellMar>
        </w:tblPrEx>
        <w:trPr>
          <w:tblCellSpacing w:w="0" w:type="dxa"/>
        </w:trPr>
        <w:tc>
          <w:tcPr>
            <w:tcW w:w="0" w:type="auto"/>
            <w:vAlign w:val="center"/>
          </w:tcPr>
          <w:p w14:paraId="5A2A1E1F">
            <w:r>
              <w:rPr>
                <w:rStyle w:val="10"/>
                <w:rFonts w:hint="eastAsia"/>
              </w:rPr>
              <w:t>农药名称：</w:t>
            </w:r>
            <w:r>
              <w:rPr>
                <w:rFonts w:hint="eastAsia"/>
              </w:rPr>
              <w:t>苯肽胺酸</w:t>
            </w:r>
          </w:p>
        </w:tc>
      </w:tr>
      <w:tr w14:paraId="0AA2F1D3">
        <w:tblPrEx>
          <w:tblCellMar>
            <w:top w:w="0" w:type="dxa"/>
            <w:left w:w="0" w:type="dxa"/>
            <w:bottom w:w="0" w:type="dxa"/>
            <w:right w:w="0" w:type="dxa"/>
          </w:tblCellMar>
        </w:tblPrEx>
        <w:trPr>
          <w:tblCellSpacing w:w="0" w:type="dxa"/>
        </w:trPr>
        <w:tc>
          <w:tcPr>
            <w:tcW w:w="0" w:type="auto"/>
            <w:vAlign w:val="center"/>
          </w:tcPr>
          <w:p w14:paraId="25CA6256">
            <w:r>
              <w:rPr>
                <w:rStyle w:val="10"/>
                <w:rFonts w:hint="eastAsia"/>
              </w:rPr>
              <w:t>剂型：</w:t>
            </w:r>
            <w:r>
              <w:rPr>
                <w:rFonts w:hint="eastAsia"/>
              </w:rPr>
              <w:t>可溶液剂</w:t>
            </w:r>
          </w:p>
        </w:tc>
      </w:tr>
      <w:tr w14:paraId="683C63F8">
        <w:tblPrEx>
          <w:tblCellMar>
            <w:top w:w="0" w:type="dxa"/>
            <w:left w:w="0" w:type="dxa"/>
            <w:bottom w:w="0" w:type="dxa"/>
            <w:right w:w="0" w:type="dxa"/>
          </w:tblCellMar>
        </w:tblPrEx>
        <w:trPr>
          <w:tblCellSpacing w:w="0" w:type="dxa"/>
        </w:trPr>
        <w:tc>
          <w:tcPr>
            <w:tcW w:w="0" w:type="auto"/>
            <w:vAlign w:val="center"/>
          </w:tcPr>
          <w:p w14:paraId="1ECEC747">
            <w:r>
              <w:rPr>
                <w:rStyle w:val="10"/>
                <w:rFonts w:hint="eastAsia"/>
              </w:rPr>
              <w:t>毒性及其标识：</w:t>
            </w:r>
            <w:r>
              <w:rPr>
                <w:rFonts w:hint="eastAsia"/>
              </w:rPr>
              <w:t xml:space="preserve"> </w:t>
            </w:r>
            <w:r>
              <w:drawing>
                <wp:inline distT="0" distB="0" distL="0" distR="0">
                  <wp:extent cx="474345" cy="323850"/>
                  <wp:effectExtent l="0" t="0" r="1905"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2C024B14">
        <w:tblPrEx>
          <w:tblCellMar>
            <w:top w:w="0" w:type="dxa"/>
            <w:left w:w="0" w:type="dxa"/>
            <w:bottom w:w="0" w:type="dxa"/>
            <w:right w:w="0" w:type="dxa"/>
          </w:tblCellMar>
        </w:tblPrEx>
        <w:trPr>
          <w:tblCellSpacing w:w="0" w:type="dxa"/>
        </w:trPr>
        <w:tc>
          <w:tcPr>
            <w:tcW w:w="0" w:type="auto"/>
            <w:vAlign w:val="center"/>
          </w:tcPr>
          <w:p w14:paraId="08C1557F">
            <w:r>
              <w:rPr>
                <w:rStyle w:val="10"/>
                <w:rFonts w:hint="eastAsia"/>
              </w:rPr>
              <w:t>总有效成分含量：</w:t>
            </w:r>
            <w:r>
              <w:rPr>
                <w:rFonts w:hint="eastAsia"/>
              </w:rPr>
              <w:t>20%</w:t>
            </w:r>
          </w:p>
        </w:tc>
      </w:tr>
      <w:tr w14:paraId="25B5A891">
        <w:tblPrEx>
          <w:tblCellMar>
            <w:top w:w="0" w:type="dxa"/>
            <w:left w:w="0" w:type="dxa"/>
            <w:bottom w:w="0" w:type="dxa"/>
            <w:right w:w="0" w:type="dxa"/>
          </w:tblCellMar>
        </w:tblPrEx>
        <w:trPr>
          <w:tblCellSpacing w:w="0" w:type="dxa"/>
        </w:trPr>
        <w:tc>
          <w:tcPr>
            <w:tcW w:w="0" w:type="auto"/>
            <w:vAlign w:val="center"/>
          </w:tcPr>
          <w:p w14:paraId="1A86EE3D">
            <w:r>
              <w:rPr>
                <w:rFonts w:hint="eastAsia"/>
              </w:rPr>
              <w:t xml:space="preserve">有效成分及其含量： </w:t>
            </w:r>
          </w:p>
          <w:p w14:paraId="11B9F9BF">
            <w:r>
              <w:rPr>
                <w:rFonts w:hint="eastAsia"/>
              </w:rPr>
              <w:t xml:space="preserve">    苯肽胺酸20%    </w:t>
            </w:r>
          </w:p>
        </w:tc>
      </w:tr>
      <w:tr w14:paraId="65476B75">
        <w:tblPrEx>
          <w:tblCellMar>
            <w:top w:w="0" w:type="dxa"/>
            <w:left w:w="0" w:type="dxa"/>
            <w:bottom w:w="0" w:type="dxa"/>
            <w:right w:w="0" w:type="dxa"/>
          </w:tblCellMar>
        </w:tblPrEx>
        <w:trPr>
          <w:tblCellSpacing w:w="0" w:type="dxa"/>
        </w:trPr>
        <w:tc>
          <w:tcPr>
            <w:tcW w:w="0" w:type="auto"/>
            <w:vAlign w:val="center"/>
          </w:tcPr>
          <w:p w14:paraId="284F477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17429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9F15443">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2E76EF">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7AFA064">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323799">
                  <w:r>
                    <w:rPr>
                      <w:rStyle w:val="11"/>
                      <w:rFonts w:hint="eastAsia"/>
                    </w:rPr>
                    <w:t>施用方式</w:t>
                  </w:r>
                </w:p>
              </w:tc>
            </w:tr>
            <w:tr w14:paraId="3BF069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7BF457">
                  <w:r>
                    <w:rPr>
                      <w:rStyle w:val="11"/>
                      <w:rFonts w:hint="eastAsia"/>
                    </w:rPr>
                    <w:t>枣树</w:t>
                  </w:r>
                </w:p>
              </w:tc>
              <w:tc>
                <w:tcPr>
                  <w:tcW w:w="0" w:type="auto"/>
                  <w:tcBorders>
                    <w:top w:val="outset" w:color="auto" w:sz="6" w:space="0"/>
                    <w:left w:val="outset" w:color="auto" w:sz="6" w:space="0"/>
                    <w:bottom w:val="outset" w:color="auto" w:sz="6" w:space="0"/>
                    <w:right w:val="outset" w:color="auto" w:sz="6" w:space="0"/>
                  </w:tcBorders>
                  <w:vAlign w:val="center"/>
                </w:tcPr>
                <w:p w14:paraId="4AEF0868">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705AA080">
                  <w:r>
                    <w:rPr>
                      <w:rStyle w:val="11"/>
                      <w:rFonts w:hint="eastAsia"/>
                    </w:rPr>
                    <w:t>1000-1500倍液</w:t>
                  </w:r>
                </w:p>
              </w:tc>
              <w:tc>
                <w:tcPr>
                  <w:tcW w:w="0" w:type="auto"/>
                  <w:tcBorders>
                    <w:top w:val="outset" w:color="auto" w:sz="6" w:space="0"/>
                    <w:left w:val="outset" w:color="auto" w:sz="6" w:space="0"/>
                    <w:bottom w:val="outset" w:color="auto" w:sz="6" w:space="0"/>
                    <w:right w:val="outset" w:color="auto" w:sz="6" w:space="0"/>
                  </w:tcBorders>
                  <w:vAlign w:val="center"/>
                </w:tcPr>
                <w:p w14:paraId="121B0EEA">
                  <w:r>
                    <w:rPr>
                      <w:rStyle w:val="11"/>
                      <w:rFonts w:hint="eastAsia"/>
                    </w:rPr>
                    <w:t>喷雾</w:t>
                  </w:r>
                </w:p>
              </w:tc>
            </w:tr>
            <w:tr w14:paraId="2A78C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7B3D1C">
                  <w:r>
                    <w:rPr>
                      <w:rStyle w:val="11"/>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4444CB85">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558DF2FF">
                  <w:r>
                    <w:rPr>
                      <w:rStyle w:val="11"/>
                      <w:rFonts w:hint="eastAsia"/>
                    </w:rPr>
                    <w:t>800-1200倍液</w:t>
                  </w:r>
                </w:p>
              </w:tc>
              <w:tc>
                <w:tcPr>
                  <w:tcW w:w="0" w:type="auto"/>
                  <w:tcBorders>
                    <w:top w:val="outset" w:color="auto" w:sz="6" w:space="0"/>
                    <w:left w:val="outset" w:color="auto" w:sz="6" w:space="0"/>
                    <w:bottom w:val="outset" w:color="auto" w:sz="6" w:space="0"/>
                    <w:right w:val="outset" w:color="auto" w:sz="6" w:space="0"/>
                  </w:tcBorders>
                  <w:vAlign w:val="center"/>
                </w:tcPr>
                <w:p w14:paraId="5CF70A99">
                  <w:r>
                    <w:rPr>
                      <w:rStyle w:val="11"/>
                      <w:rFonts w:hint="eastAsia"/>
                    </w:rPr>
                    <w:t>喷雾</w:t>
                  </w:r>
                </w:p>
              </w:tc>
            </w:tr>
            <w:tr w14:paraId="2A43DE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802607">
                  <w:r>
                    <w:rPr>
                      <w:rStyle w:val="11"/>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577E6785">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1C638A06">
                  <w:r>
                    <w:rPr>
                      <w:rStyle w:val="11"/>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64013660">
                  <w:r>
                    <w:rPr>
                      <w:rStyle w:val="11"/>
                      <w:rFonts w:hint="eastAsia"/>
                    </w:rPr>
                    <w:t>喷雾</w:t>
                  </w:r>
                </w:p>
              </w:tc>
            </w:tr>
            <w:tr w14:paraId="2F7781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4DCC35">
                  <w:r>
                    <w:rPr>
                      <w:rStyle w:val="11"/>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00AFC70">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42AB9E66">
                  <w:r>
                    <w:rPr>
                      <w:rStyle w:val="11"/>
                      <w:rFonts w:hint="eastAsia"/>
                    </w:rPr>
                    <w:t>1000-1500倍液</w:t>
                  </w:r>
                </w:p>
              </w:tc>
              <w:tc>
                <w:tcPr>
                  <w:tcW w:w="0" w:type="auto"/>
                  <w:tcBorders>
                    <w:top w:val="outset" w:color="auto" w:sz="6" w:space="0"/>
                    <w:left w:val="outset" w:color="auto" w:sz="6" w:space="0"/>
                    <w:bottom w:val="outset" w:color="auto" w:sz="6" w:space="0"/>
                    <w:right w:val="outset" w:color="auto" w:sz="6" w:space="0"/>
                  </w:tcBorders>
                  <w:vAlign w:val="center"/>
                </w:tcPr>
                <w:p w14:paraId="79FF4656">
                  <w:r>
                    <w:rPr>
                      <w:rStyle w:val="11"/>
                      <w:rFonts w:hint="eastAsia"/>
                    </w:rPr>
                    <w:t>喷雾</w:t>
                  </w:r>
                </w:p>
              </w:tc>
            </w:tr>
            <w:tr w14:paraId="1ABD77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24D937">
                  <w:r>
                    <w:rPr>
                      <w:rStyle w:val="11"/>
                      <w:rFonts w:hint="eastAsia"/>
                    </w:rPr>
                    <w:t>大豆</w:t>
                  </w:r>
                </w:p>
              </w:tc>
              <w:tc>
                <w:tcPr>
                  <w:tcW w:w="0" w:type="auto"/>
                  <w:tcBorders>
                    <w:top w:val="outset" w:color="auto" w:sz="6" w:space="0"/>
                    <w:left w:val="outset" w:color="auto" w:sz="6" w:space="0"/>
                    <w:bottom w:val="outset" w:color="auto" w:sz="6" w:space="0"/>
                    <w:right w:val="outset" w:color="auto" w:sz="6" w:space="0"/>
                  </w:tcBorders>
                  <w:vAlign w:val="center"/>
                </w:tcPr>
                <w:p w14:paraId="18C6A2C5">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1DFC7E7B">
                  <w:r>
                    <w:rPr>
                      <w:rStyle w:val="11"/>
                      <w:rFonts w:hint="eastAsia"/>
                    </w:rPr>
                    <w:t>300-400倍液</w:t>
                  </w:r>
                </w:p>
              </w:tc>
              <w:tc>
                <w:tcPr>
                  <w:tcW w:w="0" w:type="auto"/>
                  <w:tcBorders>
                    <w:top w:val="outset" w:color="auto" w:sz="6" w:space="0"/>
                    <w:left w:val="outset" w:color="auto" w:sz="6" w:space="0"/>
                    <w:bottom w:val="outset" w:color="auto" w:sz="6" w:space="0"/>
                    <w:right w:val="outset" w:color="auto" w:sz="6" w:space="0"/>
                  </w:tcBorders>
                  <w:vAlign w:val="center"/>
                </w:tcPr>
                <w:p w14:paraId="16AD2CD5">
                  <w:r>
                    <w:rPr>
                      <w:rStyle w:val="11"/>
                      <w:rFonts w:hint="eastAsia"/>
                    </w:rPr>
                    <w:t>喷雾</w:t>
                  </w:r>
                </w:p>
              </w:tc>
            </w:tr>
          </w:tbl>
          <w:p w14:paraId="2CE7D0BE">
            <w:pPr>
              <w:rPr>
                <w:rFonts w:ascii="Times New Roman" w:hAnsi="Times New Roman" w:cs="Times New Roman"/>
                <w:sz w:val="20"/>
                <w:szCs w:val="20"/>
              </w:rPr>
            </w:pPr>
          </w:p>
        </w:tc>
      </w:tr>
      <w:tr w14:paraId="48445D94">
        <w:tblPrEx>
          <w:tblCellMar>
            <w:top w:w="0" w:type="dxa"/>
            <w:left w:w="0" w:type="dxa"/>
            <w:bottom w:w="0" w:type="dxa"/>
            <w:right w:w="0" w:type="dxa"/>
          </w:tblCellMar>
        </w:tblPrEx>
        <w:trPr>
          <w:tblCellSpacing w:w="0" w:type="dxa"/>
        </w:trPr>
        <w:tc>
          <w:tcPr>
            <w:tcW w:w="0" w:type="auto"/>
            <w:vAlign w:val="center"/>
          </w:tcPr>
          <w:p w14:paraId="70D0A36A">
            <w:r>
              <w:rPr>
                <w:rStyle w:val="10"/>
                <w:rFonts w:hint="eastAsia"/>
              </w:rPr>
              <w:t>使用技术要求:</w:t>
            </w:r>
            <w:r>
              <w:rPr>
                <w:rFonts w:hint="eastAsia"/>
              </w:rPr>
              <w:br w:type="textWrapping"/>
            </w:r>
            <w:r>
              <w:rPr>
                <w:rStyle w:val="11"/>
                <w:rFonts w:hint="eastAsia"/>
              </w:rPr>
              <w:t>1、大豆：应于花蕾期、初花期或开花后施药，使用时注意喷雾均匀、周到；枣树：应于幼果期施药，使用时注意喷雾均匀、周到；小麦：应于小麦返青拔节期、扬花期各施药一次；油菜：应于油菜苔期、初花期各施药一次； 2、大风天或1小时内有降雨，请勿施药； 3、大豆每季最多施药2次；枣树每季最多施药1次；小麦每季最多施药2次；油菜每季最多施药2次；苹果树幼果期施药，每季最多施药1次。</w:t>
            </w:r>
          </w:p>
        </w:tc>
      </w:tr>
      <w:tr w14:paraId="39664ED3">
        <w:tblPrEx>
          <w:tblCellMar>
            <w:top w:w="0" w:type="dxa"/>
            <w:left w:w="0" w:type="dxa"/>
            <w:bottom w:w="0" w:type="dxa"/>
            <w:right w:w="0" w:type="dxa"/>
          </w:tblCellMar>
        </w:tblPrEx>
        <w:trPr>
          <w:tblCellSpacing w:w="0" w:type="dxa"/>
        </w:trPr>
        <w:tc>
          <w:tcPr>
            <w:tcW w:w="0" w:type="auto"/>
            <w:vAlign w:val="center"/>
          </w:tcPr>
          <w:p w14:paraId="64FD8626">
            <w:r>
              <w:rPr>
                <w:rStyle w:val="10"/>
                <w:rFonts w:hint="eastAsia"/>
              </w:rPr>
              <w:t>产品性能:</w:t>
            </w:r>
            <w:r>
              <w:rPr>
                <w:rFonts w:hint="eastAsia"/>
              </w:rPr>
              <w:br w:type="textWrapping"/>
            </w:r>
            <w:r>
              <w:rPr>
                <w:rStyle w:val="11"/>
                <w:rFonts w:hint="eastAsia"/>
              </w:rPr>
              <w:t>本品通过叶面喷施能迅速进入植物体内，通过协同植物体内内源激素和改变细胞内抗氧化和防御物质，来促进营养物质输送到植物生长点；增强植物细胞的活力，促进叶绿素的合成，增强植物抗逆能力。</w:t>
            </w:r>
          </w:p>
        </w:tc>
      </w:tr>
      <w:tr w14:paraId="4B885DD8">
        <w:tblPrEx>
          <w:tblCellMar>
            <w:top w:w="0" w:type="dxa"/>
            <w:left w:w="0" w:type="dxa"/>
            <w:bottom w:w="0" w:type="dxa"/>
            <w:right w:w="0" w:type="dxa"/>
          </w:tblCellMar>
        </w:tblPrEx>
        <w:trPr>
          <w:tblCellSpacing w:w="0" w:type="dxa"/>
        </w:trPr>
        <w:tc>
          <w:tcPr>
            <w:tcW w:w="0" w:type="auto"/>
            <w:vAlign w:val="center"/>
          </w:tcPr>
          <w:p w14:paraId="518A74DA">
            <w:r>
              <w:rPr>
                <w:rStyle w:val="10"/>
                <w:rFonts w:hint="eastAsia"/>
              </w:rPr>
              <w:t>注意事项：</w:t>
            </w:r>
            <w:r>
              <w:rPr>
                <w:rFonts w:hint="eastAsia"/>
              </w:rPr>
              <w:br w:type="textWrapping"/>
            </w:r>
            <w:r>
              <w:rPr>
                <w:rStyle w:val="11"/>
                <w:rFonts w:hint="eastAsia"/>
              </w:rPr>
              <w:t>1.请严格按照本标签推荐用药量及施用方法使用； 2.避免在烈日下喷雾，施药后3小时遇雨需重喷； 3.水产养殖区、河塘等水体附近禁用。禁止在河塘等水体中清洗施药器具，清洗施药器具的废水不得随意排入池塘、河流等水体；桑园和蚕室附近禁用。不可使用最外围桑树上的桑叶饲喂家蚕； 4.本品不可直接与强酸强碱性农药等物质混用。使用时先将其他农药配好，然后加入本品后混合均匀； 5.应采用高效的施药器械施药，使用本品时应穿长衣长裤、靴子、戴手套、口罩、帽子等适当的防护用具，避免吸入药液。施药期间不可吃东西和饮水，施药后应及时洗脸和洗手； 6.孕妇及哺乳期妇女避免接触本品； 7.用过的容器应妥善处理，不可做他用，也不可随意丢弃。</w:t>
            </w:r>
          </w:p>
        </w:tc>
      </w:tr>
      <w:tr w14:paraId="62772D42">
        <w:tblPrEx>
          <w:tblCellMar>
            <w:top w:w="0" w:type="dxa"/>
            <w:left w:w="0" w:type="dxa"/>
            <w:bottom w:w="0" w:type="dxa"/>
            <w:right w:w="0" w:type="dxa"/>
          </w:tblCellMar>
        </w:tblPrEx>
        <w:trPr>
          <w:tblCellSpacing w:w="0" w:type="dxa"/>
        </w:trPr>
        <w:tc>
          <w:tcPr>
            <w:tcW w:w="0" w:type="auto"/>
            <w:vAlign w:val="center"/>
          </w:tcPr>
          <w:p w14:paraId="3BAB5AEC">
            <w:r>
              <w:rPr>
                <w:rStyle w:val="10"/>
                <w:rFonts w:hint="eastAsia"/>
              </w:rPr>
              <w:t>中毒急救措施：</w:t>
            </w:r>
            <w:r>
              <w:rPr>
                <w:rFonts w:hint="eastAsia"/>
              </w:rPr>
              <w:br w:type="textWrapping"/>
            </w:r>
            <w:r>
              <w:rPr>
                <w:rStyle w:val="11"/>
                <w:rFonts w:hint="eastAsia"/>
              </w:rPr>
              <w:t>不慎接触皮肤，应立即用肥皂和清水冲洗。不慎溅入眼睛，应用大量清水冲洗至少15分钟。误服则立即携此标签送病人去医院诊治，对症治疗，不能引吐。无特效解毒剂。</w:t>
            </w:r>
          </w:p>
        </w:tc>
      </w:tr>
      <w:tr w14:paraId="66D70DF0">
        <w:tblPrEx>
          <w:tblCellMar>
            <w:top w:w="0" w:type="dxa"/>
            <w:left w:w="0" w:type="dxa"/>
            <w:bottom w:w="0" w:type="dxa"/>
            <w:right w:w="0" w:type="dxa"/>
          </w:tblCellMar>
        </w:tblPrEx>
        <w:trPr>
          <w:tblCellSpacing w:w="0" w:type="dxa"/>
        </w:trPr>
        <w:tc>
          <w:tcPr>
            <w:tcW w:w="0" w:type="auto"/>
            <w:vAlign w:val="center"/>
          </w:tcPr>
          <w:p w14:paraId="70AAFEE7">
            <w:r>
              <w:rPr>
                <w:rStyle w:val="10"/>
                <w:rFonts w:hint="eastAsia"/>
              </w:rPr>
              <w:t>储存和运输方法：</w:t>
            </w:r>
            <w:r>
              <w:rPr>
                <w:rFonts w:hint="eastAsia"/>
              </w:rPr>
              <w:br w:type="textWrapping"/>
            </w:r>
            <w:r>
              <w:rPr>
                <w:rStyle w:val="11"/>
                <w:rFonts w:hint="eastAsia"/>
              </w:rPr>
              <w:t>本品应贮存在干燥、阴凉、通风、防雨处，远离火源或热源。置于儿童、无关人员等触及不到之处，并加锁。勿与食品、粮食、饮料、饲料等同贮同运。</w:t>
            </w:r>
          </w:p>
        </w:tc>
      </w:tr>
      <w:tr w14:paraId="40109A28">
        <w:tblPrEx>
          <w:tblCellMar>
            <w:top w:w="0" w:type="dxa"/>
            <w:left w:w="0" w:type="dxa"/>
            <w:bottom w:w="0" w:type="dxa"/>
            <w:right w:w="0" w:type="dxa"/>
          </w:tblCellMar>
        </w:tblPrEx>
        <w:trPr>
          <w:tblCellSpacing w:w="0" w:type="dxa"/>
        </w:trPr>
        <w:tc>
          <w:tcPr>
            <w:tcW w:w="0" w:type="auto"/>
            <w:vAlign w:val="center"/>
          </w:tcPr>
          <w:p w14:paraId="49A17D61">
            <w:r>
              <w:rPr>
                <w:rStyle w:val="10"/>
                <w:rFonts w:hint="eastAsia"/>
              </w:rPr>
              <w:t>质量保证期：</w:t>
            </w:r>
            <w:r>
              <w:rPr>
                <w:rStyle w:val="11"/>
                <w:rFonts w:hint="eastAsia"/>
              </w:rPr>
              <w:t>2年</w:t>
            </w:r>
          </w:p>
        </w:tc>
      </w:tr>
      <w:tr w14:paraId="286B4827">
        <w:tblPrEx>
          <w:tblCellMar>
            <w:top w:w="0" w:type="dxa"/>
            <w:left w:w="0" w:type="dxa"/>
            <w:bottom w:w="0" w:type="dxa"/>
            <w:right w:w="0" w:type="dxa"/>
          </w:tblCellMar>
        </w:tblPrEx>
        <w:trPr>
          <w:tblCellSpacing w:w="0" w:type="dxa"/>
        </w:trPr>
        <w:tc>
          <w:tcPr>
            <w:tcW w:w="0" w:type="auto"/>
            <w:vAlign w:val="center"/>
          </w:tcPr>
          <w:p w14:paraId="45F9B381">
            <w:r>
              <w:rPr>
                <w:rStyle w:val="10"/>
                <w:rFonts w:hint="eastAsia"/>
              </w:rPr>
              <w:t>备注：</w:t>
            </w:r>
          </w:p>
        </w:tc>
      </w:tr>
    </w:tbl>
    <w:p w14:paraId="7BBDF3A2">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CF4610">
        <w:tblPrEx>
          <w:tblCellMar>
            <w:top w:w="0" w:type="dxa"/>
            <w:left w:w="0" w:type="dxa"/>
            <w:bottom w:w="0" w:type="dxa"/>
            <w:right w:w="0" w:type="dxa"/>
          </w:tblCellMar>
        </w:tblPrEx>
        <w:trPr>
          <w:tblCellSpacing w:w="0" w:type="dxa"/>
        </w:trPr>
        <w:tc>
          <w:tcPr>
            <w:tcW w:w="0" w:type="auto"/>
            <w:vAlign w:val="center"/>
          </w:tcPr>
          <w:p w14:paraId="54A0CB33">
            <w:r>
              <w:rPr>
                <w:rStyle w:val="10"/>
                <w:rFonts w:hint="eastAsia"/>
              </w:rPr>
              <w:t>登记证号：</w:t>
            </w:r>
            <w:r>
              <w:rPr>
                <w:rFonts w:hint="eastAsia"/>
              </w:rPr>
              <w:t>WP20080230</w:t>
            </w:r>
          </w:p>
        </w:tc>
      </w:tr>
      <w:tr w14:paraId="755798E6">
        <w:tblPrEx>
          <w:tblCellMar>
            <w:top w:w="0" w:type="dxa"/>
            <w:left w:w="0" w:type="dxa"/>
            <w:bottom w:w="0" w:type="dxa"/>
            <w:right w:w="0" w:type="dxa"/>
          </w:tblCellMar>
        </w:tblPrEx>
        <w:trPr>
          <w:tblCellSpacing w:w="0" w:type="dxa"/>
        </w:trPr>
        <w:tc>
          <w:tcPr>
            <w:tcW w:w="0" w:type="auto"/>
            <w:vAlign w:val="center"/>
          </w:tcPr>
          <w:p w14:paraId="0B750119">
            <w:r>
              <w:rPr>
                <w:rStyle w:val="10"/>
                <w:rFonts w:hint="eastAsia"/>
              </w:rPr>
              <w:t>登记证持有人：</w:t>
            </w:r>
            <w:r>
              <w:rPr>
                <w:rFonts w:hint="eastAsia"/>
              </w:rPr>
              <w:t>广州超威日用化学用品有限公司</w:t>
            </w:r>
          </w:p>
        </w:tc>
      </w:tr>
      <w:tr w14:paraId="194D2501">
        <w:tblPrEx>
          <w:tblCellMar>
            <w:top w:w="0" w:type="dxa"/>
            <w:left w:w="0" w:type="dxa"/>
            <w:bottom w:w="0" w:type="dxa"/>
            <w:right w:w="0" w:type="dxa"/>
          </w:tblCellMar>
        </w:tblPrEx>
        <w:trPr>
          <w:tblCellSpacing w:w="0" w:type="dxa"/>
        </w:trPr>
        <w:tc>
          <w:tcPr>
            <w:tcW w:w="0" w:type="auto"/>
            <w:vAlign w:val="center"/>
          </w:tcPr>
          <w:p w14:paraId="04C1E97D">
            <w:r>
              <w:rPr>
                <w:rStyle w:val="10"/>
                <w:rFonts w:hint="eastAsia"/>
              </w:rPr>
              <w:t>农药名称：</w:t>
            </w:r>
            <w:r>
              <w:rPr>
                <w:rFonts w:hint="eastAsia"/>
              </w:rPr>
              <w:t>杀虫气雾剂</w:t>
            </w:r>
          </w:p>
        </w:tc>
      </w:tr>
      <w:tr w14:paraId="552D12D9">
        <w:tblPrEx>
          <w:tblCellMar>
            <w:top w:w="0" w:type="dxa"/>
            <w:left w:w="0" w:type="dxa"/>
            <w:bottom w:w="0" w:type="dxa"/>
            <w:right w:w="0" w:type="dxa"/>
          </w:tblCellMar>
        </w:tblPrEx>
        <w:trPr>
          <w:tblCellSpacing w:w="0" w:type="dxa"/>
        </w:trPr>
        <w:tc>
          <w:tcPr>
            <w:tcW w:w="0" w:type="auto"/>
            <w:vAlign w:val="center"/>
          </w:tcPr>
          <w:p w14:paraId="79F1128C">
            <w:r>
              <w:rPr>
                <w:rStyle w:val="10"/>
                <w:rFonts w:hint="eastAsia"/>
              </w:rPr>
              <w:t>剂型：</w:t>
            </w:r>
            <w:r>
              <w:rPr>
                <w:rFonts w:hint="eastAsia"/>
              </w:rPr>
              <w:t>气雾剂</w:t>
            </w:r>
          </w:p>
        </w:tc>
      </w:tr>
      <w:tr w14:paraId="68092C97">
        <w:tblPrEx>
          <w:tblCellMar>
            <w:top w:w="0" w:type="dxa"/>
            <w:left w:w="0" w:type="dxa"/>
            <w:bottom w:w="0" w:type="dxa"/>
            <w:right w:w="0" w:type="dxa"/>
          </w:tblCellMar>
        </w:tblPrEx>
        <w:trPr>
          <w:tblCellSpacing w:w="0" w:type="dxa"/>
        </w:trPr>
        <w:tc>
          <w:tcPr>
            <w:tcW w:w="0" w:type="auto"/>
            <w:vAlign w:val="center"/>
          </w:tcPr>
          <w:p w14:paraId="71B13F1D">
            <w:r>
              <w:rPr>
                <w:rStyle w:val="10"/>
                <w:rFonts w:hint="eastAsia"/>
              </w:rPr>
              <w:t>毒性及其标识：</w:t>
            </w:r>
            <w:r>
              <w:rPr>
                <w:rFonts w:hint="eastAsia"/>
              </w:rPr>
              <w:t xml:space="preserve"> 微毒 </w:t>
            </w:r>
          </w:p>
        </w:tc>
      </w:tr>
      <w:tr w14:paraId="483FF0C7">
        <w:tblPrEx>
          <w:tblCellMar>
            <w:top w:w="0" w:type="dxa"/>
            <w:left w:w="0" w:type="dxa"/>
            <w:bottom w:w="0" w:type="dxa"/>
            <w:right w:w="0" w:type="dxa"/>
          </w:tblCellMar>
        </w:tblPrEx>
        <w:trPr>
          <w:tblCellSpacing w:w="0" w:type="dxa"/>
        </w:trPr>
        <w:tc>
          <w:tcPr>
            <w:tcW w:w="0" w:type="auto"/>
            <w:vAlign w:val="center"/>
          </w:tcPr>
          <w:p w14:paraId="6EC30855">
            <w:r>
              <w:rPr>
                <w:rStyle w:val="10"/>
                <w:rFonts w:hint="eastAsia"/>
              </w:rPr>
              <w:t>总有效成分含量：</w:t>
            </w:r>
            <w:r>
              <w:rPr>
                <w:rFonts w:hint="eastAsia"/>
              </w:rPr>
              <w:t>0.45%</w:t>
            </w:r>
          </w:p>
        </w:tc>
      </w:tr>
      <w:tr w14:paraId="3ACB99AB">
        <w:tblPrEx>
          <w:tblCellMar>
            <w:top w:w="0" w:type="dxa"/>
            <w:left w:w="0" w:type="dxa"/>
            <w:bottom w:w="0" w:type="dxa"/>
            <w:right w:w="0" w:type="dxa"/>
          </w:tblCellMar>
        </w:tblPrEx>
        <w:trPr>
          <w:tblCellSpacing w:w="0" w:type="dxa"/>
        </w:trPr>
        <w:tc>
          <w:tcPr>
            <w:tcW w:w="0" w:type="auto"/>
            <w:vAlign w:val="center"/>
          </w:tcPr>
          <w:p w14:paraId="72515E22">
            <w:r>
              <w:rPr>
                <w:rFonts w:hint="eastAsia"/>
              </w:rPr>
              <w:t xml:space="preserve">有效成分及其含量： </w:t>
            </w:r>
          </w:p>
          <w:p w14:paraId="4A901B31">
            <w:r>
              <w:rPr>
                <w:rFonts w:hint="eastAsia"/>
              </w:rPr>
              <w:t xml:space="preserve">    高效氯氰菊酯0.1%    右旋胺菊酯0.25%    右旋苯醚氰菊酯0.1%    </w:t>
            </w:r>
          </w:p>
        </w:tc>
      </w:tr>
      <w:tr w14:paraId="79E7C7C7">
        <w:tblPrEx>
          <w:tblCellMar>
            <w:top w:w="0" w:type="dxa"/>
            <w:left w:w="0" w:type="dxa"/>
            <w:bottom w:w="0" w:type="dxa"/>
            <w:right w:w="0" w:type="dxa"/>
          </w:tblCellMar>
        </w:tblPrEx>
        <w:trPr>
          <w:tblCellSpacing w:w="0" w:type="dxa"/>
        </w:trPr>
        <w:tc>
          <w:tcPr>
            <w:tcW w:w="0" w:type="auto"/>
            <w:vAlign w:val="center"/>
          </w:tcPr>
          <w:p w14:paraId="07A712E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F6873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BEE6F13">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075C5F">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C0DC71">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5C69F3D">
                  <w:r>
                    <w:rPr>
                      <w:rStyle w:val="11"/>
                      <w:rFonts w:hint="eastAsia"/>
                    </w:rPr>
                    <w:t>施用方式</w:t>
                  </w:r>
                </w:p>
              </w:tc>
            </w:tr>
            <w:tr w14:paraId="2F9FDC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E22DB5">
                  <w:r>
                    <w:rPr>
                      <w:rStyle w:val="11"/>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69785E7C">
                  <w:r>
                    <w:rPr>
                      <w:rStyle w:val="11"/>
                      <w:rFonts w:hint="eastAsia"/>
                    </w:rPr>
                    <w:t>臭虫</w:t>
                  </w:r>
                </w:p>
              </w:tc>
              <w:tc>
                <w:tcPr>
                  <w:tcW w:w="0" w:type="auto"/>
                  <w:tcBorders>
                    <w:top w:val="outset" w:color="auto" w:sz="6" w:space="0"/>
                    <w:left w:val="outset" w:color="auto" w:sz="6" w:space="0"/>
                    <w:bottom w:val="outset" w:color="auto" w:sz="6" w:space="0"/>
                    <w:right w:val="outset" w:color="auto" w:sz="6" w:space="0"/>
                  </w:tcBorders>
                  <w:vAlign w:val="center"/>
                </w:tcPr>
                <w:p w14:paraId="026F29A1">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0AC2216F">
                  <w:r>
                    <w:rPr>
                      <w:rStyle w:val="11"/>
                      <w:rFonts w:hint="eastAsia"/>
                    </w:rPr>
                    <w:t>喷雾</w:t>
                  </w:r>
                </w:p>
              </w:tc>
            </w:tr>
            <w:tr w14:paraId="4AEB8A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6496FB">
                  <w:r>
                    <w:rPr>
                      <w:rStyle w:val="11"/>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14ECA3EC">
                  <w:r>
                    <w:rPr>
                      <w:rStyle w:val="11"/>
                      <w:rFonts w:hint="eastAsia"/>
                    </w:rPr>
                    <w:t>蚂蚁</w:t>
                  </w:r>
                </w:p>
              </w:tc>
              <w:tc>
                <w:tcPr>
                  <w:tcW w:w="0" w:type="auto"/>
                  <w:tcBorders>
                    <w:top w:val="outset" w:color="auto" w:sz="6" w:space="0"/>
                    <w:left w:val="outset" w:color="auto" w:sz="6" w:space="0"/>
                    <w:bottom w:val="outset" w:color="auto" w:sz="6" w:space="0"/>
                    <w:right w:val="outset" w:color="auto" w:sz="6" w:space="0"/>
                  </w:tcBorders>
                  <w:vAlign w:val="center"/>
                </w:tcPr>
                <w:p w14:paraId="215707F9">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BC448AC">
                  <w:r>
                    <w:rPr>
                      <w:rStyle w:val="11"/>
                      <w:rFonts w:hint="eastAsia"/>
                    </w:rPr>
                    <w:t>喷雾</w:t>
                  </w:r>
                </w:p>
              </w:tc>
            </w:tr>
            <w:tr w14:paraId="3A6B48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005E4F">
                  <w:r>
                    <w:rPr>
                      <w:rStyle w:val="11"/>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04BF4FED">
                  <w:r>
                    <w:rPr>
                      <w:rStyle w:val="11"/>
                      <w:rFonts w:hint="eastAsia"/>
                    </w:rPr>
                    <w:t>跳蚤</w:t>
                  </w:r>
                </w:p>
              </w:tc>
              <w:tc>
                <w:tcPr>
                  <w:tcW w:w="0" w:type="auto"/>
                  <w:tcBorders>
                    <w:top w:val="outset" w:color="auto" w:sz="6" w:space="0"/>
                    <w:left w:val="outset" w:color="auto" w:sz="6" w:space="0"/>
                    <w:bottom w:val="outset" w:color="auto" w:sz="6" w:space="0"/>
                    <w:right w:val="outset" w:color="auto" w:sz="6" w:space="0"/>
                  </w:tcBorders>
                  <w:vAlign w:val="center"/>
                </w:tcPr>
                <w:p w14:paraId="3021346B">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082E733D">
                  <w:r>
                    <w:rPr>
                      <w:rStyle w:val="11"/>
                      <w:rFonts w:hint="eastAsia"/>
                    </w:rPr>
                    <w:t>喷雾</w:t>
                  </w:r>
                </w:p>
              </w:tc>
            </w:tr>
            <w:tr w14:paraId="5B3B5A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52EB5A">
                  <w:r>
                    <w:rPr>
                      <w:rStyle w:val="11"/>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0BFAA1C7">
                  <w:r>
                    <w:rPr>
                      <w:rStyle w:val="11"/>
                      <w:rFonts w:hint="eastAsia"/>
                    </w:rPr>
                    <w:t>蚊、蝇、蜚蠊</w:t>
                  </w:r>
                </w:p>
              </w:tc>
              <w:tc>
                <w:tcPr>
                  <w:tcW w:w="0" w:type="auto"/>
                  <w:tcBorders>
                    <w:top w:val="outset" w:color="auto" w:sz="6" w:space="0"/>
                    <w:left w:val="outset" w:color="auto" w:sz="6" w:space="0"/>
                    <w:bottom w:val="outset" w:color="auto" w:sz="6" w:space="0"/>
                    <w:right w:val="outset" w:color="auto" w:sz="6" w:space="0"/>
                  </w:tcBorders>
                  <w:vAlign w:val="center"/>
                </w:tcPr>
                <w:p w14:paraId="4EFE496D">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4A30952">
                  <w:r>
                    <w:rPr>
                      <w:rStyle w:val="11"/>
                      <w:rFonts w:hint="eastAsia"/>
                    </w:rPr>
                    <w:t>喷雾</w:t>
                  </w:r>
                </w:p>
              </w:tc>
            </w:tr>
          </w:tbl>
          <w:p w14:paraId="1133FC12">
            <w:pPr>
              <w:rPr>
                <w:rFonts w:ascii="Times New Roman" w:hAnsi="Times New Roman" w:cs="Times New Roman"/>
                <w:sz w:val="20"/>
                <w:szCs w:val="20"/>
              </w:rPr>
            </w:pPr>
          </w:p>
        </w:tc>
      </w:tr>
      <w:tr w14:paraId="53B519BD">
        <w:tblPrEx>
          <w:tblCellMar>
            <w:top w:w="0" w:type="dxa"/>
            <w:left w:w="0" w:type="dxa"/>
            <w:bottom w:w="0" w:type="dxa"/>
            <w:right w:w="0" w:type="dxa"/>
          </w:tblCellMar>
        </w:tblPrEx>
        <w:trPr>
          <w:tblCellSpacing w:w="0" w:type="dxa"/>
        </w:trPr>
        <w:tc>
          <w:tcPr>
            <w:tcW w:w="0" w:type="auto"/>
            <w:vAlign w:val="center"/>
          </w:tcPr>
          <w:p w14:paraId="5AE5A4A8">
            <w:r>
              <w:rPr>
                <w:rStyle w:val="10"/>
                <w:rFonts w:hint="eastAsia"/>
              </w:rPr>
              <w:t>使用技术要求:</w:t>
            </w:r>
            <w:r>
              <w:rPr>
                <w:rFonts w:hint="eastAsia"/>
              </w:rPr>
              <w:br w:type="textWrapping"/>
            </w:r>
            <w:r>
              <w:rPr>
                <w:rStyle w:val="11"/>
                <w:rFonts w:hint="eastAsia"/>
              </w:rPr>
              <w:t>用前摇匀，罐体直立喷射，切勿倒置罐身喷射。对准害虫喷射或关闭门窗，在距墙壁、家具约一米处向空中适量喷射。使用后人畜需立即离开房间，20分钟后打开门窗通风后方可进入。</w:t>
            </w:r>
          </w:p>
        </w:tc>
      </w:tr>
      <w:tr w14:paraId="706F3336">
        <w:tblPrEx>
          <w:tblCellMar>
            <w:top w:w="0" w:type="dxa"/>
            <w:left w:w="0" w:type="dxa"/>
            <w:bottom w:w="0" w:type="dxa"/>
            <w:right w:w="0" w:type="dxa"/>
          </w:tblCellMar>
        </w:tblPrEx>
        <w:trPr>
          <w:tblCellSpacing w:w="0" w:type="dxa"/>
        </w:trPr>
        <w:tc>
          <w:tcPr>
            <w:tcW w:w="0" w:type="auto"/>
            <w:vAlign w:val="center"/>
          </w:tcPr>
          <w:p w14:paraId="195202DC">
            <w:r>
              <w:rPr>
                <w:rStyle w:val="10"/>
                <w:rFonts w:hint="eastAsia"/>
              </w:rPr>
              <w:t>产品性能:</w:t>
            </w:r>
            <w:r>
              <w:rPr>
                <w:rFonts w:hint="eastAsia"/>
              </w:rPr>
              <w:br w:type="textWrapping"/>
            </w:r>
            <w:r>
              <w:rPr>
                <w:rStyle w:val="11"/>
                <w:rFonts w:hint="eastAsia"/>
              </w:rPr>
              <w:t>本品为采用拟除虫菊酯为有效成分的杀虫气雾剂，能有效驱杀多种害虫，分别是淡色库蚊、白纹伊蚊、蝇、美洲大蠊和德国小蠊（俗称蟑螂）、蚂蚁、跳蚤、臭虫。适合于家居、宾馆等室内使用。</w:t>
            </w:r>
          </w:p>
        </w:tc>
      </w:tr>
      <w:tr w14:paraId="632FA928">
        <w:tblPrEx>
          <w:tblCellMar>
            <w:top w:w="0" w:type="dxa"/>
            <w:left w:w="0" w:type="dxa"/>
            <w:bottom w:w="0" w:type="dxa"/>
            <w:right w:w="0" w:type="dxa"/>
          </w:tblCellMar>
        </w:tblPrEx>
        <w:trPr>
          <w:tblCellSpacing w:w="0" w:type="dxa"/>
        </w:trPr>
        <w:tc>
          <w:tcPr>
            <w:tcW w:w="0" w:type="auto"/>
            <w:vAlign w:val="center"/>
          </w:tcPr>
          <w:p w14:paraId="78D679BF">
            <w:r>
              <w:rPr>
                <w:rStyle w:val="10"/>
                <w:rFonts w:hint="eastAsia"/>
              </w:rPr>
              <w:t>注意事项：</w:t>
            </w:r>
            <w:r>
              <w:rPr>
                <w:rFonts w:hint="eastAsia"/>
              </w:rPr>
              <w:br w:type="textWrapping"/>
            </w:r>
            <w:r>
              <w:rPr>
                <w:rStyle w:val="11"/>
                <w:rFonts w:hint="eastAsia"/>
              </w:rPr>
              <w:t>请按指示使用，置于儿童和宠物接触不到的地方。 使用后注意通风，勿倒置罐身使用，用后洗手，勿向人体、食物及餐具喷射。 本品对鱼类、蜂和蚕毒性高，蚕室及其附近禁用。 过敏者禁用，使用中有任何不良反应请及时就医。 本品属于压力包装产品，不得撞击，远离火源使用；切勿毁坏及焚烧，空罐勿投入火中，注意贮存、运输和使用安全。</w:t>
            </w:r>
          </w:p>
        </w:tc>
      </w:tr>
      <w:tr w14:paraId="42959BD6">
        <w:tblPrEx>
          <w:tblCellMar>
            <w:top w:w="0" w:type="dxa"/>
            <w:left w:w="0" w:type="dxa"/>
            <w:bottom w:w="0" w:type="dxa"/>
            <w:right w:w="0" w:type="dxa"/>
          </w:tblCellMar>
        </w:tblPrEx>
        <w:trPr>
          <w:tblCellSpacing w:w="0" w:type="dxa"/>
        </w:trPr>
        <w:tc>
          <w:tcPr>
            <w:tcW w:w="0" w:type="auto"/>
            <w:vAlign w:val="center"/>
          </w:tcPr>
          <w:p w14:paraId="3E235C1C">
            <w:r>
              <w:rPr>
                <w:rStyle w:val="10"/>
                <w:rFonts w:hint="eastAsia"/>
              </w:rPr>
              <w:t>中毒急救措施：</w:t>
            </w:r>
            <w:r>
              <w:rPr>
                <w:rFonts w:hint="eastAsia"/>
              </w:rPr>
              <w:br w:type="textWrapping"/>
            </w:r>
            <w:r>
              <w:rPr>
                <w:rStyle w:val="11"/>
                <w:rFonts w:hint="eastAsia"/>
              </w:rPr>
              <w:t>若误服或吸入不适，请速携标签就医。</w:t>
            </w:r>
          </w:p>
        </w:tc>
      </w:tr>
      <w:tr w14:paraId="4553C435">
        <w:tblPrEx>
          <w:tblCellMar>
            <w:top w:w="0" w:type="dxa"/>
            <w:left w:w="0" w:type="dxa"/>
            <w:bottom w:w="0" w:type="dxa"/>
            <w:right w:w="0" w:type="dxa"/>
          </w:tblCellMar>
        </w:tblPrEx>
        <w:trPr>
          <w:tblCellSpacing w:w="0" w:type="dxa"/>
        </w:trPr>
        <w:tc>
          <w:tcPr>
            <w:tcW w:w="0" w:type="auto"/>
            <w:vAlign w:val="center"/>
          </w:tcPr>
          <w:p w14:paraId="0B95C6CC">
            <w:r>
              <w:rPr>
                <w:rStyle w:val="10"/>
                <w:rFonts w:hint="eastAsia"/>
              </w:rPr>
              <w:t>储存和运输方法：</w:t>
            </w:r>
            <w:r>
              <w:rPr>
                <w:rFonts w:hint="eastAsia"/>
              </w:rPr>
              <w:br w:type="textWrapping"/>
            </w:r>
            <w:r>
              <w:rPr>
                <w:rStyle w:val="11"/>
                <w:rFonts w:hint="eastAsia"/>
              </w:rPr>
              <w:t>本品应贮存在干燥、阴凉、通风、防雨处，远离火源或热源，存放在50℃以下的干燥通风环境中，避免阳光直晒，远离火源、热源。 勿与食品、饮料、饲料、种子、粮食及易燃易爆品同贮同运。产品及用完的空罐应妥善处理，切勿刺穿及投入火中。 请置于儿童触及不到之处并加锁保存。</w:t>
            </w:r>
          </w:p>
        </w:tc>
      </w:tr>
      <w:tr w14:paraId="62FB13ED">
        <w:tblPrEx>
          <w:tblCellMar>
            <w:top w:w="0" w:type="dxa"/>
            <w:left w:w="0" w:type="dxa"/>
            <w:bottom w:w="0" w:type="dxa"/>
            <w:right w:w="0" w:type="dxa"/>
          </w:tblCellMar>
        </w:tblPrEx>
        <w:trPr>
          <w:tblCellSpacing w:w="0" w:type="dxa"/>
        </w:trPr>
        <w:tc>
          <w:tcPr>
            <w:tcW w:w="0" w:type="auto"/>
            <w:vAlign w:val="center"/>
          </w:tcPr>
          <w:p w14:paraId="587DD7FD">
            <w:r>
              <w:rPr>
                <w:rStyle w:val="10"/>
                <w:rFonts w:hint="eastAsia"/>
              </w:rPr>
              <w:t>质量保证期：</w:t>
            </w:r>
            <w:r>
              <w:rPr>
                <w:rStyle w:val="11"/>
                <w:rFonts w:hint="eastAsia"/>
              </w:rPr>
              <w:t>2年</w:t>
            </w:r>
          </w:p>
        </w:tc>
      </w:tr>
      <w:tr w14:paraId="2192382B">
        <w:tblPrEx>
          <w:tblCellMar>
            <w:top w:w="0" w:type="dxa"/>
            <w:left w:w="0" w:type="dxa"/>
            <w:bottom w:w="0" w:type="dxa"/>
            <w:right w:w="0" w:type="dxa"/>
          </w:tblCellMar>
        </w:tblPrEx>
        <w:trPr>
          <w:tblCellSpacing w:w="0" w:type="dxa"/>
        </w:trPr>
        <w:tc>
          <w:tcPr>
            <w:tcW w:w="0" w:type="auto"/>
            <w:vAlign w:val="center"/>
          </w:tcPr>
          <w:p w14:paraId="3F6F550E">
            <w:r>
              <w:rPr>
                <w:rStyle w:val="10"/>
                <w:rFonts w:hint="eastAsia"/>
              </w:rPr>
              <w:t>备注：</w:t>
            </w:r>
          </w:p>
        </w:tc>
      </w:tr>
    </w:tbl>
    <w:p w14:paraId="1455693B">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687EC48">
        <w:tblPrEx>
          <w:tblCellMar>
            <w:top w:w="0" w:type="dxa"/>
            <w:left w:w="0" w:type="dxa"/>
            <w:bottom w:w="0" w:type="dxa"/>
            <w:right w:w="0" w:type="dxa"/>
          </w:tblCellMar>
        </w:tblPrEx>
        <w:trPr>
          <w:tblCellSpacing w:w="0" w:type="dxa"/>
        </w:trPr>
        <w:tc>
          <w:tcPr>
            <w:tcW w:w="0" w:type="auto"/>
            <w:vAlign w:val="center"/>
          </w:tcPr>
          <w:p w14:paraId="54F8EBFC">
            <w:r>
              <w:rPr>
                <w:rStyle w:val="10"/>
                <w:rFonts w:hint="eastAsia"/>
              </w:rPr>
              <w:t>登记证号：</w:t>
            </w:r>
            <w:r>
              <w:rPr>
                <w:rFonts w:hint="eastAsia"/>
              </w:rPr>
              <w:t>PD20120527</w:t>
            </w:r>
          </w:p>
        </w:tc>
      </w:tr>
      <w:tr w14:paraId="402F3B91">
        <w:tblPrEx>
          <w:tblCellMar>
            <w:top w:w="0" w:type="dxa"/>
            <w:left w:w="0" w:type="dxa"/>
            <w:bottom w:w="0" w:type="dxa"/>
            <w:right w:w="0" w:type="dxa"/>
          </w:tblCellMar>
        </w:tblPrEx>
        <w:trPr>
          <w:tblCellSpacing w:w="0" w:type="dxa"/>
        </w:trPr>
        <w:tc>
          <w:tcPr>
            <w:tcW w:w="0" w:type="auto"/>
            <w:vAlign w:val="center"/>
          </w:tcPr>
          <w:p w14:paraId="6811C9E9">
            <w:r>
              <w:rPr>
                <w:rStyle w:val="10"/>
                <w:rFonts w:hint="eastAsia"/>
              </w:rPr>
              <w:t>登记证持有人：</w:t>
            </w:r>
            <w:r>
              <w:rPr>
                <w:rFonts w:hint="eastAsia"/>
              </w:rPr>
              <w:t>四川润尔科技有限公司</w:t>
            </w:r>
          </w:p>
        </w:tc>
      </w:tr>
      <w:tr w14:paraId="43C1401B">
        <w:tblPrEx>
          <w:tblCellMar>
            <w:top w:w="0" w:type="dxa"/>
            <w:left w:w="0" w:type="dxa"/>
            <w:bottom w:w="0" w:type="dxa"/>
            <w:right w:w="0" w:type="dxa"/>
          </w:tblCellMar>
        </w:tblPrEx>
        <w:trPr>
          <w:tblCellSpacing w:w="0" w:type="dxa"/>
        </w:trPr>
        <w:tc>
          <w:tcPr>
            <w:tcW w:w="0" w:type="auto"/>
            <w:vAlign w:val="center"/>
          </w:tcPr>
          <w:p w14:paraId="7DD771F4">
            <w:r>
              <w:rPr>
                <w:rStyle w:val="10"/>
                <w:rFonts w:hint="eastAsia"/>
              </w:rPr>
              <w:t>农药名称：</w:t>
            </w:r>
            <w:r>
              <w:rPr>
                <w:rFonts w:hint="eastAsia"/>
              </w:rPr>
              <w:t>苄氨基嘌呤</w:t>
            </w:r>
          </w:p>
        </w:tc>
      </w:tr>
      <w:tr w14:paraId="6C341899">
        <w:tblPrEx>
          <w:tblCellMar>
            <w:top w:w="0" w:type="dxa"/>
            <w:left w:w="0" w:type="dxa"/>
            <w:bottom w:w="0" w:type="dxa"/>
            <w:right w:w="0" w:type="dxa"/>
          </w:tblCellMar>
        </w:tblPrEx>
        <w:trPr>
          <w:tblCellSpacing w:w="0" w:type="dxa"/>
        </w:trPr>
        <w:tc>
          <w:tcPr>
            <w:tcW w:w="0" w:type="auto"/>
            <w:vAlign w:val="center"/>
          </w:tcPr>
          <w:p w14:paraId="153D967D">
            <w:r>
              <w:rPr>
                <w:rStyle w:val="10"/>
                <w:rFonts w:hint="eastAsia"/>
              </w:rPr>
              <w:t>剂型：</w:t>
            </w:r>
            <w:r>
              <w:rPr>
                <w:rFonts w:hint="eastAsia"/>
              </w:rPr>
              <w:t>可溶液剂</w:t>
            </w:r>
          </w:p>
        </w:tc>
      </w:tr>
      <w:tr w14:paraId="6BBBCC6D">
        <w:tblPrEx>
          <w:tblCellMar>
            <w:top w:w="0" w:type="dxa"/>
            <w:left w:w="0" w:type="dxa"/>
            <w:bottom w:w="0" w:type="dxa"/>
            <w:right w:w="0" w:type="dxa"/>
          </w:tblCellMar>
        </w:tblPrEx>
        <w:trPr>
          <w:tblCellSpacing w:w="0" w:type="dxa"/>
        </w:trPr>
        <w:tc>
          <w:tcPr>
            <w:tcW w:w="0" w:type="auto"/>
            <w:vAlign w:val="center"/>
          </w:tcPr>
          <w:p w14:paraId="6400B6B3">
            <w:r>
              <w:rPr>
                <w:rStyle w:val="10"/>
                <w:rFonts w:hint="eastAsia"/>
              </w:rPr>
              <w:t>毒性及其标识：</w:t>
            </w:r>
            <w:r>
              <w:rPr>
                <w:rFonts w:hint="eastAsia"/>
              </w:rPr>
              <w:t xml:space="preserve"> 微毒 </w:t>
            </w:r>
          </w:p>
        </w:tc>
      </w:tr>
      <w:tr w14:paraId="6C43088B">
        <w:tblPrEx>
          <w:tblCellMar>
            <w:top w:w="0" w:type="dxa"/>
            <w:left w:w="0" w:type="dxa"/>
            <w:bottom w:w="0" w:type="dxa"/>
            <w:right w:w="0" w:type="dxa"/>
          </w:tblCellMar>
        </w:tblPrEx>
        <w:trPr>
          <w:tblCellSpacing w:w="0" w:type="dxa"/>
        </w:trPr>
        <w:tc>
          <w:tcPr>
            <w:tcW w:w="0" w:type="auto"/>
            <w:vAlign w:val="center"/>
          </w:tcPr>
          <w:p w14:paraId="4251DA65">
            <w:r>
              <w:rPr>
                <w:rStyle w:val="10"/>
                <w:rFonts w:hint="eastAsia"/>
              </w:rPr>
              <w:t>总有效成分含量：</w:t>
            </w:r>
            <w:r>
              <w:rPr>
                <w:rFonts w:hint="eastAsia"/>
              </w:rPr>
              <w:t>2%</w:t>
            </w:r>
          </w:p>
        </w:tc>
      </w:tr>
      <w:tr w14:paraId="2339301D">
        <w:tblPrEx>
          <w:tblCellMar>
            <w:top w:w="0" w:type="dxa"/>
            <w:left w:w="0" w:type="dxa"/>
            <w:bottom w:w="0" w:type="dxa"/>
            <w:right w:w="0" w:type="dxa"/>
          </w:tblCellMar>
        </w:tblPrEx>
        <w:trPr>
          <w:tblCellSpacing w:w="0" w:type="dxa"/>
        </w:trPr>
        <w:tc>
          <w:tcPr>
            <w:tcW w:w="0" w:type="auto"/>
            <w:vAlign w:val="center"/>
          </w:tcPr>
          <w:p w14:paraId="19D5F6DC">
            <w:r>
              <w:rPr>
                <w:rFonts w:hint="eastAsia"/>
              </w:rPr>
              <w:t xml:space="preserve">有效成分及其含量： </w:t>
            </w:r>
          </w:p>
          <w:p w14:paraId="79608B5F">
            <w:r>
              <w:rPr>
                <w:rFonts w:hint="eastAsia"/>
              </w:rPr>
              <w:t xml:space="preserve">    苄氨基嘌呤2%    </w:t>
            </w:r>
          </w:p>
        </w:tc>
      </w:tr>
      <w:tr w14:paraId="7A91C827">
        <w:tblPrEx>
          <w:tblCellMar>
            <w:top w:w="0" w:type="dxa"/>
            <w:left w:w="0" w:type="dxa"/>
            <w:bottom w:w="0" w:type="dxa"/>
            <w:right w:w="0" w:type="dxa"/>
          </w:tblCellMar>
        </w:tblPrEx>
        <w:trPr>
          <w:tblCellSpacing w:w="0" w:type="dxa"/>
        </w:trPr>
        <w:tc>
          <w:tcPr>
            <w:tcW w:w="0" w:type="auto"/>
            <w:vAlign w:val="center"/>
          </w:tcPr>
          <w:p w14:paraId="2E95A76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32BF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EC15A5">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3848C53">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EF775F">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F5B851">
                  <w:r>
                    <w:rPr>
                      <w:rStyle w:val="11"/>
                      <w:rFonts w:hint="eastAsia"/>
                    </w:rPr>
                    <w:t>施用方式</w:t>
                  </w:r>
                </w:p>
              </w:tc>
            </w:tr>
            <w:tr w14:paraId="31F7C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63E085">
                  <w:r>
                    <w:rPr>
                      <w:rStyle w:val="11"/>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D0E3E78">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0C1AC326">
                  <w:r>
                    <w:rPr>
                      <w:rStyle w:val="11"/>
                      <w:rFonts w:hint="eastAsia"/>
                    </w:rPr>
                    <w:t>400-600倍液</w:t>
                  </w:r>
                </w:p>
              </w:tc>
              <w:tc>
                <w:tcPr>
                  <w:tcW w:w="0" w:type="auto"/>
                  <w:tcBorders>
                    <w:top w:val="outset" w:color="auto" w:sz="6" w:space="0"/>
                    <w:left w:val="outset" w:color="auto" w:sz="6" w:space="0"/>
                    <w:bottom w:val="outset" w:color="auto" w:sz="6" w:space="0"/>
                    <w:right w:val="outset" w:color="auto" w:sz="6" w:space="0"/>
                  </w:tcBorders>
                  <w:vAlign w:val="center"/>
                </w:tcPr>
                <w:p w14:paraId="30F3FDB8">
                  <w:r>
                    <w:rPr>
                      <w:rStyle w:val="11"/>
                      <w:rFonts w:hint="eastAsia"/>
                    </w:rPr>
                    <w:t>喷雾</w:t>
                  </w:r>
                </w:p>
              </w:tc>
            </w:tr>
            <w:tr w14:paraId="38AFAE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CF01F5">
                  <w:r>
                    <w:rPr>
                      <w:rStyle w:val="11"/>
                      <w:rFonts w:hint="eastAsia"/>
                    </w:rPr>
                    <w:t>杨梅树</w:t>
                  </w:r>
                </w:p>
              </w:tc>
              <w:tc>
                <w:tcPr>
                  <w:tcW w:w="0" w:type="auto"/>
                  <w:tcBorders>
                    <w:top w:val="outset" w:color="auto" w:sz="6" w:space="0"/>
                    <w:left w:val="outset" w:color="auto" w:sz="6" w:space="0"/>
                    <w:bottom w:val="outset" w:color="auto" w:sz="6" w:space="0"/>
                    <w:right w:val="outset" w:color="auto" w:sz="6" w:space="0"/>
                  </w:tcBorders>
                  <w:vAlign w:val="center"/>
                </w:tcPr>
                <w:p w14:paraId="4DED6955">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32D95EDA">
                  <w:r>
                    <w:rPr>
                      <w:rStyle w:val="11"/>
                      <w:rFonts w:hint="eastAsia"/>
                    </w:rPr>
                    <w:t>700-1000倍液</w:t>
                  </w:r>
                </w:p>
              </w:tc>
              <w:tc>
                <w:tcPr>
                  <w:tcW w:w="0" w:type="auto"/>
                  <w:tcBorders>
                    <w:top w:val="outset" w:color="auto" w:sz="6" w:space="0"/>
                    <w:left w:val="outset" w:color="auto" w:sz="6" w:space="0"/>
                    <w:bottom w:val="outset" w:color="auto" w:sz="6" w:space="0"/>
                    <w:right w:val="outset" w:color="auto" w:sz="6" w:space="0"/>
                  </w:tcBorders>
                  <w:vAlign w:val="center"/>
                </w:tcPr>
                <w:p w14:paraId="440DD3C0">
                  <w:r>
                    <w:rPr>
                      <w:rStyle w:val="11"/>
                      <w:rFonts w:hint="eastAsia"/>
                    </w:rPr>
                    <w:t>喷雾</w:t>
                  </w:r>
                </w:p>
              </w:tc>
            </w:tr>
            <w:tr w14:paraId="32967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E9A6C0">
                  <w:r>
                    <w:rPr>
                      <w:rStyle w:val="11"/>
                      <w:rFonts w:hint="eastAsia"/>
                    </w:rPr>
                    <w:t>樱桃树</w:t>
                  </w:r>
                </w:p>
              </w:tc>
              <w:tc>
                <w:tcPr>
                  <w:tcW w:w="0" w:type="auto"/>
                  <w:tcBorders>
                    <w:top w:val="outset" w:color="auto" w:sz="6" w:space="0"/>
                    <w:left w:val="outset" w:color="auto" w:sz="6" w:space="0"/>
                    <w:bottom w:val="outset" w:color="auto" w:sz="6" w:space="0"/>
                    <w:right w:val="outset" w:color="auto" w:sz="6" w:space="0"/>
                  </w:tcBorders>
                  <w:vAlign w:val="center"/>
                </w:tcPr>
                <w:p w14:paraId="50106E43">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339AFD1E">
                  <w:r>
                    <w:rPr>
                      <w:rStyle w:val="11"/>
                      <w:rFonts w:hint="eastAsia"/>
                    </w:rPr>
                    <w:t>500-800倍液</w:t>
                  </w:r>
                </w:p>
              </w:tc>
              <w:tc>
                <w:tcPr>
                  <w:tcW w:w="0" w:type="auto"/>
                  <w:tcBorders>
                    <w:top w:val="outset" w:color="auto" w:sz="6" w:space="0"/>
                    <w:left w:val="outset" w:color="auto" w:sz="6" w:space="0"/>
                    <w:bottom w:val="outset" w:color="auto" w:sz="6" w:space="0"/>
                    <w:right w:val="outset" w:color="auto" w:sz="6" w:space="0"/>
                  </w:tcBorders>
                  <w:vAlign w:val="center"/>
                </w:tcPr>
                <w:p w14:paraId="1B4F57B3">
                  <w:r>
                    <w:rPr>
                      <w:rStyle w:val="11"/>
                      <w:rFonts w:hint="eastAsia"/>
                    </w:rPr>
                    <w:t>喷雾</w:t>
                  </w:r>
                </w:p>
              </w:tc>
            </w:tr>
            <w:tr w14:paraId="4712A2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9AC7BC">
                  <w:r>
                    <w:rPr>
                      <w:rStyle w:val="11"/>
                      <w:rFonts w:hint="eastAsia"/>
                    </w:rPr>
                    <w:t>月季</w:t>
                  </w:r>
                </w:p>
              </w:tc>
              <w:tc>
                <w:tcPr>
                  <w:tcW w:w="0" w:type="auto"/>
                  <w:tcBorders>
                    <w:top w:val="outset" w:color="auto" w:sz="6" w:space="0"/>
                    <w:left w:val="outset" w:color="auto" w:sz="6" w:space="0"/>
                    <w:bottom w:val="outset" w:color="auto" w:sz="6" w:space="0"/>
                    <w:right w:val="outset" w:color="auto" w:sz="6" w:space="0"/>
                  </w:tcBorders>
                  <w:vAlign w:val="center"/>
                </w:tcPr>
                <w:p w14:paraId="2CD22FF7">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54E74EFC">
                  <w:r>
                    <w:rPr>
                      <w:rStyle w:val="11"/>
                      <w:rFonts w:hint="eastAsia"/>
                    </w:rPr>
                    <w:t>600-800倍</w:t>
                  </w:r>
                </w:p>
              </w:tc>
              <w:tc>
                <w:tcPr>
                  <w:tcW w:w="0" w:type="auto"/>
                  <w:tcBorders>
                    <w:top w:val="outset" w:color="auto" w:sz="6" w:space="0"/>
                    <w:left w:val="outset" w:color="auto" w:sz="6" w:space="0"/>
                    <w:bottom w:val="outset" w:color="auto" w:sz="6" w:space="0"/>
                    <w:right w:val="outset" w:color="auto" w:sz="6" w:space="0"/>
                  </w:tcBorders>
                  <w:vAlign w:val="center"/>
                </w:tcPr>
                <w:p w14:paraId="5CF24509">
                  <w:r>
                    <w:rPr>
                      <w:rStyle w:val="11"/>
                      <w:rFonts w:hint="eastAsia"/>
                    </w:rPr>
                    <w:t>喷雾</w:t>
                  </w:r>
                </w:p>
              </w:tc>
            </w:tr>
          </w:tbl>
          <w:p w14:paraId="4F8CF27D">
            <w:pPr>
              <w:rPr>
                <w:rFonts w:ascii="Times New Roman" w:hAnsi="Times New Roman" w:cs="Times New Roman"/>
                <w:sz w:val="20"/>
                <w:szCs w:val="20"/>
              </w:rPr>
            </w:pPr>
          </w:p>
        </w:tc>
      </w:tr>
      <w:tr w14:paraId="2AA922F7">
        <w:tblPrEx>
          <w:tblCellMar>
            <w:top w:w="0" w:type="dxa"/>
            <w:left w:w="0" w:type="dxa"/>
            <w:bottom w:w="0" w:type="dxa"/>
            <w:right w:w="0" w:type="dxa"/>
          </w:tblCellMar>
        </w:tblPrEx>
        <w:trPr>
          <w:tblCellSpacing w:w="0" w:type="dxa"/>
        </w:trPr>
        <w:tc>
          <w:tcPr>
            <w:tcW w:w="0" w:type="auto"/>
            <w:vAlign w:val="center"/>
          </w:tcPr>
          <w:p w14:paraId="1A1EC2E1">
            <w:r>
              <w:rPr>
                <w:rStyle w:val="10"/>
                <w:rFonts w:hint="eastAsia"/>
              </w:rPr>
              <w:t>使用技术要求:</w:t>
            </w:r>
            <w:r>
              <w:rPr>
                <w:rFonts w:hint="eastAsia"/>
              </w:rPr>
              <w:br w:type="textWrapping"/>
            </w:r>
            <w:r>
              <w:rPr>
                <w:rStyle w:val="11"/>
                <w:rFonts w:hint="eastAsia"/>
              </w:rPr>
              <w:t>柑橘：于柑橘谢花后5-7天施第一次药，间隔15天左右施第二次药。全株喷雾，主要喷幼果。杨梅：于杨梅谢花期及幼果期各喷雾1次，每次间隔10-15天。 月季：于月季修剪后全株喷雾1-2次。樱桃：每季用药2-3次，于樱桃盛花末期（轻抖枝条有个别花瓣掉落）时第一次用药，间隔7-12天第二次用药，再间隔7-8天第三次用药，具体用药间隔天数和施药次数应根据气候、品种和栽培条件而定，全株喷雾，重点喷花果。本品在柑橘上的施药次数不超过2次，安全间隔期为45天。</w:t>
            </w:r>
          </w:p>
        </w:tc>
      </w:tr>
      <w:tr w14:paraId="44430C12">
        <w:tblPrEx>
          <w:tblCellMar>
            <w:top w:w="0" w:type="dxa"/>
            <w:left w:w="0" w:type="dxa"/>
            <w:bottom w:w="0" w:type="dxa"/>
            <w:right w:w="0" w:type="dxa"/>
          </w:tblCellMar>
        </w:tblPrEx>
        <w:trPr>
          <w:tblCellSpacing w:w="0" w:type="dxa"/>
        </w:trPr>
        <w:tc>
          <w:tcPr>
            <w:tcW w:w="0" w:type="auto"/>
            <w:vAlign w:val="center"/>
          </w:tcPr>
          <w:p w14:paraId="22CCDE61">
            <w:r>
              <w:rPr>
                <w:rStyle w:val="10"/>
                <w:rFonts w:hint="eastAsia"/>
              </w:rPr>
              <w:t>产品性能:</w:t>
            </w:r>
            <w:r>
              <w:rPr>
                <w:rFonts w:hint="eastAsia"/>
              </w:rPr>
              <w:br w:type="textWrapping"/>
            </w:r>
            <w:r>
              <w:rPr>
                <w:rStyle w:val="11"/>
                <w:rFonts w:hint="eastAsia"/>
              </w:rPr>
              <w:t>本品能诱导花芽分化，提高花芽质量，催花促花，增加有效花数，保花保果，稳果壮果增产；加速细胞分裂，促进幼果发育，膨大果实，减少裂果；促进侧芽萌发，促进分枝，增加月季成品枝数。</w:t>
            </w:r>
          </w:p>
        </w:tc>
      </w:tr>
      <w:tr w14:paraId="4B83C9A9">
        <w:tblPrEx>
          <w:tblCellMar>
            <w:top w:w="0" w:type="dxa"/>
            <w:left w:w="0" w:type="dxa"/>
            <w:bottom w:w="0" w:type="dxa"/>
            <w:right w:w="0" w:type="dxa"/>
          </w:tblCellMar>
        </w:tblPrEx>
        <w:trPr>
          <w:tblCellSpacing w:w="0" w:type="dxa"/>
        </w:trPr>
        <w:tc>
          <w:tcPr>
            <w:tcW w:w="0" w:type="auto"/>
            <w:vAlign w:val="center"/>
          </w:tcPr>
          <w:p w14:paraId="39445136">
            <w:r>
              <w:rPr>
                <w:rStyle w:val="10"/>
                <w:rFonts w:hint="eastAsia"/>
              </w:rPr>
              <w:t>注意事项：</w:t>
            </w:r>
            <w:r>
              <w:rPr>
                <w:rFonts w:hint="eastAsia"/>
              </w:rPr>
              <w:br w:type="textWrapping"/>
            </w:r>
            <w:r>
              <w:rPr>
                <w:rStyle w:val="11"/>
                <w:rFonts w:hint="eastAsia"/>
              </w:rPr>
              <w:t>1、用清洁水配制，不与强酸性药肥混用。 2、无使用经验或新作物、新品种应先试验成功后再扩大使用。3、本品不具备营养功能，主要靠调节养分分配及流向起作用，应结合科学良好的肥水管理、合理负载，并做好园区通风、培养强壮的树势等配套管理，以利于药剂效果表现。4、选阴天或晴天早晚喷洒，喷后6小时内遇雨应补喷。高温、干旱期用，请适当增加兑水量。5、蚕室附近禁用，桑园附近使用时以最外围一行桑树作为隔离带，从次外围桑树上开始采摘桑叶饲喂家蚕。6、若不按照推荐使用技术和使用方法施用，均可能会对作物产生药害。7、操作时应戴橡胶手套等防护措施，不可吃东西、喝水和吸烟；操作完毕后应及时洗手和脸等裸露部位。8、生产使用过程中的废弃物质和废液要妥善处理，不准排入河流、池塘等水源，禁止在河塘等水域清洗施药器具。9、用过的包装物及未用完的药液不能随意丢弃，也不能做他用，应交当地农业部门或环保部门指定的单位进行回收处理。10、孕妇及哺乳期妇女应避免接触此药。</w:t>
            </w:r>
          </w:p>
        </w:tc>
      </w:tr>
      <w:tr w14:paraId="07A851DE">
        <w:tblPrEx>
          <w:tblCellMar>
            <w:top w:w="0" w:type="dxa"/>
            <w:left w:w="0" w:type="dxa"/>
            <w:bottom w:w="0" w:type="dxa"/>
            <w:right w:w="0" w:type="dxa"/>
          </w:tblCellMar>
        </w:tblPrEx>
        <w:trPr>
          <w:tblCellSpacing w:w="0" w:type="dxa"/>
        </w:trPr>
        <w:tc>
          <w:tcPr>
            <w:tcW w:w="0" w:type="auto"/>
            <w:vAlign w:val="center"/>
          </w:tcPr>
          <w:p w14:paraId="68D8EB1B">
            <w:r>
              <w:rPr>
                <w:rStyle w:val="10"/>
                <w:rFonts w:hint="eastAsia"/>
              </w:rPr>
              <w:t>中毒急救措施：</w:t>
            </w:r>
            <w:r>
              <w:rPr>
                <w:rFonts w:hint="eastAsia"/>
              </w:rPr>
              <w:br w:type="textWrapping"/>
            </w:r>
            <w:r>
              <w:rPr>
                <w:rStyle w:val="11"/>
                <w:rFonts w:hint="eastAsia"/>
              </w:rPr>
              <w:t>若遇中毒，应尽快离开污染区；若不慎吸入，应将病人移至空气流通处。不慎接触皮肤，应用大量清水冲洗，若溅入眼睛，应用大量清水冲洗至少15分钟，有持续异状时，应送医治疗。误服，立即携标签送医院就诊。中国预防医学科学院中毒控制中心24小时服务电话：010-83132345。</w:t>
            </w:r>
          </w:p>
        </w:tc>
      </w:tr>
      <w:tr w14:paraId="0709DEEA">
        <w:tblPrEx>
          <w:tblCellMar>
            <w:top w:w="0" w:type="dxa"/>
            <w:left w:w="0" w:type="dxa"/>
            <w:bottom w:w="0" w:type="dxa"/>
            <w:right w:w="0" w:type="dxa"/>
          </w:tblCellMar>
        </w:tblPrEx>
        <w:trPr>
          <w:tblCellSpacing w:w="0" w:type="dxa"/>
        </w:trPr>
        <w:tc>
          <w:tcPr>
            <w:tcW w:w="0" w:type="auto"/>
            <w:vAlign w:val="center"/>
          </w:tcPr>
          <w:p w14:paraId="6CAFFD5A">
            <w:r>
              <w:rPr>
                <w:rStyle w:val="10"/>
                <w:rFonts w:hint="eastAsia"/>
              </w:rPr>
              <w:t>储存和运输方法：</w:t>
            </w:r>
            <w:r>
              <w:rPr>
                <w:rFonts w:hint="eastAsia"/>
              </w:rPr>
              <w:br w:type="textWrapping"/>
            </w:r>
            <w:r>
              <w:rPr>
                <w:rStyle w:val="11"/>
                <w:rFonts w:hint="eastAsia"/>
              </w:rPr>
              <w:t>本品应贮存于干燥、阴凉、通风处，远离火源或热源。置于儿童触及不到之处，并加锁保存。不能与食品、饮料、粮食、饲料等混合储运。</w:t>
            </w:r>
          </w:p>
        </w:tc>
      </w:tr>
      <w:tr w14:paraId="716CE95B">
        <w:tblPrEx>
          <w:tblCellMar>
            <w:top w:w="0" w:type="dxa"/>
            <w:left w:w="0" w:type="dxa"/>
            <w:bottom w:w="0" w:type="dxa"/>
            <w:right w:w="0" w:type="dxa"/>
          </w:tblCellMar>
        </w:tblPrEx>
        <w:trPr>
          <w:tblCellSpacing w:w="0" w:type="dxa"/>
        </w:trPr>
        <w:tc>
          <w:tcPr>
            <w:tcW w:w="0" w:type="auto"/>
            <w:vAlign w:val="center"/>
          </w:tcPr>
          <w:p w14:paraId="1079B2E7">
            <w:r>
              <w:rPr>
                <w:rStyle w:val="10"/>
                <w:rFonts w:hint="eastAsia"/>
              </w:rPr>
              <w:t>质量保证期：</w:t>
            </w:r>
            <w:r>
              <w:rPr>
                <w:rStyle w:val="11"/>
                <w:rFonts w:hint="eastAsia"/>
              </w:rPr>
              <w:t>2年</w:t>
            </w:r>
          </w:p>
        </w:tc>
      </w:tr>
      <w:tr w14:paraId="5F07774F">
        <w:tblPrEx>
          <w:tblCellMar>
            <w:top w:w="0" w:type="dxa"/>
            <w:left w:w="0" w:type="dxa"/>
            <w:bottom w:w="0" w:type="dxa"/>
            <w:right w:w="0" w:type="dxa"/>
          </w:tblCellMar>
        </w:tblPrEx>
        <w:trPr>
          <w:tblCellSpacing w:w="0" w:type="dxa"/>
        </w:trPr>
        <w:tc>
          <w:tcPr>
            <w:tcW w:w="0" w:type="auto"/>
            <w:vAlign w:val="center"/>
          </w:tcPr>
          <w:p w14:paraId="0354E579">
            <w:r>
              <w:rPr>
                <w:rStyle w:val="10"/>
                <w:rFonts w:hint="eastAsia"/>
              </w:rPr>
              <w:t>备注：</w:t>
            </w:r>
          </w:p>
        </w:tc>
      </w:tr>
    </w:tbl>
    <w:p w14:paraId="4116C07B">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BA1D7B">
        <w:tblPrEx>
          <w:tblCellMar>
            <w:top w:w="0" w:type="dxa"/>
            <w:left w:w="0" w:type="dxa"/>
            <w:bottom w:w="0" w:type="dxa"/>
            <w:right w:w="0" w:type="dxa"/>
          </w:tblCellMar>
        </w:tblPrEx>
        <w:trPr>
          <w:tblCellSpacing w:w="0" w:type="dxa"/>
        </w:trPr>
        <w:tc>
          <w:tcPr>
            <w:tcW w:w="0" w:type="auto"/>
            <w:vAlign w:val="center"/>
          </w:tcPr>
          <w:p w14:paraId="114941EE">
            <w:r>
              <w:rPr>
                <w:rStyle w:val="10"/>
                <w:rFonts w:hint="eastAsia"/>
              </w:rPr>
              <w:t>登记证号：</w:t>
            </w:r>
            <w:r>
              <w:rPr>
                <w:rFonts w:hint="eastAsia"/>
              </w:rPr>
              <w:t>PD20082370</w:t>
            </w:r>
          </w:p>
        </w:tc>
      </w:tr>
      <w:tr w14:paraId="67302EBF">
        <w:tblPrEx>
          <w:tblCellMar>
            <w:top w:w="0" w:type="dxa"/>
            <w:left w:w="0" w:type="dxa"/>
            <w:bottom w:w="0" w:type="dxa"/>
            <w:right w:w="0" w:type="dxa"/>
          </w:tblCellMar>
        </w:tblPrEx>
        <w:trPr>
          <w:tblCellSpacing w:w="0" w:type="dxa"/>
        </w:trPr>
        <w:tc>
          <w:tcPr>
            <w:tcW w:w="0" w:type="auto"/>
            <w:vAlign w:val="center"/>
          </w:tcPr>
          <w:p w14:paraId="277DA5A2">
            <w:r>
              <w:rPr>
                <w:rStyle w:val="10"/>
                <w:rFonts w:hint="eastAsia"/>
              </w:rPr>
              <w:t>登记证持有人：</w:t>
            </w:r>
            <w:r>
              <w:rPr>
                <w:rFonts w:hint="eastAsia"/>
              </w:rPr>
              <w:t>四川润尔科技有限公司</w:t>
            </w:r>
          </w:p>
        </w:tc>
      </w:tr>
      <w:tr w14:paraId="45A0A3CD">
        <w:tblPrEx>
          <w:tblCellMar>
            <w:top w:w="0" w:type="dxa"/>
            <w:left w:w="0" w:type="dxa"/>
            <w:bottom w:w="0" w:type="dxa"/>
            <w:right w:w="0" w:type="dxa"/>
          </w:tblCellMar>
        </w:tblPrEx>
        <w:trPr>
          <w:tblCellSpacing w:w="0" w:type="dxa"/>
        </w:trPr>
        <w:tc>
          <w:tcPr>
            <w:tcW w:w="0" w:type="auto"/>
            <w:vAlign w:val="center"/>
          </w:tcPr>
          <w:p w14:paraId="3ED341C6">
            <w:r>
              <w:rPr>
                <w:rStyle w:val="10"/>
                <w:rFonts w:hint="eastAsia"/>
              </w:rPr>
              <w:t>农药名称：</w:t>
            </w:r>
            <w:r>
              <w:rPr>
                <w:rFonts w:hint="eastAsia"/>
              </w:rPr>
              <w:t>氯吡脲</w:t>
            </w:r>
          </w:p>
        </w:tc>
      </w:tr>
      <w:tr w14:paraId="247DACEC">
        <w:tblPrEx>
          <w:tblCellMar>
            <w:top w:w="0" w:type="dxa"/>
            <w:left w:w="0" w:type="dxa"/>
            <w:bottom w:w="0" w:type="dxa"/>
            <w:right w:w="0" w:type="dxa"/>
          </w:tblCellMar>
        </w:tblPrEx>
        <w:trPr>
          <w:tblCellSpacing w:w="0" w:type="dxa"/>
        </w:trPr>
        <w:tc>
          <w:tcPr>
            <w:tcW w:w="0" w:type="auto"/>
            <w:vAlign w:val="center"/>
          </w:tcPr>
          <w:p w14:paraId="5BB194ED">
            <w:r>
              <w:rPr>
                <w:rStyle w:val="10"/>
                <w:rFonts w:hint="eastAsia"/>
              </w:rPr>
              <w:t>剂型：</w:t>
            </w:r>
            <w:r>
              <w:rPr>
                <w:rFonts w:hint="eastAsia"/>
              </w:rPr>
              <w:t>可溶液剂</w:t>
            </w:r>
          </w:p>
        </w:tc>
      </w:tr>
      <w:tr w14:paraId="196AE8BC">
        <w:tblPrEx>
          <w:tblCellMar>
            <w:top w:w="0" w:type="dxa"/>
            <w:left w:w="0" w:type="dxa"/>
            <w:bottom w:w="0" w:type="dxa"/>
            <w:right w:w="0" w:type="dxa"/>
          </w:tblCellMar>
        </w:tblPrEx>
        <w:trPr>
          <w:tblCellSpacing w:w="0" w:type="dxa"/>
        </w:trPr>
        <w:tc>
          <w:tcPr>
            <w:tcW w:w="0" w:type="auto"/>
            <w:vAlign w:val="center"/>
          </w:tcPr>
          <w:p w14:paraId="0156D96D">
            <w:r>
              <w:rPr>
                <w:rStyle w:val="10"/>
                <w:rFonts w:hint="eastAsia"/>
              </w:rPr>
              <w:t>毒性及其标识：</w:t>
            </w:r>
            <w:r>
              <w:rPr>
                <w:rFonts w:hint="eastAsia"/>
              </w:rPr>
              <w:t xml:space="preserve"> </w:t>
            </w:r>
            <w:r>
              <w:drawing>
                <wp:inline distT="0" distB="0" distL="0" distR="0">
                  <wp:extent cx="474345" cy="323850"/>
                  <wp:effectExtent l="0" t="0" r="1905" b="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3BFC34F9">
        <w:tblPrEx>
          <w:tblCellMar>
            <w:top w:w="0" w:type="dxa"/>
            <w:left w:w="0" w:type="dxa"/>
            <w:bottom w:w="0" w:type="dxa"/>
            <w:right w:w="0" w:type="dxa"/>
          </w:tblCellMar>
        </w:tblPrEx>
        <w:trPr>
          <w:tblCellSpacing w:w="0" w:type="dxa"/>
        </w:trPr>
        <w:tc>
          <w:tcPr>
            <w:tcW w:w="0" w:type="auto"/>
            <w:vAlign w:val="center"/>
          </w:tcPr>
          <w:p w14:paraId="6300C1FC">
            <w:r>
              <w:rPr>
                <w:rStyle w:val="10"/>
                <w:rFonts w:hint="eastAsia"/>
              </w:rPr>
              <w:t>总有效成分含量：</w:t>
            </w:r>
            <w:r>
              <w:rPr>
                <w:rFonts w:hint="eastAsia"/>
              </w:rPr>
              <w:t>0.1%</w:t>
            </w:r>
          </w:p>
        </w:tc>
      </w:tr>
      <w:tr w14:paraId="7B2E04CB">
        <w:tblPrEx>
          <w:tblCellMar>
            <w:top w:w="0" w:type="dxa"/>
            <w:left w:w="0" w:type="dxa"/>
            <w:bottom w:w="0" w:type="dxa"/>
            <w:right w:w="0" w:type="dxa"/>
          </w:tblCellMar>
        </w:tblPrEx>
        <w:trPr>
          <w:tblCellSpacing w:w="0" w:type="dxa"/>
        </w:trPr>
        <w:tc>
          <w:tcPr>
            <w:tcW w:w="0" w:type="auto"/>
            <w:vAlign w:val="center"/>
          </w:tcPr>
          <w:p w14:paraId="0B8C3731">
            <w:r>
              <w:rPr>
                <w:rFonts w:hint="eastAsia"/>
              </w:rPr>
              <w:t xml:space="preserve">有效成分及其含量： </w:t>
            </w:r>
          </w:p>
          <w:p w14:paraId="2C157B69">
            <w:r>
              <w:rPr>
                <w:rFonts w:hint="eastAsia"/>
              </w:rPr>
              <w:t xml:space="preserve">    氯吡脲0.1%    </w:t>
            </w:r>
          </w:p>
        </w:tc>
      </w:tr>
      <w:tr w14:paraId="0DF98616">
        <w:tblPrEx>
          <w:tblCellMar>
            <w:top w:w="0" w:type="dxa"/>
            <w:left w:w="0" w:type="dxa"/>
            <w:bottom w:w="0" w:type="dxa"/>
            <w:right w:w="0" w:type="dxa"/>
          </w:tblCellMar>
        </w:tblPrEx>
        <w:trPr>
          <w:tblCellSpacing w:w="0" w:type="dxa"/>
        </w:trPr>
        <w:tc>
          <w:tcPr>
            <w:tcW w:w="0" w:type="auto"/>
            <w:vAlign w:val="center"/>
          </w:tcPr>
          <w:p w14:paraId="5826BF5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3E98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1072A01">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353024F">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B9C508">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2A021BD">
                  <w:r>
                    <w:rPr>
                      <w:rStyle w:val="11"/>
                      <w:rFonts w:hint="eastAsia"/>
                    </w:rPr>
                    <w:t>施用方式</w:t>
                  </w:r>
                </w:p>
              </w:tc>
            </w:tr>
            <w:tr w14:paraId="657C2F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15F7DB">
                  <w:r>
                    <w:rPr>
                      <w:rStyle w:val="11"/>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4BA720DF">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1FB07BF0">
                  <w:r>
                    <w:rPr>
                      <w:rStyle w:val="11"/>
                      <w:rFonts w:hint="eastAsia"/>
                    </w:rPr>
                    <w:t>60-100倍液</w:t>
                  </w:r>
                </w:p>
              </w:tc>
              <w:tc>
                <w:tcPr>
                  <w:tcW w:w="0" w:type="auto"/>
                  <w:tcBorders>
                    <w:top w:val="outset" w:color="auto" w:sz="6" w:space="0"/>
                    <w:left w:val="outset" w:color="auto" w:sz="6" w:space="0"/>
                    <w:bottom w:val="outset" w:color="auto" w:sz="6" w:space="0"/>
                    <w:right w:val="outset" w:color="auto" w:sz="6" w:space="0"/>
                  </w:tcBorders>
                  <w:vAlign w:val="center"/>
                </w:tcPr>
                <w:p w14:paraId="7AEE1D94">
                  <w:r>
                    <w:rPr>
                      <w:rStyle w:val="11"/>
                      <w:rFonts w:hint="eastAsia"/>
                    </w:rPr>
                    <w:t>浸瓜胎</w:t>
                  </w:r>
                </w:p>
              </w:tc>
            </w:tr>
            <w:tr w14:paraId="28B7ED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703DEC">
                  <w:r>
                    <w:rPr>
                      <w:rStyle w:val="11"/>
                      <w:rFonts w:hint="eastAsia"/>
                    </w:rPr>
                    <w:t>脐橙</w:t>
                  </w:r>
                </w:p>
              </w:tc>
              <w:tc>
                <w:tcPr>
                  <w:tcW w:w="0" w:type="auto"/>
                  <w:tcBorders>
                    <w:top w:val="outset" w:color="auto" w:sz="6" w:space="0"/>
                    <w:left w:val="outset" w:color="auto" w:sz="6" w:space="0"/>
                    <w:bottom w:val="outset" w:color="auto" w:sz="6" w:space="0"/>
                    <w:right w:val="outset" w:color="auto" w:sz="6" w:space="0"/>
                  </w:tcBorders>
                  <w:vAlign w:val="center"/>
                </w:tcPr>
                <w:p w14:paraId="28F44CED">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70FC58C6">
                  <w:r>
                    <w:rPr>
                      <w:rStyle w:val="11"/>
                      <w:rFonts w:hint="eastAsia"/>
                    </w:rPr>
                    <w:t>60-100倍液</w:t>
                  </w:r>
                </w:p>
              </w:tc>
              <w:tc>
                <w:tcPr>
                  <w:tcW w:w="0" w:type="auto"/>
                  <w:tcBorders>
                    <w:top w:val="outset" w:color="auto" w:sz="6" w:space="0"/>
                    <w:left w:val="outset" w:color="auto" w:sz="6" w:space="0"/>
                    <w:bottom w:val="outset" w:color="auto" w:sz="6" w:space="0"/>
                    <w:right w:val="outset" w:color="auto" w:sz="6" w:space="0"/>
                  </w:tcBorders>
                  <w:vAlign w:val="center"/>
                </w:tcPr>
                <w:p w14:paraId="1AA3320A">
                  <w:r>
                    <w:rPr>
                      <w:rStyle w:val="11"/>
                      <w:rFonts w:hint="eastAsia"/>
                    </w:rPr>
                    <w:t>涂抹幼果果柄蜜盘</w:t>
                  </w:r>
                </w:p>
              </w:tc>
            </w:tr>
            <w:tr w14:paraId="59B5DF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3F4290">
                  <w:r>
                    <w:rPr>
                      <w:rStyle w:val="11"/>
                      <w:rFonts w:hint="eastAsia"/>
                    </w:rPr>
                    <w:t>甜瓜</w:t>
                  </w:r>
                </w:p>
              </w:tc>
              <w:tc>
                <w:tcPr>
                  <w:tcW w:w="0" w:type="auto"/>
                  <w:tcBorders>
                    <w:top w:val="outset" w:color="auto" w:sz="6" w:space="0"/>
                    <w:left w:val="outset" w:color="auto" w:sz="6" w:space="0"/>
                    <w:bottom w:val="outset" w:color="auto" w:sz="6" w:space="0"/>
                    <w:right w:val="outset" w:color="auto" w:sz="6" w:space="0"/>
                  </w:tcBorders>
                  <w:vAlign w:val="center"/>
                </w:tcPr>
                <w:p w14:paraId="5D4BAA0C">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5892339F">
                  <w:r>
                    <w:rPr>
                      <w:rStyle w:val="11"/>
                      <w:rFonts w:hint="eastAsia"/>
                    </w:rPr>
                    <w:t>100-200倍液</w:t>
                  </w:r>
                </w:p>
              </w:tc>
              <w:tc>
                <w:tcPr>
                  <w:tcW w:w="0" w:type="auto"/>
                  <w:tcBorders>
                    <w:top w:val="outset" w:color="auto" w:sz="6" w:space="0"/>
                    <w:left w:val="outset" w:color="auto" w:sz="6" w:space="0"/>
                    <w:bottom w:val="outset" w:color="auto" w:sz="6" w:space="0"/>
                    <w:right w:val="outset" w:color="auto" w:sz="6" w:space="0"/>
                  </w:tcBorders>
                  <w:vAlign w:val="center"/>
                </w:tcPr>
                <w:p w14:paraId="27609C51">
                  <w:r>
                    <w:rPr>
                      <w:rStyle w:val="11"/>
                      <w:rFonts w:hint="eastAsia"/>
                    </w:rPr>
                    <w:t>涂抹瓜胎</w:t>
                  </w:r>
                </w:p>
              </w:tc>
            </w:tr>
            <w:tr w14:paraId="529B91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7DA487">
                  <w:r>
                    <w:rPr>
                      <w:rStyle w:val="11"/>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127BDD13">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6142F11C">
                  <w:r>
                    <w:rPr>
                      <w:rStyle w:val="11"/>
                      <w:rFonts w:hint="eastAsia"/>
                    </w:rPr>
                    <w:t>30-40倍液</w:t>
                  </w:r>
                </w:p>
              </w:tc>
              <w:tc>
                <w:tcPr>
                  <w:tcW w:w="0" w:type="auto"/>
                  <w:tcBorders>
                    <w:top w:val="outset" w:color="auto" w:sz="6" w:space="0"/>
                    <w:left w:val="outset" w:color="auto" w:sz="6" w:space="0"/>
                    <w:bottom w:val="outset" w:color="auto" w:sz="6" w:space="0"/>
                    <w:right w:val="outset" w:color="auto" w:sz="6" w:space="0"/>
                  </w:tcBorders>
                  <w:vAlign w:val="center"/>
                </w:tcPr>
                <w:p w14:paraId="5FF72711">
                  <w:r>
                    <w:rPr>
                      <w:rStyle w:val="11"/>
                      <w:rFonts w:hint="eastAsia"/>
                    </w:rPr>
                    <w:t>涂瓜柄</w:t>
                  </w:r>
                </w:p>
              </w:tc>
            </w:tr>
            <w:tr w14:paraId="48667D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332F13">
                  <w:r>
                    <w:rPr>
                      <w:rStyle w:val="11"/>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1CDC92D1">
                  <w:r>
                    <w:rPr>
                      <w:rStyle w:val="11"/>
                      <w:rFonts w:hint="eastAsia"/>
                    </w:rPr>
                    <w:t>增产</w:t>
                  </w:r>
                </w:p>
              </w:tc>
              <w:tc>
                <w:tcPr>
                  <w:tcW w:w="0" w:type="auto"/>
                  <w:tcBorders>
                    <w:top w:val="outset" w:color="auto" w:sz="6" w:space="0"/>
                    <w:left w:val="outset" w:color="auto" w:sz="6" w:space="0"/>
                    <w:bottom w:val="outset" w:color="auto" w:sz="6" w:space="0"/>
                    <w:right w:val="outset" w:color="auto" w:sz="6" w:space="0"/>
                  </w:tcBorders>
                  <w:vAlign w:val="center"/>
                </w:tcPr>
                <w:p w14:paraId="79DF85A4">
                  <w:r>
                    <w:rPr>
                      <w:rStyle w:val="11"/>
                      <w:rFonts w:hint="eastAsia"/>
                    </w:rPr>
                    <w:t>50-100倍液</w:t>
                  </w:r>
                </w:p>
              </w:tc>
              <w:tc>
                <w:tcPr>
                  <w:tcW w:w="0" w:type="auto"/>
                  <w:tcBorders>
                    <w:top w:val="outset" w:color="auto" w:sz="6" w:space="0"/>
                    <w:left w:val="outset" w:color="auto" w:sz="6" w:space="0"/>
                    <w:bottom w:val="outset" w:color="auto" w:sz="6" w:space="0"/>
                    <w:right w:val="outset" w:color="auto" w:sz="6" w:space="0"/>
                  </w:tcBorders>
                  <w:vAlign w:val="center"/>
                </w:tcPr>
                <w:p w14:paraId="1A6BE9BE">
                  <w:r>
                    <w:rPr>
                      <w:rStyle w:val="11"/>
                      <w:rFonts w:hint="eastAsia"/>
                    </w:rPr>
                    <w:t>浸幼果穗</w:t>
                  </w:r>
                </w:p>
              </w:tc>
            </w:tr>
            <w:tr w14:paraId="0EFB5B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292CAFE">
                  <w:r>
                    <w:rPr>
                      <w:rStyle w:val="11"/>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5BAB60D7">
                  <w:r>
                    <w:rPr>
                      <w:rStyle w:val="11"/>
                      <w:rFonts w:hint="eastAsia"/>
                    </w:rPr>
                    <w:t>果实增大</w:t>
                  </w:r>
                </w:p>
              </w:tc>
              <w:tc>
                <w:tcPr>
                  <w:tcW w:w="0" w:type="auto"/>
                  <w:tcBorders>
                    <w:top w:val="outset" w:color="auto" w:sz="6" w:space="0"/>
                    <w:left w:val="outset" w:color="auto" w:sz="6" w:space="0"/>
                    <w:bottom w:val="outset" w:color="auto" w:sz="6" w:space="0"/>
                    <w:right w:val="outset" w:color="auto" w:sz="6" w:space="0"/>
                  </w:tcBorders>
                  <w:vAlign w:val="center"/>
                </w:tcPr>
                <w:p w14:paraId="0550F95D">
                  <w:r>
                    <w:rPr>
                      <w:rStyle w:val="11"/>
                      <w:rFonts w:hint="eastAsia"/>
                    </w:rPr>
                    <w:t>50-100倍液</w:t>
                  </w:r>
                </w:p>
              </w:tc>
              <w:tc>
                <w:tcPr>
                  <w:tcW w:w="0" w:type="auto"/>
                  <w:tcBorders>
                    <w:top w:val="outset" w:color="auto" w:sz="6" w:space="0"/>
                    <w:left w:val="outset" w:color="auto" w:sz="6" w:space="0"/>
                    <w:bottom w:val="outset" w:color="auto" w:sz="6" w:space="0"/>
                    <w:right w:val="outset" w:color="auto" w:sz="6" w:space="0"/>
                  </w:tcBorders>
                  <w:vAlign w:val="center"/>
                </w:tcPr>
                <w:p w14:paraId="2F988F2F">
                  <w:r>
                    <w:rPr>
                      <w:rStyle w:val="11"/>
                      <w:rFonts w:hint="eastAsia"/>
                    </w:rPr>
                    <w:t>浸幼果穗</w:t>
                  </w:r>
                </w:p>
              </w:tc>
            </w:tr>
            <w:tr w14:paraId="56F7D1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BA89A7">
                  <w:r>
                    <w:rPr>
                      <w:rStyle w:val="11"/>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454AC55A">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65DC75A4">
                  <w:r>
                    <w:rPr>
                      <w:rStyle w:val="11"/>
                      <w:rFonts w:hint="eastAsia"/>
                    </w:rPr>
                    <w:t>1500-2500倍</w:t>
                  </w:r>
                </w:p>
              </w:tc>
              <w:tc>
                <w:tcPr>
                  <w:tcW w:w="0" w:type="auto"/>
                  <w:tcBorders>
                    <w:top w:val="outset" w:color="auto" w:sz="6" w:space="0"/>
                    <w:left w:val="outset" w:color="auto" w:sz="6" w:space="0"/>
                    <w:bottom w:val="outset" w:color="auto" w:sz="6" w:space="0"/>
                    <w:right w:val="outset" w:color="auto" w:sz="6" w:space="0"/>
                  </w:tcBorders>
                  <w:vAlign w:val="center"/>
                </w:tcPr>
                <w:p w14:paraId="5C203D12">
                  <w:r>
                    <w:rPr>
                      <w:rStyle w:val="11"/>
                      <w:rFonts w:hint="eastAsia"/>
                    </w:rPr>
                    <w:t>喷雾</w:t>
                  </w:r>
                </w:p>
              </w:tc>
            </w:tr>
            <w:tr w14:paraId="0E7940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5D14E0">
                  <w:r>
                    <w:rPr>
                      <w:rStyle w:val="11"/>
                      <w:rFonts w:hint="eastAsia"/>
                    </w:rPr>
                    <w:t>猕猴桃</w:t>
                  </w:r>
                </w:p>
              </w:tc>
              <w:tc>
                <w:tcPr>
                  <w:tcW w:w="0" w:type="auto"/>
                  <w:tcBorders>
                    <w:top w:val="outset" w:color="auto" w:sz="6" w:space="0"/>
                    <w:left w:val="outset" w:color="auto" w:sz="6" w:space="0"/>
                    <w:bottom w:val="outset" w:color="auto" w:sz="6" w:space="0"/>
                    <w:right w:val="outset" w:color="auto" w:sz="6" w:space="0"/>
                  </w:tcBorders>
                  <w:vAlign w:val="center"/>
                </w:tcPr>
                <w:p w14:paraId="59B5E0D2">
                  <w:r>
                    <w:rPr>
                      <w:rStyle w:val="11"/>
                      <w:rFonts w:hint="eastAsia"/>
                    </w:rPr>
                    <w:t>调节生长、增产</w:t>
                  </w:r>
                </w:p>
              </w:tc>
              <w:tc>
                <w:tcPr>
                  <w:tcW w:w="0" w:type="auto"/>
                  <w:tcBorders>
                    <w:top w:val="outset" w:color="auto" w:sz="6" w:space="0"/>
                    <w:left w:val="outset" w:color="auto" w:sz="6" w:space="0"/>
                    <w:bottom w:val="outset" w:color="auto" w:sz="6" w:space="0"/>
                    <w:right w:val="outset" w:color="auto" w:sz="6" w:space="0"/>
                  </w:tcBorders>
                  <w:vAlign w:val="center"/>
                </w:tcPr>
                <w:p w14:paraId="689011CA">
                  <w:r>
                    <w:rPr>
                      <w:rStyle w:val="11"/>
                      <w:rFonts w:hint="eastAsia"/>
                    </w:rPr>
                    <w:t>50-200倍液</w:t>
                  </w:r>
                </w:p>
              </w:tc>
              <w:tc>
                <w:tcPr>
                  <w:tcW w:w="0" w:type="auto"/>
                  <w:tcBorders>
                    <w:top w:val="outset" w:color="auto" w:sz="6" w:space="0"/>
                    <w:left w:val="outset" w:color="auto" w:sz="6" w:space="0"/>
                    <w:bottom w:val="outset" w:color="auto" w:sz="6" w:space="0"/>
                    <w:right w:val="outset" w:color="auto" w:sz="6" w:space="0"/>
                  </w:tcBorders>
                  <w:vAlign w:val="center"/>
                </w:tcPr>
                <w:p w14:paraId="5773C9E9">
                  <w:r>
                    <w:rPr>
                      <w:rStyle w:val="11"/>
                      <w:rFonts w:hint="eastAsia"/>
                    </w:rPr>
                    <w:t>浸幼果</w:t>
                  </w:r>
                </w:p>
              </w:tc>
            </w:tr>
          </w:tbl>
          <w:p w14:paraId="139902F3">
            <w:pPr>
              <w:rPr>
                <w:rFonts w:ascii="Times New Roman" w:hAnsi="Times New Roman" w:cs="Times New Roman"/>
                <w:sz w:val="20"/>
                <w:szCs w:val="20"/>
              </w:rPr>
            </w:pPr>
          </w:p>
        </w:tc>
      </w:tr>
      <w:tr w14:paraId="5E06F45E">
        <w:tblPrEx>
          <w:tblCellMar>
            <w:top w:w="0" w:type="dxa"/>
            <w:left w:w="0" w:type="dxa"/>
            <w:bottom w:w="0" w:type="dxa"/>
            <w:right w:w="0" w:type="dxa"/>
          </w:tblCellMar>
        </w:tblPrEx>
        <w:trPr>
          <w:tblCellSpacing w:w="0" w:type="dxa"/>
        </w:trPr>
        <w:tc>
          <w:tcPr>
            <w:tcW w:w="0" w:type="auto"/>
            <w:vAlign w:val="center"/>
          </w:tcPr>
          <w:p w14:paraId="22C3053C">
            <w:r>
              <w:rPr>
                <w:rStyle w:val="10"/>
                <w:rFonts w:hint="eastAsia"/>
              </w:rPr>
              <w:t>使用技术要求:</w:t>
            </w:r>
            <w:r>
              <w:rPr>
                <w:rFonts w:hint="eastAsia"/>
              </w:rPr>
              <w:br w:type="textWrapping"/>
            </w:r>
            <w:r>
              <w:rPr>
                <w:rStyle w:val="11"/>
                <w:rFonts w:hint="eastAsia"/>
              </w:rPr>
              <w:t>1、西瓜、甜瓜：（1）在雌花开放当天或前1-2天，均匀喷雾或浸瓜胎1次；（2）最佳使用时期和兑水量受品种、气温、生态区、栽培管理水平的影响，应根据实际情况灵活调整，通常情况下气温低于18度，每5毫升西瓜兑水0.75千克左右，甜瓜兑水0.75-1.5千克；18-24度，每5毫升西瓜兑水0.75-1千克，甜瓜兑水1-1.5千克；25-30度，每5毫升西瓜兑水0.75-1.5千克，甜瓜兑水1-2千克；（3）高浓度使用、用药不均匀或用量过大，易引起畸形瓜、裂瓜、瓜苦等副作用；（4）薄皮瓜、易裂瓜、31度以上高温禁用；（5）不良环境下应多留瓜，待瓜胎座稳后再定瓜。2、黄瓜：一般稀释100-150倍，于黄瓜雌花开放当天或前一天用药液均匀浸瓜胎1次。3、葡萄：谢花后15天左右，浸葡萄果穗，药液要浸没整个果穗；不同品种、地区和温度情况，最适浓度有所不同，一般稀释100-150倍（每10毫升兑水1-1.5公斤），建议从低浓度用起。4、本品用于葡萄，不同品种、不同的使用目的，使用技术差异性较大；本品常用于巨峰、京亚、藤稔、夏黑、无核白等，初次使用无用药经验的、不同的使用目的及新品种使用本品，务必在使用前咨询并小面积试用成功后再扩大使用。5、猕猴桃：在谢花后20-25天，浸幼果1次。6、脐橙：在果实膨大期使用1次。7、荔枝树：谢花后第一次生理落果前和第二次生理落果前喷雾施药各一次，重点喷施幼果。本品在葡萄上施用1次，安全间隔期为38天。在荔枝上最多用药2次，推荐安全间隔期25天。在猕猴桃、甜瓜、西瓜、黄瓜、脐橙上只用药1次，安全间隔期为收获期。切勿超剂量使用避免药害。</w:t>
            </w:r>
          </w:p>
        </w:tc>
      </w:tr>
      <w:tr w14:paraId="262700C7">
        <w:tblPrEx>
          <w:tblCellMar>
            <w:top w:w="0" w:type="dxa"/>
            <w:left w:w="0" w:type="dxa"/>
            <w:bottom w:w="0" w:type="dxa"/>
            <w:right w:w="0" w:type="dxa"/>
          </w:tblCellMar>
        </w:tblPrEx>
        <w:trPr>
          <w:tblCellSpacing w:w="0" w:type="dxa"/>
        </w:trPr>
        <w:tc>
          <w:tcPr>
            <w:tcW w:w="0" w:type="auto"/>
            <w:vAlign w:val="center"/>
          </w:tcPr>
          <w:p w14:paraId="25F35D77">
            <w:r>
              <w:rPr>
                <w:rStyle w:val="10"/>
                <w:rFonts w:hint="eastAsia"/>
              </w:rPr>
              <w:t>产品性能:</w:t>
            </w:r>
            <w:r>
              <w:rPr>
                <w:rFonts w:hint="eastAsia"/>
              </w:rPr>
              <w:br w:type="textWrapping"/>
            </w:r>
            <w:r>
              <w:rPr>
                <w:rStyle w:val="11"/>
                <w:rFonts w:hint="eastAsia"/>
              </w:rPr>
              <w:t>本品属活性较高的植物生长调节剂，具有细胞分裂素活性，能促进细胞分裂、分化、器官形成和蛋白质合成，可提高光合作用。用于瓜果类作物如甜瓜、葡萄、猕猴桃、脐橙、荔枝等，具有促进保花保果、加速幼果生长发育，膨大果实、增加产量等作用。</w:t>
            </w:r>
          </w:p>
        </w:tc>
      </w:tr>
      <w:tr w14:paraId="2FC45E78">
        <w:tblPrEx>
          <w:tblCellMar>
            <w:top w:w="0" w:type="dxa"/>
            <w:left w:w="0" w:type="dxa"/>
            <w:bottom w:w="0" w:type="dxa"/>
            <w:right w:w="0" w:type="dxa"/>
          </w:tblCellMar>
        </w:tblPrEx>
        <w:trPr>
          <w:tblCellSpacing w:w="0" w:type="dxa"/>
        </w:trPr>
        <w:tc>
          <w:tcPr>
            <w:tcW w:w="0" w:type="auto"/>
            <w:vAlign w:val="center"/>
          </w:tcPr>
          <w:p w14:paraId="51EB3C7E">
            <w:r>
              <w:rPr>
                <w:rStyle w:val="10"/>
                <w:rFonts w:hint="eastAsia"/>
              </w:rPr>
              <w:t>注意事项：</w:t>
            </w:r>
            <w:r>
              <w:rPr>
                <w:rFonts w:hint="eastAsia"/>
              </w:rPr>
              <w:br w:type="textWrapping"/>
            </w:r>
            <w:r>
              <w:rPr>
                <w:rStyle w:val="11"/>
                <w:rFonts w:hint="eastAsia"/>
              </w:rPr>
              <w:t>1、施药时应均匀、周到，不宜重复用药。若不按照推荐使用技术和使用方法施用，均可能会对作物产生药害。2、用药最适浓度因品种、气温、栽培管理而异，凡未用过此药的作物品种和地区，应先试后用，切忌滥用。初次使用宜先从低浓度用起，浓度过高可引起果实空心、畸形僵果等不良现象。3、使用本品后能使发育不良的小瓜果，授粉不良的畸形果保留，请及时疏除，保留适当的座瓜、载果量。4、本品不具备营养功能，主要靠调节养分分配及流向起作用，应结合科学良好的肥水管理、合理负载，并做好园区通风、培养强壮的树势等配套管理，以利于药剂效果表现。5、本品应现配现用，久置药效降低。6、应在阴天或晴天早晚使用，严禁高温烈日用药，施后6小时内遇雨应补施。7、使用本品时应穿戴防护服、面罩和手套等防护用具，避免吸入药液。施药期间不可吃东西、喝水和吸烟。施药后应及时洗手和洗脸。8、本品对蜜蜂和家蚕低毒，蚕室附近禁用，周围蜜源植物花期禁用。9、本品对鱼、溞等水生生物中毒，水产养殖区附近慎用，使用时应避免污染河流、湖泊、池塘等。10、禁止在河塘等水域内清洗施药器具或将清洗器具的废水倒入河流、池塘等水源。11、用过的包装物及未用完的药液不能随意丢弃，也不能做他用，应交当地农业部门或环保部门指定的单位进行回收处理。12、本品能否与其他农药、肥料等产品混用请咨询当地农业技术推广部门，以免混用不当产生药害。13、孕妇及哺乳期妇女避免接触此药。</w:t>
            </w:r>
          </w:p>
        </w:tc>
      </w:tr>
      <w:tr w14:paraId="41AAB3D1">
        <w:tblPrEx>
          <w:tblCellMar>
            <w:top w:w="0" w:type="dxa"/>
            <w:left w:w="0" w:type="dxa"/>
            <w:bottom w:w="0" w:type="dxa"/>
            <w:right w:w="0" w:type="dxa"/>
          </w:tblCellMar>
        </w:tblPrEx>
        <w:trPr>
          <w:tblCellSpacing w:w="0" w:type="dxa"/>
        </w:trPr>
        <w:tc>
          <w:tcPr>
            <w:tcW w:w="0" w:type="auto"/>
            <w:vAlign w:val="center"/>
          </w:tcPr>
          <w:p w14:paraId="0B8051B2">
            <w:r>
              <w:rPr>
                <w:rStyle w:val="10"/>
                <w:rFonts w:hint="eastAsia"/>
              </w:rPr>
              <w:t>中毒急救措施：</w:t>
            </w:r>
            <w:r>
              <w:rPr>
                <w:rFonts w:hint="eastAsia"/>
              </w:rPr>
              <w:br w:type="textWrapping"/>
            </w:r>
            <w:r>
              <w:rPr>
                <w:rStyle w:val="11"/>
                <w:rFonts w:hint="eastAsia"/>
              </w:rPr>
              <w:t>1、若不慎接触皮肤，用大量清水冲洗。若溅入眼睛，用大量清水冲洗至少15分钟，严重时就医。若误服，及时携标签到医院对症治疗。中毒急救电话：中国预防医学科学院中毒控制中心24小时服务电话：010-83132345。</w:t>
            </w:r>
          </w:p>
        </w:tc>
      </w:tr>
      <w:tr w14:paraId="3E8B197E">
        <w:tblPrEx>
          <w:tblCellMar>
            <w:top w:w="0" w:type="dxa"/>
            <w:left w:w="0" w:type="dxa"/>
            <w:bottom w:w="0" w:type="dxa"/>
            <w:right w:w="0" w:type="dxa"/>
          </w:tblCellMar>
        </w:tblPrEx>
        <w:trPr>
          <w:tblCellSpacing w:w="0" w:type="dxa"/>
        </w:trPr>
        <w:tc>
          <w:tcPr>
            <w:tcW w:w="0" w:type="auto"/>
            <w:vAlign w:val="center"/>
          </w:tcPr>
          <w:p w14:paraId="16E605D6">
            <w:r>
              <w:rPr>
                <w:rStyle w:val="10"/>
                <w:rFonts w:hint="eastAsia"/>
              </w:rPr>
              <w:t>储存和运输方法：</w:t>
            </w:r>
            <w:r>
              <w:rPr>
                <w:rFonts w:hint="eastAsia"/>
              </w:rPr>
              <w:br w:type="textWrapping"/>
            </w:r>
            <w:r>
              <w:rPr>
                <w:rStyle w:val="11"/>
                <w:rFonts w:hint="eastAsia"/>
              </w:rPr>
              <w:t>本产品应贮存在干燥、通风和阴凉的库房中，防止受潮、日晒，远离火源或热源。置于儿童触及不到之处，并加锁。不得与食品、饮料、粮食、饲料等混合储运。</w:t>
            </w:r>
          </w:p>
        </w:tc>
      </w:tr>
      <w:tr w14:paraId="5DEEE098">
        <w:tblPrEx>
          <w:tblCellMar>
            <w:top w:w="0" w:type="dxa"/>
            <w:left w:w="0" w:type="dxa"/>
            <w:bottom w:w="0" w:type="dxa"/>
            <w:right w:w="0" w:type="dxa"/>
          </w:tblCellMar>
        </w:tblPrEx>
        <w:trPr>
          <w:tblCellSpacing w:w="0" w:type="dxa"/>
        </w:trPr>
        <w:tc>
          <w:tcPr>
            <w:tcW w:w="0" w:type="auto"/>
            <w:vAlign w:val="center"/>
          </w:tcPr>
          <w:p w14:paraId="493405AE">
            <w:r>
              <w:rPr>
                <w:rStyle w:val="10"/>
                <w:rFonts w:hint="eastAsia"/>
              </w:rPr>
              <w:t>质量保证期：</w:t>
            </w:r>
            <w:r>
              <w:rPr>
                <w:rStyle w:val="11"/>
                <w:rFonts w:hint="eastAsia"/>
              </w:rPr>
              <w:t>2年</w:t>
            </w:r>
          </w:p>
        </w:tc>
      </w:tr>
      <w:tr w14:paraId="6744E2BF">
        <w:tblPrEx>
          <w:tblCellMar>
            <w:top w:w="0" w:type="dxa"/>
            <w:left w:w="0" w:type="dxa"/>
            <w:bottom w:w="0" w:type="dxa"/>
            <w:right w:w="0" w:type="dxa"/>
          </w:tblCellMar>
        </w:tblPrEx>
        <w:trPr>
          <w:tblCellSpacing w:w="0" w:type="dxa"/>
        </w:trPr>
        <w:tc>
          <w:tcPr>
            <w:tcW w:w="0" w:type="auto"/>
            <w:vAlign w:val="center"/>
          </w:tcPr>
          <w:p w14:paraId="26891D6C">
            <w:r>
              <w:rPr>
                <w:rStyle w:val="10"/>
                <w:rFonts w:hint="eastAsia"/>
              </w:rPr>
              <w:t>备注：</w:t>
            </w:r>
          </w:p>
        </w:tc>
      </w:tr>
    </w:tbl>
    <w:p w14:paraId="5FC8ED17">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44D6DBB">
        <w:tblPrEx>
          <w:tblCellMar>
            <w:top w:w="0" w:type="dxa"/>
            <w:left w:w="0" w:type="dxa"/>
            <w:bottom w:w="0" w:type="dxa"/>
            <w:right w:w="0" w:type="dxa"/>
          </w:tblCellMar>
        </w:tblPrEx>
        <w:trPr>
          <w:tblCellSpacing w:w="0" w:type="dxa"/>
        </w:trPr>
        <w:tc>
          <w:tcPr>
            <w:tcW w:w="0" w:type="auto"/>
            <w:vAlign w:val="center"/>
          </w:tcPr>
          <w:p w14:paraId="293A0C43">
            <w:r>
              <w:rPr>
                <w:rStyle w:val="10"/>
                <w:rFonts w:hint="eastAsia"/>
              </w:rPr>
              <w:t>登记证号：</w:t>
            </w:r>
            <w:r>
              <w:rPr>
                <w:rFonts w:hint="eastAsia"/>
              </w:rPr>
              <w:t>PD20210467</w:t>
            </w:r>
          </w:p>
        </w:tc>
      </w:tr>
      <w:tr w14:paraId="2949604D">
        <w:tblPrEx>
          <w:tblCellMar>
            <w:top w:w="0" w:type="dxa"/>
            <w:left w:w="0" w:type="dxa"/>
            <w:bottom w:w="0" w:type="dxa"/>
            <w:right w:w="0" w:type="dxa"/>
          </w:tblCellMar>
        </w:tblPrEx>
        <w:trPr>
          <w:tblCellSpacing w:w="0" w:type="dxa"/>
        </w:trPr>
        <w:tc>
          <w:tcPr>
            <w:tcW w:w="0" w:type="auto"/>
            <w:vAlign w:val="center"/>
          </w:tcPr>
          <w:p w14:paraId="58BC9E70">
            <w:r>
              <w:rPr>
                <w:rStyle w:val="10"/>
                <w:rFonts w:hint="eastAsia"/>
              </w:rPr>
              <w:t>登记证持有人：</w:t>
            </w:r>
            <w:r>
              <w:rPr>
                <w:rFonts w:hint="eastAsia"/>
              </w:rPr>
              <w:t>河北上瑞生物科技有限公司</w:t>
            </w:r>
          </w:p>
        </w:tc>
      </w:tr>
      <w:tr w14:paraId="5CE332E4">
        <w:tblPrEx>
          <w:tblCellMar>
            <w:top w:w="0" w:type="dxa"/>
            <w:left w:w="0" w:type="dxa"/>
            <w:bottom w:w="0" w:type="dxa"/>
            <w:right w:w="0" w:type="dxa"/>
          </w:tblCellMar>
        </w:tblPrEx>
        <w:trPr>
          <w:tblCellSpacing w:w="0" w:type="dxa"/>
        </w:trPr>
        <w:tc>
          <w:tcPr>
            <w:tcW w:w="0" w:type="auto"/>
            <w:vAlign w:val="center"/>
          </w:tcPr>
          <w:p w14:paraId="56479936">
            <w:r>
              <w:rPr>
                <w:rStyle w:val="10"/>
                <w:rFonts w:hint="eastAsia"/>
              </w:rPr>
              <w:t>农药名称：</w:t>
            </w:r>
            <w:r>
              <w:rPr>
                <w:rFonts w:hint="eastAsia"/>
              </w:rPr>
              <w:t>淡紫拟青霉</w:t>
            </w:r>
          </w:p>
        </w:tc>
      </w:tr>
      <w:tr w14:paraId="28E44EC3">
        <w:tblPrEx>
          <w:tblCellMar>
            <w:top w:w="0" w:type="dxa"/>
            <w:left w:w="0" w:type="dxa"/>
            <w:bottom w:w="0" w:type="dxa"/>
            <w:right w:w="0" w:type="dxa"/>
          </w:tblCellMar>
        </w:tblPrEx>
        <w:trPr>
          <w:tblCellSpacing w:w="0" w:type="dxa"/>
        </w:trPr>
        <w:tc>
          <w:tcPr>
            <w:tcW w:w="0" w:type="auto"/>
            <w:vAlign w:val="center"/>
          </w:tcPr>
          <w:p w14:paraId="2E251B62">
            <w:r>
              <w:rPr>
                <w:rStyle w:val="10"/>
                <w:rFonts w:hint="eastAsia"/>
              </w:rPr>
              <w:t>剂型：</w:t>
            </w:r>
            <w:r>
              <w:rPr>
                <w:rFonts w:hint="eastAsia"/>
              </w:rPr>
              <w:t>颗粒剂</w:t>
            </w:r>
          </w:p>
        </w:tc>
      </w:tr>
      <w:tr w14:paraId="4F7CFD4E">
        <w:tblPrEx>
          <w:tblCellMar>
            <w:top w:w="0" w:type="dxa"/>
            <w:left w:w="0" w:type="dxa"/>
            <w:bottom w:w="0" w:type="dxa"/>
            <w:right w:w="0" w:type="dxa"/>
          </w:tblCellMar>
        </w:tblPrEx>
        <w:trPr>
          <w:tblCellSpacing w:w="0" w:type="dxa"/>
        </w:trPr>
        <w:tc>
          <w:tcPr>
            <w:tcW w:w="0" w:type="auto"/>
            <w:vAlign w:val="center"/>
          </w:tcPr>
          <w:p w14:paraId="25D8CC47">
            <w:r>
              <w:rPr>
                <w:rStyle w:val="10"/>
                <w:rFonts w:hint="eastAsia"/>
              </w:rPr>
              <w:t>毒性及其标识：</w:t>
            </w:r>
            <w:r>
              <w:rPr>
                <w:rFonts w:hint="eastAsia"/>
              </w:rPr>
              <w:t xml:space="preserve"> </w:t>
            </w:r>
            <w:r>
              <w:drawing>
                <wp:inline distT="0" distB="0" distL="0" distR="0">
                  <wp:extent cx="474345" cy="323850"/>
                  <wp:effectExtent l="0" t="0" r="1905"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5D6863B3">
        <w:tblPrEx>
          <w:tblCellMar>
            <w:top w:w="0" w:type="dxa"/>
            <w:left w:w="0" w:type="dxa"/>
            <w:bottom w:w="0" w:type="dxa"/>
            <w:right w:w="0" w:type="dxa"/>
          </w:tblCellMar>
        </w:tblPrEx>
        <w:trPr>
          <w:tblCellSpacing w:w="0" w:type="dxa"/>
        </w:trPr>
        <w:tc>
          <w:tcPr>
            <w:tcW w:w="0" w:type="auto"/>
            <w:vAlign w:val="center"/>
          </w:tcPr>
          <w:p w14:paraId="526B9024">
            <w:r>
              <w:rPr>
                <w:rStyle w:val="10"/>
                <w:rFonts w:hint="eastAsia"/>
              </w:rPr>
              <w:t>总有效成分含量：</w:t>
            </w:r>
            <w:r>
              <w:rPr>
                <w:rFonts w:hint="eastAsia"/>
              </w:rPr>
              <w:t>5亿孢子/克</w:t>
            </w:r>
          </w:p>
        </w:tc>
      </w:tr>
      <w:tr w14:paraId="2A558C79">
        <w:tblPrEx>
          <w:tblCellMar>
            <w:top w:w="0" w:type="dxa"/>
            <w:left w:w="0" w:type="dxa"/>
            <w:bottom w:w="0" w:type="dxa"/>
            <w:right w:w="0" w:type="dxa"/>
          </w:tblCellMar>
        </w:tblPrEx>
        <w:trPr>
          <w:tblCellSpacing w:w="0" w:type="dxa"/>
        </w:trPr>
        <w:tc>
          <w:tcPr>
            <w:tcW w:w="0" w:type="auto"/>
            <w:vAlign w:val="center"/>
          </w:tcPr>
          <w:p w14:paraId="2CA8A371">
            <w:r>
              <w:rPr>
                <w:rFonts w:hint="eastAsia"/>
              </w:rPr>
              <w:t xml:space="preserve">有效成分及其含量： </w:t>
            </w:r>
          </w:p>
          <w:p w14:paraId="21020B80">
            <w:r>
              <w:rPr>
                <w:rFonts w:hint="eastAsia"/>
              </w:rPr>
              <w:t xml:space="preserve">    淡紫拟青霉5亿孢子/克    </w:t>
            </w:r>
          </w:p>
        </w:tc>
      </w:tr>
      <w:tr w14:paraId="4E4FA798">
        <w:tblPrEx>
          <w:tblCellMar>
            <w:top w:w="0" w:type="dxa"/>
            <w:left w:w="0" w:type="dxa"/>
            <w:bottom w:w="0" w:type="dxa"/>
            <w:right w:w="0" w:type="dxa"/>
          </w:tblCellMar>
        </w:tblPrEx>
        <w:trPr>
          <w:tblCellSpacing w:w="0" w:type="dxa"/>
        </w:trPr>
        <w:tc>
          <w:tcPr>
            <w:tcW w:w="0" w:type="auto"/>
            <w:vAlign w:val="center"/>
          </w:tcPr>
          <w:p w14:paraId="009DB55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8051D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4FBE14">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9A6741">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B9A6B0">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2B7F041">
                  <w:r>
                    <w:rPr>
                      <w:rStyle w:val="11"/>
                      <w:rFonts w:hint="eastAsia"/>
                    </w:rPr>
                    <w:t>施用方式</w:t>
                  </w:r>
                </w:p>
              </w:tc>
            </w:tr>
            <w:tr w14:paraId="0595AB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408A57">
                  <w:r>
                    <w:rPr>
                      <w:rStyle w:val="11"/>
                      <w:rFonts w:hint="eastAsia"/>
                    </w:rPr>
                    <w:t>番茄(苗期)</w:t>
                  </w:r>
                </w:p>
              </w:tc>
              <w:tc>
                <w:tcPr>
                  <w:tcW w:w="0" w:type="auto"/>
                  <w:tcBorders>
                    <w:top w:val="outset" w:color="auto" w:sz="6" w:space="0"/>
                    <w:left w:val="outset" w:color="auto" w:sz="6" w:space="0"/>
                    <w:bottom w:val="outset" w:color="auto" w:sz="6" w:space="0"/>
                    <w:right w:val="outset" w:color="auto" w:sz="6" w:space="0"/>
                  </w:tcBorders>
                  <w:vAlign w:val="center"/>
                </w:tcPr>
                <w:p w14:paraId="02CC1EC0">
                  <w:r>
                    <w:rPr>
                      <w:rStyle w:val="11"/>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56B5C5FC">
                  <w:r>
                    <w:rPr>
                      <w:rStyle w:val="11"/>
                      <w:rFonts w:hint="eastAsia"/>
                    </w:rPr>
                    <w:t>3250-3500克/亩</w:t>
                  </w:r>
                </w:p>
              </w:tc>
              <w:tc>
                <w:tcPr>
                  <w:tcW w:w="0" w:type="auto"/>
                  <w:tcBorders>
                    <w:top w:val="outset" w:color="auto" w:sz="6" w:space="0"/>
                    <w:left w:val="outset" w:color="auto" w:sz="6" w:space="0"/>
                    <w:bottom w:val="outset" w:color="auto" w:sz="6" w:space="0"/>
                    <w:right w:val="outset" w:color="auto" w:sz="6" w:space="0"/>
                  </w:tcBorders>
                  <w:vAlign w:val="center"/>
                </w:tcPr>
                <w:p w14:paraId="3D52FBDC">
                  <w:r>
                    <w:rPr>
                      <w:rStyle w:val="11"/>
                      <w:rFonts w:hint="eastAsia"/>
                    </w:rPr>
                    <w:t>沟施</w:t>
                  </w:r>
                </w:p>
              </w:tc>
            </w:tr>
          </w:tbl>
          <w:p w14:paraId="04B1D58B">
            <w:pPr>
              <w:rPr>
                <w:rFonts w:ascii="Times New Roman" w:hAnsi="Times New Roman" w:cs="Times New Roman"/>
                <w:sz w:val="20"/>
                <w:szCs w:val="20"/>
              </w:rPr>
            </w:pPr>
          </w:p>
        </w:tc>
      </w:tr>
      <w:tr w14:paraId="14E60932">
        <w:tblPrEx>
          <w:tblCellMar>
            <w:top w:w="0" w:type="dxa"/>
            <w:left w:w="0" w:type="dxa"/>
            <w:bottom w:w="0" w:type="dxa"/>
            <w:right w:w="0" w:type="dxa"/>
          </w:tblCellMar>
        </w:tblPrEx>
        <w:trPr>
          <w:tblCellSpacing w:w="0" w:type="dxa"/>
        </w:trPr>
        <w:tc>
          <w:tcPr>
            <w:tcW w:w="0" w:type="auto"/>
            <w:vAlign w:val="center"/>
          </w:tcPr>
          <w:p w14:paraId="374728A7">
            <w:r>
              <w:rPr>
                <w:rStyle w:val="10"/>
                <w:rFonts w:hint="eastAsia"/>
              </w:rPr>
              <w:t>使用技术要求:</w:t>
            </w:r>
            <w:r>
              <w:rPr>
                <w:rFonts w:hint="eastAsia"/>
              </w:rPr>
              <w:br w:type="textWrapping"/>
            </w:r>
            <w:r>
              <w:rPr>
                <w:rStyle w:val="11"/>
                <w:rFonts w:hint="eastAsia"/>
              </w:rPr>
              <w:t>于播种前或移栽前均匀穴施、沟施在种子或幼苗根系附近，施药深度为20厘米左右，施药一次。</w:t>
            </w:r>
          </w:p>
        </w:tc>
      </w:tr>
      <w:tr w14:paraId="2E07CC01">
        <w:tblPrEx>
          <w:tblCellMar>
            <w:top w:w="0" w:type="dxa"/>
            <w:left w:w="0" w:type="dxa"/>
            <w:bottom w:w="0" w:type="dxa"/>
            <w:right w:w="0" w:type="dxa"/>
          </w:tblCellMar>
        </w:tblPrEx>
        <w:trPr>
          <w:tblCellSpacing w:w="0" w:type="dxa"/>
        </w:trPr>
        <w:tc>
          <w:tcPr>
            <w:tcW w:w="0" w:type="auto"/>
            <w:vAlign w:val="center"/>
          </w:tcPr>
          <w:p w14:paraId="3C70776B">
            <w:r>
              <w:rPr>
                <w:rStyle w:val="10"/>
                <w:rFonts w:hint="eastAsia"/>
              </w:rPr>
              <w:t>产品性能:</w:t>
            </w:r>
            <w:r>
              <w:rPr>
                <w:rFonts w:hint="eastAsia"/>
              </w:rPr>
              <w:br w:type="textWrapping"/>
            </w:r>
            <w:r>
              <w:rPr>
                <w:rStyle w:val="11"/>
                <w:rFonts w:hint="eastAsia"/>
              </w:rPr>
              <w:t>淡紫拟青霉属于拟青霉属真菌，对番茄根结线虫具有很好防治作用。淡紫拟青霉制剂施入土壤后孢子萌发长出很多菌丝，苗丝分泌几丁质酶，从而破坏线虫卵壳的几丁质层，菌丝得以穿透卵壳，以卵内物质为养料大量繁殖，使卵内的细胞和早期胚胎受破坏，不能孵出幼虫。</w:t>
            </w:r>
          </w:p>
        </w:tc>
      </w:tr>
      <w:tr w14:paraId="1288FDA4">
        <w:tblPrEx>
          <w:tblCellMar>
            <w:top w:w="0" w:type="dxa"/>
            <w:left w:w="0" w:type="dxa"/>
            <w:bottom w:w="0" w:type="dxa"/>
            <w:right w:w="0" w:type="dxa"/>
          </w:tblCellMar>
        </w:tblPrEx>
        <w:trPr>
          <w:tblCellSpacing w:w="0" w:type="dxa"/>
        </w:trPr>
        <w:tc>
          <w:tcPr>
            <w:tcW w:w="0" w:type="auto"/>
            <w:vAlign w:val="center"/>
          </w:tcPr>
          <w:p w14:paraId="2139E927">
            <w:r>
              <w:rPr>
                <w:rStyle w:val="10"/>
                <w:rFonts w:hint="eastAsia"/>
              </w:rPr>
              <w:t>注意事项：</w:t>
            </w:r>
            <w:r>
              <w:rPr>
                <w:rFonts w:hint="eastAsia"/>
              </w:rPr>
              <w:br w:type="textWrapping"/>
            </w:r>
            <w:r>
              <w:rPr>
                <w:rStyle w:val="11"/>
                <w:rFonts w:hint="eastAsia"/>
              </w:rPr>
              <w:t>1、本品不可与含有铜离子、镁离子的农药混合使用。 2、使用本品时应穿防护服和戴手套及口罩；施药期间不可吃东西和饮水；施药后应及时洗手和洗脸。 3、建议与其他不同作用机制的杀线虫剂较换使用。 4、禁止在河塘等水域中清洗施药器具。 5、孕妇及哺乳期的妇女应禁止接触。 6、用过的容器应妥善处理，不可做他用，也不可随意丢弃。7、药液及其废液不得污染各类水域、土壤等环境。</w:t>
            </w:r>
          </w:p>
        </w:tc>
      </w:tr>
      <w:tr w14:paraId="56F6193B">
        <w:tblPrEx>
          <w:tblCellMar>
            <w:top w:w="0" w:type="dxa"/>
            <w:left w:w="0" w:type="dxa"/>
            <w:bottom w:w="0" w:type="dxa"/>
            <w:right w:w="0" w:type="dxa"/>
          </w:tblCellMar>
        </w:tblPrEx>
        <w:trPr>
          <w:tblCellSpacing w:w="0" w:type="dxa"/>
        </w:trPr>
        <w:tc>
          <w:tcPr>
            <w:tcW w:w="0" w:type="auto"/>
            <w:vAlign w:val="center"/>
          </w:tcPr>
          <w:p w14:paraId="4BF364EF">
            <w:r>
              <w:rPr>
                <w:rStyle w:val="10"/>
                <w:rFonts w:hint="eastAsia"/>
              </w:rPr>
              <w:t>中毒急救措施：</w:t>
            </w:r>
            <w:r>
              <w:rPr>
                <w:rFonts w:hint="eastAsia"/>
              </w:rPr>
              <w:br w:type="textWrapping"/>
            </w:r>
            <w:r>
              <w:rPr>
                <w:rStyle w:val="11"/>
                <w:rFonts w:hint="eastAsia"/>
              </w:rPr>
              <w:t>急救措施：使用中或使用后如果感觉不适，应立即停止工作，采取急救措施，并携带标签送医院就诊。⑴不慎皮肤接触：脱除受污衣物，立即用大量肥皂和清水冲洗受污皮肤。(2)不慎溅入眼睛:用大量清水冲洗至少15分钟，如仍有不适，请医生诊治。(3)不慎吸入：立即将吸入者移至空气清新处。(4) 不慎误服:立即携带本标签将病人送医院就诊。</w:t>
            </w:r>
          </w:p>
        </w:tc>
      </w:tr>
      <w:tr w14:paraId="04263F0D">
        <w:tblPrEx>
          <w:tblCellMar>
            <w:top w:w="0" w:type="dxa"/>
            <w:left w:w="0" w:type="dxa"/>
            <w:bottom w:w="0" w:type="dxa"/>
            <w:right w:w="0" w:type="dxa"/>
          </w:tblCellMar>
        </w:tblPrEx>
        <w:trPr>
          <w:tblCellSpacing w:w="0" w:type="dxa"/>
        </w:trPr>
        <w:tc>
          <w:tcPr>
            <w:tcW w:w="0" w:type="auto"/>
            <w:vAlign w:val="center"/>
          </w:tcPr>
          <w:p w14:paraId="201B30D0">
            <w:r>
              <w:rPr>
                <w:rStyle w:val="10"/>
                <w:rFonts w:hint="eastAsia"/>
              </w:rPr>
              <w:t>储存和运输方法：</w:t>
            </w:r>
            <w:r>
              <w:rPr>
                <w:rFonts w:hint="eastAsia"/>
              </w:rPr>
              <w:br w:type="textWrapping"/>
            </w:r>
            <w:r>
              <w:rPr>
                <w:rStyle w:val="11"/>
                <w:rFonts w:hint="eastAsia"/>
              </w:rPr>
              <w:t>1、本品应贮存在干燥、阴凉、通风、防雨处，远离火源或热源。 2、置于儿童、无关人员及动物触及不到之处，并加锁保存。 3、勿与食品、饮料、饲料等其他商品同贮同运。</w:t>
            </w:r>
          </w:p>
        </w:tc>
      </w:tr>
      <w:tr w14:paraId="593BC467">
        <w:tblPrEx>
          <w:tblCellMar>
            <w:top w:w="0" w:type="dxa"/>
            <w:left w:w="0" w:type="dxa"/>
            <w:bottom w:w="0" w:type="dxa"/>
            <w:right w:w="0" w:type="dxa"/>
          </w:tblCellMar>
        </w:tblPrEx>
        <w:trPr>
          <w:tblCellSpacing w:w="0" w:type="dxa"/>
        </w:trPr>
        <w:tc>
          <w:tcPr>
            <w:tcW w:w="0" w:type="auto"/>
            <w:vAlign w:val="center"/>
          </w:tcPr>
          <w:p w14:paraId="4059F39B">
            <w:r>
              <w:rPr>
                <w:rStyle w:val="10"/>
                <w:rFonts w:hint="eastAsia"/>
              </w:rPr>
              <w:t>质量保证期：</w:t>
            </w:r>
            <w:r>
              <w:rPr>
                <w:rStyle w:val="11"/>
                <w:rFonts w:hint="eastAsia"/>
              </w:rPr>
              <w:t>1年</w:t>
            </w:r>
          </w:p>
        </w:tc>
      </w:tr>
      <w:tr w14:paraId="4F37EC76">
        <w:tblPrEx>
          <w:tblCellMar>
            <w:top w:w="0" w:type="dxa"/>
            <w:left w:w="0" w:type="dxa"/>
            <w:bottom w:w="0" w:type="dxa"/>
            <w:right w:w="0" w:type="dxa"/>
          </w:tblCellMar>
        </w:tblPrEx>
        <w:trPr>
          <w:tblCellSpacing w:w="0" w:type="dxa"/>
        </w:trPr>
        <w:tc>
          <w:tcPr>
            <w:tcW w:w="0" w:type="auto"/>
            <w:vAlign w:val="center"/>
          </w:tcPr>
          <w:p w14:paraId="62C09A51">
            <w:r>
              <w:rPr>
                <w:rStyle w:val="10"/>
                <w:rFonts w:hint="eastAsia"/>
              </w:rPr>
              <w:t>备注：</w:t>
            </w:r>
          </w:p>
        </w:tc>
      </w:tr>
    </w:tbl>
    <w:p w14:paraId="4B36455E">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6E406AF">
        <w:tblPrEx>
          <w:tblCellMar>
            <w:top w:w="0" w:type="dxa"/>
            <w:left w:w="0" w:type="dxa"/>
            <w:bottom w:w="0" w:type="dxa"/>
            <w:right w:w="0" w:type="dxa"/>
          </w:tblCellMar>
        </w:tblPrEx>
        <w:trPr>
          <w:tblCellSpacing w:w="0" w:type="dxa"/>
        </w:trPr>
        <w:tc>
          <w:tcPr>
            <w:tcW w:w="0" w:type="auto"/>
            <w:vAlign w:val="center"/>
          </w:tcPr>
          <w:p w14:paraId="41E9CFE1">
            <w:r>
              <w:rPr>
                <w:rStyle w:val="10"/>
                <w:rFonts w:hint="eastAsia"/>
              </w:rPr>
              <w:t>登记证号：</w:t>
            </w:r>
            <w:r>
              <w:rPr>
                <w:rFonts w:hint="eastAsia"/>
              </w:rPr>
              <w:t>WP20090331</w:t>
            </w:r>
          </w:p>
        </w:tc>
      </w:tr>
      <w:tr w14:paraId="04551727">
        <w:tblPrEx>
          <w:tblCellMar>
            <w:top w:w="0" w:type="dxa"/>
            <w:left w:w="0" w:type="dxa"/>
            <w:bottom w:w="0" w:type="dxa"/>
            <w:right w:w="0" w:type="dxa"/>
          </w:tblCellMar>
        </w:tblPrEx>
        <w:trPr>
          <w:tblCellSpacing w:w="0" w:type="dxa"/>
        </w:trPr>
        <w:tc>
          <w:tcPr>
            <w:tcW w:w="0" w:type="auto"/>
            <w:vAlign w:val="center"/>
          </w:tcPr>
          <w:p w14:paraId="3853D0C3">
            <w:r>
              <w:rPr>
                <w:rStyle w:val="10"/>
                <w:rFonts w:hint="eastAsia"/>
              </w:rPr>
              <w:t>登记证持有人：</w:t>
            </w:r>
            <w:r>
              <w:rPr>
                <w:rFonts w:hint="eastAsia"/>
              </w:rPr>
              <w:t>河南韩氏卫生用品科技有限公司</w:t>
            </w:r>
          </w:p>
        </w:tc>
      </w:tr>
      <w:tr w14:paraId="5DB3A8F0">
        <w:tblPrEx>
          <w:tblCellMar>
            <w:top w:w="0" w:type="dxa"/>
            <w:left w:w="0" w:type="dxa"/>
            <w:bottom w:w="0" w:type="dxa"/>
            <w:right w:w="0" w:type="dxa"/>
          </w:tblCellMar>
        </w:tblPrEx>
        <w:trPr>
          <w:tblCellSpacing w:w="0" w:type="dxa"/>
        </w:trPr>
        <w:tc>
          <w:tcPr>
            <w:tcW w:w="0" w:type="auto"/>
            <w:vAlign w:val="center"/>
          </w:tcPr>
          <w:p w14:paraId="49BC1165">
            <w:r>
              <w:rPr>
                <w:rStyle w:val="10"/>
                <w:rFonts w:hint="eastAsia"/>
              </w:rPr>
              <w:t>农药名称：</w:t>
            </w:r>
            <w:r>
              <w:rPr>
                <w:rFonts w:hint="eastAsia"/>
              </w:rPr>
              <w:t>驱蚊花露水</w:t>
            </w:r>
          </w:p>
        </w:tc>
      </w:tr>
      <w:tr w14:paraId="7FDE6B3F">
        <w:tblPrEx>
          <w:tblCellMar>
            <w:top w:w="0" w:type="dxa"/>
            <w:left w:w="0" w:type="dxa"/>
            <w:bottom w:w="0" w:type="dxa"/>
            <w:right w:w="0" w:type="dxa"/>
          </w:tblCellMar>
        </w:tblPrEx>
        <w:trPr>
          <w:tblCellSpacing w:w="0" w:type="dxa"/>
        </w:trPr>
        <w:tc>
          <w:tcPr>
            <w:tcW w:w="0" w:type="auto"/>
            <w:vAlign w:val="center"/>
          </w:tcPr>
          <w:p w14:paraId="1757CD15">
            <w:r>
              <w:rPr>
                <w:rStyle w:val="10"/>
                <w:rFonts w:hint="eastAsia"/>
              </w:rPr>
              <w:t>剂型：</w:t>
            </w:r>
            <w:r>
              <w:rPr>
                <w:rFonts w:hint="eastAsia"/>
              </w:rPr>
              <w:t>驱蚊花露水</w:t>
            </w:r>
          </w:p>
        </w:tc>
      </w:tr>
      <w:tr w14:paraId="24086D58">
        <w:tblPrEx>
          <w:tblCellMar>
            <w:top w:w="0" w:type="dxa"/>
            <w:left w:w="0" w:type="dxa"/>
            <w:bottom w:w="0" w:type="dxa"/>
            <w:right w:w="0" w:type="dxa"/>
          </w:tblCellMar>
        </w:tblPrEx>
        <w:trPr>
          <w:tblCellSpacing w:w="0" w:type="dxa"/>
        </w:trPr>
        <w:tc>
          <w:tcPr>
            <w:tcW w:w="0" w:type="auto"/>
            <w:vAlign w:val="center"/>
          </w:tcPr>
          <w:p w14:paraId="3E5B848C">
            <w:r>
              <w:rPr>
                <w:rStyle w:val="10"/>
                <w:rFonts w:hint="eastAsia"/>
              </w:rPr>
              <w:t>毒性及其标识：</w:t>
            </w:r>
            <w:r>
              <w:rPr>
                <w:rFonts w:hint="eastAsia"/>
              </w:rPr>
              <w:t xml:space="preserve"> </w:t>
            </w:r>
            <w:r>
              <w:drawing>
                <wp:inline distT="0" distB="0" distL="0" distR="0">
                  <wp:extent cx="474345" cy="323850"/>
                  <wp:effectExtent l="0" t="0" r="1905" b="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41A59D07">
        <w:tblPrEx>
          <w:tblCellMar>
            <w:top w:w="0" w:type="dxa"/>
            <w:left w:w="0" w:type="dxa"/>
            <w:bottom w:w="0" w:type="dxa"/>
            <w:right w:w="0" w:type="dxa"/>
          </w:tblCellMar>
        </w:tblPrEx>
        <w:trPr>
          <w:tblCellSpacing w:w="0" w:type="dxa"/>
        </w:trPr>
        <w:tc>
          <w:tcPr>
            <w:tcW w:w="0" w:type="auto"/>
            <w:vAlign w:val="center"/>
          </w:tcPr>
          <w:p w14:paraId="7C6549EA">
            <w:r>
              <w:rPr>
                <w:rStyle w:val="10"/>
                <w:rFonts w:hint="eastAsia"/>
              </w:rPr>
              <w:t>总有效成分含量：</w:t>
            </w:r>
            <w:r>
              <w:rPr>
                <w:rFonts w:hint="eastAsia"/>
              </w:rPr>
              <w:t>4.5%</w:t>
            </w:r>
          </w:p>
        </w:tc>
      </w:tr>
      <w:tr w14:paraId="74B5EEF4">
        <w:tblPrEx>
          <w:tblCellMar>
            <w:top w:w="0" w:type="dxa"/>
            <w:left w:w="0" w:type="dxa"/>
            <w:bottom w:w="0" w:type="dxa"/>
            <w:right w:w="0" w:type="dxa"/>
          </w:tblCellMar>
        </w:tblPrEx>
        <w:trPr>
          <w:tblCellSpacing w:w="0" w:type="dxa"/>
        </w:trPr>
        <w:tc>
          <w:tcPr>
            <w:tcW w:w="0" w:type="auto"/>
            <w:vAlign w:val="center"/>
          </w:tcPr>
          <w:p w14:paraId="0808F5AF">
            <w:r>
              <w:rPr>
                <w:rFonts w:hint="eastAsia"/>
              </w:rPr>
              <w:t xml:space="preserve">有效成分及其含量： </w:t>
            </w:r>
          </w:p>
          <w:p w14:paraId="12702B35">
            <w:r>
              <w:rPr>
                <w:rFonts w:hint="eastAsia"/>
              </w:rPr>
              <w:t xml:space="preserve">    避蚊胺4.5%    </w:t>
            </w:r>
          </w:p>
        </w:tc>
      </w:tr>
      <w:tr w14:paraId="285BB980">
        <w:tblPrEx>
          <w:tblCellMar>
            <w:top w:w="0" w:type="dxa"/>
            <w:left w:w="0" w:type="dxa"/>
            <w:bottom w:w="0" w:type="dxa"/>
            <w:right w:w="0" w:type="dxa"/>
          </w:tblCellMar>
        </w:tblPrEx>
        <w:trPr>
          <w:tblCellSpacing w:w="0" w:type="dxa"/>
        </w:trPr>
        <w:tc>
          <w:tcPr>
            <w:tcW w:w="0" w:type="auto"/>
            <w:vAlign w:val="center"/>
          </w:tcPr>
          <w:p w14:paraId="5225E26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F00B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CE2ADE9">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4CD30F">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5B26EF">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984AFAF">
                  <w:r>
                    <w:rPr>
                      <w:rStyle w:val="11"/>
                      <w:rFonts w:hint="eastAsia"/>
                    </w:rPr>
                    <w:t>施用方式</w:t>
                  </w:r>
                </w:p>
              </w:tc>
            </w:tr>
            <w:tr w14:paraId="6152C3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1D8C13">
                  <w:r>
                    <w:rPr>
                      <w:rStyle w:val="11"/>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3B92B33C">
                  <w:r>
                    <w:rPr>
                      <w:rStyle w:val="11"/>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1F1FA412">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6EC2547D">
                  <w:r>
                    <w:rPr>
                      <w:rStyle w:val="11"/>
                      <w:rFonts w:hint="eastAsia"/>
                    </w:rPr>
                    <w:t>涂抹</w:t>
                  </w:r>
                </w:p>
              </w:tc>
            </w:tr>
          </w:tbl>
          <w:p w14:paraId="017ECC76">
            <w:pPr>
              <w:rPr>
                <w:rFonts w:ascii="Times New Roman" w:hAnsi="Times New Roman" w:cs="Times New Roman"/>
                <w:sz w:val="20"/>
                <w:szCs w:val="20"/>
              </w:rPr>
            </w:pPr>
          </w:p>
        </w:tc>
      </w:tr>
      <w:tr w14:paraId="37FDD7AB">
        <w:tblPrEx>
          <w:tblCellMar>
            <w:top w:w="0" w:type="dxa"/>
            <w:left w:w="0" w:type="dxa"/>
            <w:bottom w:w="0" w:type="dxa"/>
            <w:right w:w="0" w:type="dxa"/>
          </w:tblCellMar>
        </w:tblPrEx>
        <w:trPr>
          <w:tblCellSpacing w:w="0" w:type="dxa"/>
        </w:trPr>
        <w:tc>
          <w:tcPr>
            <w:tcW w:w="0" w:type="auto"/>
            <w:vAlign w:val="center"/>
          </w:tcPr>
          <w:p w14:paraId="0469AA19">
            <w:r>
              <w:rPr>
                <w:rStyle w:val="10"/>
                <w:rFonts w:hint="eastAsia"/>
              </w:rPr>
              <w:t>使用技术要求:</w:t>
            </w:r>
            <w:r>
              <w:rPr>
                <w:rFonts w:hint="eastAsia"/>
              </w:rPr>
              <w:br w:type="textWrapping"/>
            </w:r>
            <w:r>
              <w:rPr>
                <w:rStyle w:val="11"/>
                <w:rFonts w:hint="eastAsia"/>
              </w:rPr>
              <w:t>将本品均匀涂于裸露肌肤上(避开眼部周围)，可避免蚊子叮咬。</w:t>
            </w:r>
          </w:p>
        </w:tc>
      </w:tr>
      <w:tr w14:paraId="73D1CD9D">
        <w:tblPrEx>
          <w:tblCellMar>
            <w:top w:w="0" w:type="dxa"/>
            <w:left w:w="0" w:type="dxa"/>
            <w:bottom w:w="0" w:type="dxa"/>
            <w:right w:w="0" w:type="dxa"/>
          </w:tblCellMar>
        </w:tblPrEx>
        <w:trPr>
          <w:tblCellSpacing w:w="0" w:type="dxa"/>
        </w:trPr>
        <w:tc>
          <w:tcPr>
            <w:tcW w:w="0" w:type="auto"/>
            <w:vAlign w:val="center"/>
          </w:tcPr>
          <w:p w14:paraId="0E3C55DD">
            <w:r>
              <w:rPr>
                <w:rStyle w:val="10"/>
                <w:rFonts w:hint="eastAsia"/>
              </w:rPr>
              <w:t>产品性能:</w:t>
            </w:r>
            <w:r>
              <w:rPr>
                <w:rFonts w:hint="eastAsia"/>
              </w:rPr>
              <w:br w:type="textWrapping"/>
            </w:r>
            <w:r>
              <w:rPr>
                <w:rStyle w:val="11"/>
                <w:rFonts w:hint="eastAsia"/>
              </w:rPr>
              <w:t>本品以避蚊胺为有效成分，对蚊子具有驱避效果。是居家、旅行、工作、垂钓户外的常备用品之一。</w:t>
            </w:r>
          </w:p>
        </w:tc>
      </w:tr>
      <w:tr w14:paraId="373EA066">
        <w:tblPrEx>
          <w:tblCellMar>
            <w:top w:w="0" w:type="dxa"/>
            <w:left w:w="0" w:type="dxa"/>
            <w:bottom w:w="0" w:type="dxa"/>
            <w:right w:w="0" w:type="dxa"/>
          </w:tblCellMar>
        </w:tblPrEx>
        <w:trPr>
          <w:tblCellSpacing w:w="0" w:type="dxa"/>
        </w:trPr>
        <w:tc>
          <w:tcPr>
            <w:tcW w:w="0" w:type="auto"/>
            <w:vAlign w:val="center"/>
          </w:tcPr>
          <w:p w14:paraId="5A666593">
            <w:r>
              <w:rPr>
                <w:rStyle w:val="10"/>
                <w:rFonts w:hint="eastAsia"/>
              </w:rPr>
              <w:t>注意事项：</w:t>
            </w:r>
            <w:r>
              <w:rPr>
                <w:rFonts w:hint="eastAsia"/>
              </w:rPr>
              <w:br w:type="textWrapping"/>
            </w:r>
            <w:r>
              <w:rPr>
                <w:rStyle w:val="11"/>
                <w:rFonts w:hint="eastAsia"/>
              </w:rPr>
              <w:t>1.本品应置于儿童接触不到的地方，避免误服。 2.勿用于眼睛及其周围皮肤。 3.使用后应清洗双手。 4.本品禁止食用。 5.婴幼儿、孕妇及哺乳期妇女避免接触。 6.有皮炎及皮肤破损者禁用。过敏者禁用。使用中有任何不良反应请及时就医。 7.蚕室内及其附近禁用。</w:t>
            </w:r>
          </w:p>
        </w:tc>
      </w:tr>
      <w:tr w14:paraId="70D50A15">
        <w:tblPrEx>
          <w:tblCellMar>
            <w:top w:w="0" w:type="dxa"/>
            <w:left w:w="0" w:type="dxa"/>
            <w:bottom w:w="0" w:type="dxa"/>
            <w:right w:w="0" w:type="dxa"/>
          </w:tblCellMar>
        </w:tblPrEx>
        <w:trPr>
          <w:tblCellSpacing w:w="0" w:type="dxa"/>
        </w:trPr>
        <w:tc>
          <w:tcPr>
            <w:tcW w:w="0" w:type="auto"/>
            <w:vAlign w:val="center"/>
          </w:tcPr>
          <w:p w14:paraId="6E4EBF9E">
            <w:r>
              <w:rPr>
                <w:rStyle w:val="10"/>
                <w:rFonts w:hint="eastAsia"/>
              </w:rPr>
              <w:t>中毒急救措施：</w:t>
            </w:r>
            <w:r>
              <w:rPr>
                <w:rFonts w:hint="eastAsia"/>
              </w:rPr>
              <w:br w:type="textWrapping"/>
            </w:r>
            <w:r>
              <w:rPr>
                <w:rStyle w:val="11"/>
                <w:rFonts w:hint="eastAsia"/>
              </w:rPr>
              <w:t>使用本品如不慎接触眼睛，应立即用清水洗净并就医。若有误服，请立即携本品包装至医院诊治。</w:t>
            </w:r>
          </w:p>
        </w:tc>
      </w:tr>
      <w:tr w14:paraId="2D9ECAFC">
        <w:tblPrEx>
          <w:tblCellMar>
            <w:top w:w="0" w:type="dxa"/>
            <w:left w:w="0" w:type="dxa"/>
            <w:bottom w:w="0" w:type="dxa"/>
            <w:right w:w="0" w:type="dxa"/>
          </w:tblCellMar>
        </w:tblPrEx>
        <w:trPr>
          <w:tblCellSpacing w:w="0" w:type="dxa"/>
        </w:trPr>
        <w:tc>
          <w:tcPr>
            <w:tcW w:w="0" w:type="auto"/>
            <w:vAlign w:val="center"/>
          </w:tcPr>
          <w:p w14:paraId="25604992">
            <w:r>
              <w:rPr>
                <w:rStyle w:val="10"/>
                <w:rFonts w:hint="eastAsia"/>
              </w:rPr>
              <w:t>储存和运输方法：</w:t>
            </w:r>
            <w:r>
              <w:rPr>
                <w:rFonts w:hint="eastAsia"/>
              </w:rPr>
              <w:br w:type="textWrapping"/>
            </w:r>
            <w:r>
              <w:rPr>
                <w:rStyle w:val="11"/>
                <w:rFonts w:hint="eastAsia"/>
              </w:rPr>
              <w:t>1.本品应贮存在通风干燥仓库内，并堆放在地板上，不得倒置，远离火源和热源。 2.置于儿童、无关人员触及不到的地方，并加锁保存。勿与食品、饮料、粮食、饲料等其他商品同贮同运。 3.运输时必须轻装轻卸，防日晒雨淋。</w:t>
            </w:r>
          </w:p>
        </w:tc>
      </w:tr>
      <w:tr w14:paraId="782EEDF8">
        <w:tblPrEx>
          <w:tblCellMar>
            <w:top w:w="0" w:type="dxa"/>
            <w:left w:w="0" w:type="dxa"/>
            <w:bottom w:w="0" w:type="dxa"/>
            <w:right w:w="0" w:type="dxa"/>
          </w:tblCellMar>
        </w:tblPrEx>
        <w:trPr>
          <w:tblCellSpacing w:w="0" w:type="dxa"/>
        </w:trPr>
        <w:tc>
          <w:tcPr>
            <w:tcW w:w="0" w:type="auto"/>
            <w:vAlign w:val="center"/>
          </w:tcPr>
          <w:p w14:paraId="1BE5138B">
            <w:r>
              <w:rPr>
                <w:rStyle w:val="10"/>
                <w:rFonts w:hint="eastAsia"/>
              </w:rPr>
              <w:t>质量保证期：</w:t>
            </w:r>
            <w:r>
              <w:rPr>
                <w:rStyle w:val="11"/>
                <w:rFonts w:hint="eastAsia"/>
              </w:rPr>
              <w:t>2年</w:t>
            </w:r>
          </w:p>
        </w:tc>
      </w:tr>
      <w:tr w14:paraId="7B5F4591">
        <w:trPr>
          <w:tblCellSpacing w:w="0" w:type="dxa"/>
        </w:trPr>
        <w:tc>
          <w:tcPr>
            <w:tcW w:w="0" w:type="auto"/>
            <w:vAlign w:val="center"/>
          </w:tcPr>
          <w:p w14:paraId="68FD604A">
            <w:r>
              <w:rPr>
                <w:rStyle w:val="10"/>
                <w:rFonts w:hint="eastAsia"/>
              </w:rPr>
              <w:t>备注：</w:t>
            </w:r>
          </w:p>
        </w:tc>
      </w:tr>
    </w:tbl>
    <w:p w14:paraId="3265FB78">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7EB3D9F">
        <w:tblPrEx>
          <w:tblCellMar>
            <w:top w:w="0" w:type="dxa"/>
            <w:left w:w="0" w:type="dxa"/>
            <w:bottom w:w="0" w:type="dxa"/>
            <w:right w:w="0" w:type="dxa"/>
          </w:tblCellMar>
        </w:tblPrEx>
        <w:trPr>
          <w:tblCellSpacing w:w="0" w:type="dxa"/>
        </w:trPr>
        <w:tc>
          <w:tcPr>
            <w:tcW w:w="0" w:type="auto"/>
            <w:vAlign w:val="center"/>
          </w:tcPr>
          <w:p w14:paraId="6667D168">
            <w:r>
              <w:rPr>
                <w:rStyle w:val="10"/>
                <w:rFonts w:hint="eastAsia"/>
              </w:rPr>
              <w:t>登记证号：</w:t>
            </w:r>
            <w:r>
              <w:rPr>
                <w:rFonts w:hint="eastAsia"/>
              </w:rPr>
              <w:t>PD20101769</w:t>
            </w:r>
          </w:p>
        </w:tc>
      </w:tr>
      <w:tr w14:paraId="765DAF28">
        <w:tblPrEx>
          <w:tblCellMar>
            <w:top w:w="0" w:type="dxa"/>
            <w:left w:w="0" w:type="dxa"/>
            <w:bottom w:w="0" w:type="dxa"/>
            <w:right w:w="0" w:type="dxa"/>
          </w:tblCellMar>
        </w:tblPrEx>
        <w:trPr>
          <w:tblCellSpacing w:w="0" w:type="dxa"/>
        </w:trPr>
        <w:tc>
          <w:tcPr>
            <w:tcW w:w="0" w:type="auto"/>
            <w:vAlign w:val="center"/>
          </w:tcPr>
          <w:p w14:paraId="297FF72B">
            <w:r>
              <w:rPr>
                <w:rStyle w:val="10"/>
                <w:rFonts w:hint="eastAsia"/>
              </w:rPr>
              <w:t>登记证持有人：</w:t>
            </w:r>
            <w:r>
              <w:rPr>
                <w:rFonts w:hint="eastAsia"/>
              </w:rPr>
              <w:t>山东源丰生物科技有限公司</w:t>
            </w:r>
          </w:p>
        </w:tc>
      </w:tr>
      <w:tr w14:paraId="3827C9FA">
        <w:tblPrEx>
          <w:tblCellMar>
            <w:top w:w="0" w:type="dxa"/>
            <w:left w:w="0" w:type="dxa"/>
            <w:bottom w:w="0" w:type="dxa"/>
            <w:right w:w="0" w:type="dxa"/>
          </w:tblCellMar>
        </w:tblPrEx>
        <w:trPr>
          <w:tblCellSpacing w:w="0" w:type="dxa"/>
        </w:trPr>
        <w:tc>
          <w:tcPr>
            <w:tcW w:w="0" w:type="auto"/>
            <w:vAlign w:val="center"/>
          </w:tcPr>
          <w:p w14:paraId="4F625F5E">
            <w:r>
              <w:rPr>
                <w:rStyle w:val="10"/>
                <w:rFonts w:hint="eastAsia"/>
              </w:rPr>
              <w:t>农药名称：</w:t>
            </w:r>
            <w:r>
              <w:rPr>
                <w:rFonts w:hint="eastAsia"/>
              </w:rPr>
              <w:t>甲氨基阿维菌素苯甲酸盐</w:t>
            </w:r>
          </w:p>
        </w:tc>
      </w:tr>
      <w:tr w14:paraId="051EECDD">
        <w:tblPrEx>
          <w:tblCellMar>
            <w:top w:w="0" w:type="dxa"/>
            <w:left w:w="0" w:type="dxa"/>
            <w:bottom w:w="0" w:type="dxa"/>
            <w:right w:w="0" w:type="dxa"/>
          </w:tblCellMar>
        </w:tblPrEx>
        <w:trPr>
          <w:tblCellSpacing w:w="0" w:type="dxa"/>
        </w:trPr>
        <w:tc>
          <w:tcPr>
            <w:tcW w:w="0" w:type="auto"/>
            <w:vAlign w:val="center"/>
          </w:tcPr>
          <w:p w14:paraId="5638E538">
            <w:r>
              <w:rPr>
                <w:rStyle w:val="10"/>
                <w:rFonts w:hint="eastAsia"/>
              </w:rPr>
              <w:t>剂型：</w:t>
            </w:r>
            <w:r>
              <w:rPr>
                <w:rFonts w:hint="eastAsia"/>
              </w:rPr>
              <w:t>微乳剂</w:t>
            </w:r>
          </w:p>
        </w:tc>
      </w:tr>
      <w:tr w14:paraId="3ECC99FB">
        <w:tblPrEx>
          <w:tblCellMar>
            <w:top w:w="0" w:type="dxa"/>
            <w:left w:w="0" w:type="dxa"/>
            <w:bottom w:w="0" w:type="dxa"/>
            <w:right w:w="0" w:type="dxa"/>
          </w:tblCellMar>
        </w:tblPrEx>
        <w:trPr>
          <w:tblCellSpacing w:w="0" w:type="dxa"/>
        </w:trPr>
        <w:tc>
          <w:tcPr>
            <w:tcW w:w="0" w:type="auto"/>
            <w:vAlign w:val="center"/>
          </w:tcPr>
          <w:p w14:paraId="42DD5AD3">
            <w:r>
              <w:rPr>
                <w:rStyle w:val="10"/>
                <w:rFonts w:hint="eastAsia"/>
              </w:rPr>
              <w:t>毒性及其标识：</w:t>
            </w:r>
            <w:r>
              <w:rPr>
                <w:rFonts w:hint="eastAsia"/>
              </w:rPr>
              <w:t xml:space="preserve"> </w:t>
            </w:r>
            <w:r>
              <w:drawing>
                <wp:inline distT="0" distB="0" distL="0" distR="0">
                  <wp:extent cx="474345" cy="323850"/>
                  <wp:effectExtent l="0" t="0" r="1905"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0B9AA100">
        <w:tblPrEx>
          <w:tblCellMar>
            <w:top w:w="0" w:type="dxa"/>
            <w:left w:w="0" w:type="dxa"/>
            <w:bottom w:w="0" w:type="dxa"/>
            <w:right w:w="0" w:type="dxa"/>
          </w:tblCellMar>
        </w:tblPrEx>
        <w:trPr>
          <w:tblCellSpacing w:w="0" w:type="dxa"/>
        </w:trPr>
        <w:tc>
          <w:tcPr>
            <w:tcW w:w="0" w:type="auto"/>
            <w:vAlign w:val="center"/>
          </w:tcPr>
          <w:p w14:paraId="21622610">
            <w:r>
              <w:rPr>
                <w:rStyle w:val="10"/>
                <w:rFonts w:hint="eastAsia"/>
              </w:rPr>
              <w:t>总有效成分含量：</w:t>
            </w:r>
            <w:r>
              <w:rPr>
                <w:rFonts w:hint="eastAsia"/>
              </w:rPr>
              <w:t>2%</w:t>
            </w:r>
          </w:p>
        </w:tc>
      </w:tr>
      <w:tr w14:paraId="084D78B3">
        <w:tblPrEx>
          <w:tblCellMar>
            <w:top w:w="0" w:type="dxa"/>
            <w:left w:w="0" w:type="dxa"/>
            <w:bottom w:w="0" w:type="dxa"/>
            <w:right w:w="0" w:type="dxa"/>
          </w:tblCellMar>
        </w:tblPrEx>
        <w:trPr>
          <w:tblCellSpacing w:w="0" w:type="dxa"/>
        </w:trPr>
        <w:tc>
          <w:tcPr>
            <w:tcW w:w="0" w:type="auto"/>
            <w:vAlign w:val="center"/>
          </w:tcPr>
          <w:p w14:paraId="55504ED2">
            <w:r>
              <w:rPr>
                <w:rFonts w:hint="eastAsia"/>
              </w:rPr>
              <w:t xml:space="preserve">有效成分及其含量： </w:t>
            </w:r>
          </w:p>
          <w:p w14:paraId="780AA094">
            <w:r>
              <w:rPr>
                <w:rFonts w:hint="eastAsia"/>
              </w:rPr>
              <w:t xml:space="preserve">    甲氨基阿维菌素2%    </w:t>
            </w:r>
          </w:p>
        </w:tc>
      </w:tr>
      <w:tr w14:paraId="3A1AD564">
        <w:tblPrEx>
          <w:tblCellMar>
            <w:top w:w="0" w:type="dxa"/>
            <w:left w:w="0" w:type="dxa"/>
            <w:bottom w:w="0" w:type="dxa"/>
            <w:right w:w="0" w:type="dxa"/>
          </w:tblCellMar>
        </w:tblPrEx>
        <w:trPr>
          <w:tblCellSpacing w:w="0" w:type="dxa"/>
        </w:trPr>
        <w:tc>
          <w:tcPr>
            <w:tcW w:w="0" w:type="auto"/>
            <w:vAlign w:val="center"/>
          </w:tcPr>
          <w:p w14:paraId="3FFF0C4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D47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C7A843">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9BE8A18">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84187D">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1811363">
                  <w:r>
                    <w:rPr>
                      <w:rStyle w:val="11"/>
                      <w:rFonts w:hint="eastAsia"/>
                    </w:rPr>
                    <w:t>施用方式</w:t>
                  </w:r>
                </w:p>
              </w:tc>
            </w:tr>
            <w:tr w14:paraId="7796E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E84AF6">
                  <w:r>
                    <w:rPr>
                      <w:rStyle w:val="11"/>
                      <w:rFonts w:hint="eastAsia"/>
                    </w:rPr>
                    <w:t>大葱</w:t>
                  </w:r>
                </w:p>
              </w:tc>
              <w:tc>
                <w:tcPr>
                  <w:tcW w:w="0" w:type="auto"/>
                  <w:tcBorders>
                    <w:top w:val="outset" w:color="auto" w:sz="6" w:space="0"/>
                    <w:left w:val="outset" w:color="auto" w:sz="6" w:space="0"/>
                    <w:bottom w:val="outset" w:color="auto" w:sz="6" w:space="0"/>
                    <w:right w:val="outset" w:color="auto" w:sz="6" w:space="0"/>
                  </w:tcBorders>
                  <w:vAlign w:val="center"/>
                </w:tcPr>
                <w:p w14:paraId="33FA1A87">
                  <w:r>
                    <w:rPr>
                      <w:rStyle w:val="11"/>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20BB8A29">
                  <w:r>
                    <w:rPr>
                      <w:rStyle w:val="11"/>
                      <w:rFonts w:hint="eastAsia"/>
                    </w:rPr>
                    <w:t>5-7.5毫升/亩</w:t>
                  </w:r>
                </w:p>
              </w:tc>
              <w:tc>
                <w:tcPr>
                  <w:tcW w:w="0" w:type="auto"/>
                  <w:tcBorders>
                    <w:top w:val="outset" w:color="auto" w:sz="6" w:space="0"/>
                    <w:left w:val="outset" w:color="auto" w:sz="6" w:space="0"/>
                    <w:bottom w:val="outset" w:color="auto" w:sz="6" w:space="0"/>
                    <w:right w:val="outset" w:color="auto" w:sz="6" w:space="0"/>
                  </w:tcBorders>
                  <w:vAlign w:val="center"/>
                </w:tcPr>
                <w:p w14:paraId="15CD6315">
                  <w:r>
                    <w:rPr>
                      <w:rStyle w:val="11"/>
                      <w:rFonts w:hint="eastAsia"/>
                    </w:rPr>
                    <w:t>喷雾</w:t>
                  </w:r>
                </w:p>
              </w:tc>
            </w:tr>
            <w:tr w14:paraId="47510D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A2D3D0">
                  <w:r>
                    <w:rPr>
                      <w:rStyle w:val="11"/>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1CEDFDA1">
                  <w:r>
                    <w:rPr>
                      <w:rStyle w:val="11"/>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14B9679C">
                  <w:r>
                    <w:rPr>
                      <w:rStyle w:val="11"/>
                      <w:rFonts w:hint="eastAsia"/>
                    </w:rPr>
                    <w:t>7-11毫升/亩</w:t>
                  </w:r>
                </w:p>
              </w:tc>
              <w:tc>
                <w:tcPr>
                  <w:tcW w:w="0" w:type="auto"/>
                  <w:tcBorders>
                    <w:top w:val="outset" w:color="auto" w:sz="6" w:space="0"/>
                    <w:left w:val="outset" w:color="auto" w:sz="6" w:space="0"/>
                    <w:bottom w:val="outset" w:color="auto" w:sz="6" w:space="0"/>
                    <w:right w:val="outset" w:color="auto" w:sz="6" w:space="0"/>
                  </w:tcBorders>
                  <w:vAlign w:val="center"/>
                </w:tcPr>
                <w:p w14:paraId="20D8AB5C">
                  <w:r>
                    <w:rPr>
                      <w:rStyle w:val="11"/>
                      <w:rFonts w:hint="eastAsia"/>
                    </w:rPr>
                    <w:t>喷雾</w:t>
                  </w:r>
                </w:p>
              </w:tc>
            </w:tr>
            <w:tr w14:paraId="28F074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93A792">
                  <w:r>
                    <w:rPr>
                      <w:rStyle w:val="11"/>
                      <w:rFonts w:hint="eastAsia"/>
                    </w:rPr>
                    <w:t>韭菜</w:t>
                  </w:r>
                </w:p>
              </w:tc>
              <w:tc>
                <w:tcPr>
                  <w:tcW w:w="0" w:type="auto"/>
                  <w:tcBorders>
                    <w:top w:val="outset" w:color="auto" w:sz="6" w:space="0"/>
                    <w:left w:val="outset" w:color="auto" w:sz="6" w:space="0"/>
                    <w:bottom w:val="outset" w:color="auto" w:sz="6" w:space="0"/>
                    <w:right w:val="outset" w:color="auto" w:sz="6" w:space="0"/>
                  </w:tcBorders>
                  <w:vAlign w:val="center"/>
                </w:tcPr>
                <w:p w14:paraId="1E8DD224">
                  <w:r>
                    <w:rPr>
                      <w:rStyle w:val="11"/>
                      <w:rFonts w:hint="eastAsia"/>
                    </w:rPr>
                    <w:t>葱须鳞蛾</w:t>
                  </w:r>
                </w:p>
              </w:tc>
              <w:tc>
                <w:tcPr>
                  <w:tcW w:w="0" w:type="auto"/>
                  <w:tcBorders>
                    <w:top w:val="outset" w:color="auto" w:sz="6" w:space="0"/>
                    <w:left w:val="outset" w:color="auto" w:sz="6" w:space="0"/>
                    <w:bottom w:val="outset" w:color="auto" w:sz="6" w:space="0"/>
                    <w:right w:val="outset" w:color="auto" w:sz="6" w:space="0"/>
                  </w:tcBorders>
                  <w:vAlign w:val="center"/>
                </w:tcPr>
                <w:p w14:paraId="327B05A5">
                  <w:r>
                    <w:rPr>
                      <w:rStyle w:val="11"/>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11A153BE">
                  <w:r>
                    <w:rPr>
                      <w:rStyle w:val="11"/>
                      <w:rFonts w:hint="eastAsia"/>
                    </w:rPr>
                    <w:t>喷雾</w:t>
                  </w:r>
                </w:p>
              </w:tc>
            </w:tr>
            <w:tr w14:paraId="4DD9F9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17A4A9">
                  <w:r>
                    <w:rPr>
                      <w:rStyle w:val="11"/>
                      <w:rFonts w:hint="eastAsia"/>
                    </w:rPr>
                    <w:t>芦笋</w:t>
                  </w:r>
                </w:p>
              </w:tc>
              <w:tc>
                <w:tcPr>
                  <w:tcW w:w="0" w:type="auto"/>
                  <w:tcBorders>
                    <w:top w:val="outset" w:color="auto" w:sz="6" w:space="0"/>
                    <w:left w:val="outset" w:color="auto" w:sz="6" w:space="0"/>
                    <w:bottom w:val="outset" w:color="auto" w:sz="6" w:space="0"/>
                    <w:right w:val="outset" w:color="auto" w:sz="6" w:space="0"/>
                  </w:tcBorders>
                  <w:vAlign w:val="center"/>
                </w:tcPr>
                <w:p w14:paraId="47A14268">
                  <w:r>
                    <w:rPr>
                      <w:rStyle w:val="11"/>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73437489">
                  <w:r>
                    <w:rPr>
                      <w:rStyle w:val="11"/>
                      <w:rFonts w:hint="eastAsia"/>
                    </w:rPr>
                    <w:t>7.5-10毫升/亩</w:t>
                  </w:r>
                </w:p>
              </w:tc>
              <w:tc>
                <w:tcPr>
                  <w:tcW w:w="0" w:type="auto"/>
                  <w:tcBorders>
                    <w:top w:val="outset" w:color="auto" w:sz="6" w:space="0"/>
                    <w:left w:val="outset" w:color="auto" w:sz="6" w:space="0"/>
                    <w:bottom w:val="outset" w:color="auto" w:sz="6" w:space="0"/>
                    <w:right w:val="outset" w:color="auto" w:sz="6" w:space="0"/>
                  </w:tcBorders>
                  <w:vAlign w:val="center"/>
                </w:tcPr>
                <w:p w14:paraId="23A3AC76">
                  <w:r>
                    <w:rPr>
                      <w:rStyle w:val="11"/>
                      <w:rFonts w:hint="eastAsia"/>
                    </w:rPr>
                    <w:t>喷雾</w:t>
                  </w:r>
                </w:p>
              </w:tc>
            </w:tr>
            <w:tr w14:paraId="673CC7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1836AE">
                  <w:r>
                    <w:rPr>
                      <w:rStyle w:val="11"/>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5F3E4DB3">
                  <w:r>
                    <w:rPr>
                      <w:rStyle w:val="11"/>
                      <w:rFonts w:hint="eastAsia"/>
                    </w:rPr>
                    <w:t>豆荚螟</w:t>
                  </w:r>
                </w:p>
              </w:tc>
              <w:tc>
                <w:tcPr>
                  <w:tcW w:w="0" w:type="auto"/>
                  <w:tcBorders>
                    <w:top w:val="outset" w:color="auto" w:sz="6" w:space="0"/>
                    <w:left w:val="outset" w:color="auto" w:sz="6" w:space="0"/>
                    <w:bottom w:val="outset" w:color="auto" w:sz="6" w:space="0"/>
                    <w:right w:val="outset" w:color="auto" w:sz="6" w:space="0"/>
                  </w:tcBorders>
                  <w:vAlign w:val="center"/>
                </w:tcPr>
                <w:p w14:paraId="4063039C">
                  <w:r>
                    <w:rPr>
                      <w:rStyle w:val="11"/>
                      <w:rFonts w:hint="eastAsia"/>
                    </w:rPr>
                    <w:t>9-12毫升/亩</w:t>
                  </w:r>
                </w:p>
              </w:tc>
              <w:tc>
                <w:tcPr>
                  <w:tcW w:w="0" w:type="auto"/>
                  <w:tcBorders>
                    <w:top w:val="outset" w:color="auto" w:sz="6" w:space="0"/>
                    <w:left w:val="outset" w:color="auto" w:sz="6" w:space="0"/>
                    <w:bottom w:val="outset" w:color="auto" w:sz="6" w:space="0"/>
                    <w:right w:val="outset" w:color="auto" w:sz="6" w:space="0"/>
                  </w:tcBorders>
                  <w:vAlign w:val="center"/>
                </w:tcPr>
                <w:p w14:paraId="36D3BF73">
                  <w:r>
                    <w:rPr>
                      <w:rStyle w:val="11"/>
                      <w:rFonts w:hint="eastAsia"/>
                    </w:rPr>
                    <w:t>喷雾</w:t>
                  </w:r>
                </w:p>
              </w:tc>
            </w:tr>
            <w:tr w14:paraId="20D90B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C753A1">
                  <w:r>
                    <w:rPr>
                      <w:rStyle w:val="11"/>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2F2EDE58">
                  <w:r>
                    <w:rPr>
                      <w:rStyle w:val="11"/>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786B59F0">
                  <w:r>
                    <w:rPr>
                      <w:rStyle w:val="11"/>
                      <w:rFonts w:hint="eastAsia"/>
                    </w:rPr>
                    <w:t>9-12毫升/亩</w:t>
                  </w:r>
                </w:p>
              </w:tc>
              <w:tc>
                <w:tcPr>
                  <w:tcW w:w="0" w:type="auto"/>
                  <w:tcBorders>
                    <w:top w:val="outset" w:color="auto" w:sz="6" w:space="0"/>
                    <w:left w:val="outset" w:color="auto" w:sz="6" w:space="0"/>
                    <w:bottom w:val="outset" w:color="auto" w:sz="6" w:space="0"/>
                    <w:right w:val="outset" w:color="auto" w:sz="6" w:space="0"/>
                  </w:tcBorders>
                  <w:vAlign w:val="center"/>
                </w:tcPr>
                <w:p w14:paraId="5BBDCEFC">
                  <w:r>
                    <w:rPr>
                      <w:rStyle w:val="11"/>
                      <w:rFonts w:hint="eastAsia"/>
                    </w:rPr>
                    <w:t>喷雾</w:t>
                  </w:r>
                </w:p>
              </w:tc>
            </w:tr>
          </w:tbl>
          <w:p w14:paraId="720B5DFE">
            <w:pPr>
              <w:rPr>
                <w:rFonts w:ascii="Times New Roman" w:hAnsi="Times New Roman" w:cs="Times New Roman"/>
                <w:sz w:val="20"/>
                <w:szCs w:val="20"/>
              </w:rPr>
            </w:pPr>
          </w:p>
        </w:tc>
      </w:tr>
      <w:tr w14:paraId="570386BE">
        <w:tblPrEx>
          <w:tblCellMar>
            <w:top w:w="0" w:type="dxa"/>
            <w:left w:w="0" w:type="dxa"/>
            <w:bottom w:w="0" w:type="dxa"/>
            <w:right w:w="0" w:type="dxa"/>
          </w:tblCellMar>
        </w:tblPrEx>
        <w:trPr>
          <w:tblCellSpacing w:w="0" w:type="dxa"/>
        </w:trPr>
        <w:tc>
          <w:tcPr>
            <w:tcW w:w="0" w:type="auto"/>
            <w:vAlign w:val="center"/>
          </w:tcPr>
          <w:p w14:paraId="0EAAE458">
            <w:r>
              <w:rPr>
                <w:rStyle w:val="10"/>
                <w:rFonts w:hint="eastAsia"/>
              </w:rPr>
              <w:t>使用技术要求:</w:t>
            </w:r>
            <w:r>
              <w:rPr>
                <w:rFonts w:hint="eastAsia"/>
              </w:rPr>
              <w:br w:type="textWrapping"/>
            </w:r>
            <w:r>
              <w:rPr>
                <w:rStyle w:val="11"/>
                <w:rFonts w:hint="eastAsia"/>
              </w:rPr>
              <w:t>1、于甘蓝小菜蛾；豇豆豆荚螟、蓟马；韭菜葱须鳞蛾；大葱甜菜夜蛾卵孵盛期和低龄幼虫期防治效果最佳。 2、最好采用二次稀释法，喷雾要均匀细致，下午五点后施药最佳。 3、大风天或预计1小时内降雨，请勿施药。 4、本品甘蓝上的安全间隔期：3天，每季最多使用2次。在豇豆上的安全间隔期：7天，每季最多使用1次。在韭菜、大葱上的安全间隔期：14天，每季最多使用1次。</w:t>
            </w:r>
          </w:p>
        </w:tc>
      </w:tr>
      <w:tr w14:paraId="4B5DC58A">
        <w:tblPrEx>
          <w:tblCellMar>
            <w:top w:w="0" w:type="dxa"/>
            <w:left w:w="0" w:type="dxa"/>
            <w:bottom w:w="0" w:type="dxa"/>
            <w:right w:w="0" w:type="dxa"/>
          </w:tblCellMar>
        </w:tblPrEx>
        <w:trPr>
          <w:tblCellSpacing w:w="0" w:type="dxa"/>
        </w:trPr>
        <w:tc>
          <w:tcPr>
            <w:tcW w:w="0" w:type="auto"/>
            <w:vAlign w:val="center"/>
          </w:tcPr>
          <w:p w14:paraId="1590F099">
            <w:r>
              <w:rPr>
                <w:rStyle w:val="10"/>
                <w:rFonts w:hint="eastAsia"/>
              </w:rPr>
              <w:t>产品性能:</w:t>
            </w:r>
            <w:r>
              <w:rPr>
                <w:rFonts w:hint="eastAsia"/>
              </w:rPr>
              <w:br w:type="textWrapping"/>
            </w:r>
            <w:r>
              <w:rPr>
                <w:rStyle w:val="11"/>
                <w:rFonts w:hint="eastAsia"/>
              </w:rPr>
              <w:t>本品作用机理为阻碍害虫运动神经信息传递，而使害虫身体麻痹死亡。作用方式以胃毒为主，并有触杀作用，无内吸性能按推荐剂量使用，对甘蓝小菜蛾，豇豆豆荚螟、蓟马，韭菜葱须鳞蛾，大葱甜菜夜蛾有较好的防治效果。</w:t>
            </w:r>
          </w:p>
        </w:tc>
      </w:tr>
      <w:tr w14:paraId="6E09D50C">
        <w:tblPrEx>
          <w:tblCellMar>
            <w:top w:w="0" w:type="dxa"/>
            <w:left w:w="0" w:type="dxa"/>
            <w:bottom w:w="0" w:type="dxa"/>
            <w:right w:w="0" w:type="dxa"/>
          </w:tblCellMar>
        </w:tblPrEx>
        <w:trPr>
          <w:tblCellSpacing w:w="0" w:type="dxa"/>
        </w:trPr>
        <w:tc>
          <w:tcPr>
            <w:tcW w:w="0" w:type="auto"/>
            <w:vAlign w:val="center"/>
          </w:tcPr>
          <w:p w14:paraId="18172E9C">
            <w:r>
              <w:rPr>
                <w:rStyle w:val="10"/>
                <w:rFonts w:hint="eastAsia"/>
              </w:rPr>
              <w:t>注意事项：</w:t>
            </w:r>
            <w:r>
              <w:rPr>
                <w:rFonts w:hint="eastAsia"/>
              </w:rPr>
              <w:br w:type="textWrapping"/>
            </w:r>
            <w:r>
              <w:rPr>
                <w:rStyle w:val="11"/>
                <w:rFonts w:hint="eastAsia"/>
              </w:rPr>
              <w:t>1、使用本品时应穿戴防护服和手套，避免吸入药液。施药期间不可吃东西和饮水。施药后应及时洗手和洗脸。 2、本品对蜜蜂、鱼类等水生生物、家蚕有毒，施药期间应避免对周围蜂群的影响，开花植物花期、蚕室和桑园附近禁用。远离水产养殖区施药，禁止在河塘等水体中清洗施药器具。 3、孕妇和哺乳期妇女禁止接触本品。 4、建议与其它不同作用机制的杀虫剂轮换使用。 5、用过的容器应妥善处理，不可做他用，也不可随意丢弃。</w:t>
            </w:r>
          </w:p>
        </w:tc>
      </w:tr>
      <w:tr w14:paraId="1E92894B">
        <w:tblPrEx>
          <w:tblCellMar>
            <w:top w:w="0" w:type="dxa"/>
            <w:left w:w="0" w:type="dxa"/>
            <w:bottom w:w="0" w:type="dxa"/>
            <w:right w:w="0" w:type="dxa"/>
          </w:tblCellMar>
        </w:tblPrEx>
        <w:trPr>
          <w:tblCellSpacing w:w="0" w:type="dxa"/>
        </w:trPr>
        <w:tc>
          <w:tcPr>
            <w:tcW w:w="0" w:type="auto"/>
            <w:vAlign w:val="center"/>
          </w:tcPr>
          <w:p w14:paraId="6AF7AEA4">
            <w:r>
              <w:rPr>
                <w:rStyle w:val="10"/>
                <w:rFonts w:hint="eastAsia"/>
              </w:rPr>
              <w:t>中毒急救措施：</w:t>
            </w:r>
            <w:r>
              <w:rPr>
                <w:rFonts w:hint="eastAsia"/>
              </w:rPr>
              <w:br w:type="textWrapping"/>
            </w:r>
            <w:r>
              <w:rPr>
                <w:rStyle w:val="11"/>
                <w:rFonts w:hint="eastAsia"/>
              </w:rPr>
              <w:t>中毒早期症状为瞳孔放大，行动失调，肌肉颤抖，严重时导致呕吐。 不慎接触皮肤或溅入眼睛，应用大量清水冲洗至少15分钟。误服则应立即携此标签将病人送医院诊治，立即引吐并服用吐根糖浆或麻黄素，但勿给昏迷患者催吐或灌任何东西。抢救时避免给患者使用增强γ－氨基丁酸活性的药物（如巴比妥、丙戊酸等）。对症治疗。</w:t>
            </w:r>
          </w:p>
        </w:tc>
      </w:tr>
      <w:tr w14:paraId="1A4514B0">
        <w:tblPrEx>
          <w:tblCellMar>
            <w:top w:w="0" w:type="dxa"/>
            <w:left w:w="0" w:type="dxa"/>
            <w:bottom w:w="0" w:type="dxa"/>
            <w:right w:w="0" w:type="dxa"/>
          </w:tblCellMar>
        </w:tblPrEx>
        <w:trPr>
          <w:tblCellSpacing w:w="0" w:type="dxa"/>
        </w:trPr>
        <w:tc>
          <w:tcPr>
            <w:tcW w:w="0" w:type="auto"/>
            <w:vAlign w:val="center"/>
          </w:tcPr>
          <w:p w14:paraId="7B9C9A05">
            <w:r>
              <w:rPr>
                <w:rStyle w:val="10"/>
                <w:rFonts w:hint="eastAsia"/>
              </w:rPr>
              <w:t>储存和运输方法：</w:t>
            </w:r>
            <w:r>
              <w:rPr>
                <w:rFonts w:hint="eastAsia"/>
              </w:rPr>
              <w:br w:type="textWrapping"/>
            </w:r>
            <w:r>
              <w:rPr>
                <w:rStyle w:val="11"/>
                <w:rFonts w:hint="eastAsia"/>
              </w:rPr>
              <w:t>本品应贮存在干燥、阴凉、通风、防雨处，远离火源或热源。 置于儿童不到之处，并加锁。 勿与食品、饲料、饮料、粮食等同贮同运。</w:t>
            </w:r>
          </w:p>
        </w:tc>
      </w:tr>
      <w:tr w14:paraId="1FCCA810">
        <w:tblPrEx>
          <w:tblCellMar>
            <w:top w:w="0" w:type="dxa"/>
            <w:left w:w="0" w:type="dxa"/>
            <w:bottom w:w="0" w:type="dxa"/>
            <w:right w:w="0" w:type="dxa"/>
          </w:tblCellMar>
        </w:tblPrEx>
        <w:trPr>
          <w:tblCellSpacing w:w="0" w:type="dxa"/>
        </w:trPr>
        <w:tc>
          <w:tcPr>
            <w:tcW w:w="0" w:type="auto"/>
            <w:vAlign w:val="center"/>
          </w:tcPr>
          <w:p w14:paraId="06D71375">
            <w:r>
              <w:rPr>
                <w:rStyle w:val="10"/>
                <w:rFonts w:hint="eastAsia"/>
              </w:rPr>
              <w:t>质量保证期：</w:t>
            </w:r>
            <w:r>
              <w:rPr>
                <w:rStyle w:val="11"/>
                <w:rFonts w:hint="eastAsia"/>
              </w:rPr>
              <w:t>2年</w:t>
            </w:r>
          </w:p>
        </w:tc>
      </w:tr>
      <w:tr w14:paraId="4A6D536D">
        <w:tblPrEx>
          <w:tblCellMar>
            <w:top w:w="0" w:type="dxa"/>
            <w:left w:w="0" w:type="dxa"/>
            <w:bottom w:w="0" w:type="dxa"/>
            <w:right w:w="0" w:type="dxa"/>
          </w:tblCellMar>
        </w:tblPrEx>
        <w:trPr>
          <w:tblCellSpacing w:w="0" w:type="dxa"/>
        </w:trPr>
        <w:tc>
          <w:tcPr>
            <w:tcW w:w="0" w:type="auto"/>
            <w:vAlign w:val="center"/>
          </w:tcPr>
          <w:p w14:paraId="00DD0AD6">
            <w:r>
              <w:rPr>
                <w:rStyle w:val="10"/>
                <w:rFonts w:hint="eastAsia"/>
              </w:rPr>
              <w:t>备注：</w:t>
            </w:r>
          </w:p>
        </w:tc>
      </w:tr>
    </w:tbl>
    <w:p w14:paraId="5DC52BC9">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8FA99D1">
        <w:trPr>
          <w:tblCellSpacing w:w="0" w:type="dxa"/>
        </w:trPr>
        <w:tc>
          <w:tcPr>
            <w:tcW w:w="0" w:type="auto"/>
            <w:vAlign w:val="center"/>
          </w:tcPr>
          <w:p w14:paraId="0956E24E">
            <w:r>
              <w:rPr>
                <w:rStyle w:val="10"/>
                <w:rFonts w:hint="eastAsia"/>
              </w:rPr>
              <w:t>登记证号：</w:t>
            </w:r>
            <w:r>
              <w:rPr>
                <w:rFonts w:hint="eastAsia"/>
              </w:rPr>
              <w:t>WP20210129</w:t>
            </w:r>
          </w:p>
        </w:tc>
      </w:tr>
      <w:tr w14:paraId="23092CE5">
        <w:tblPrEx>
          <w:tblCellMar>
            <w:top w:w="0" w:type="dxa"/>
            <w:left w:w="0" w:type="dxa"/>
            <w:bottom w:w="0" w:type="dxa"/>
            <w:right w:w="0" w:type="dxa"/>
          </w:tblCellMar>
        </w:tblPrEx>
        <w:trPr>
          <w:tblCellSpacing w:w="0" w:type="dxa"/>
        </w:trPr>
        <w:tc>
          <w:tcPr>
            <w:tcW w:w="0" w:type="auto"/>
            <w:vAlign w:val="center"/>
          </w:tcPr>
          <w:p w14:paraId="084632B3">
            <w:r>
              <w:rPr>
                <w:rStyle w:val="10"/>
                <w:rFonts w:hint="eastAsia"/>
              </w:rPr>
              <w:t>登记证持有人：</w:t>
            </w:r>
            <w:r>
              <w:rPr>
                <w:rFonts w:hint="eastAsia"/>
              </w:rPr>
              <w:t>厦门市胜伟达工贸有限公司</w:t>
            </w:r>
          </w:p>
        </w:tc>
      </w:tr>
      <w:tr w14:paraId="3F669A97">
        <w:tblPrEx>
          <w:tblCellMar>
            <w:top w:w="0" w:type="dxa"/>
            <w:left w:w="0" w:type="dxa"/>
            <w:bottom w:w="0" w:type="dxa"/>
            <w:right w:w="0" w:type="dxa"/>
          </w:tblCellMar>
        </w:tblPrEx>
        <w:trPr>
          <w:tblCellSpacing w:w="0" w:type="dxa"/>
        </w:trPr>
        <w:tc>
          <w:tcPr>
            <w:tcW w:w="0" w:type="auto"/>
            <w:vAlign w:val="center"/>
          </w:tcPr>
          <w:p w14:paraId="274224AF">
            <w:r>
              <w:rPr>
                <w:rStyle w:val="10"/>
                <w:rFonts w:hint="eastAsia"/>
              </w:rPr>
              <w:t>农药名称：</w:t>
            </w:r>
            <w:r>
              <w:rPr>
                <w:rFonts w:hint="eastAsia"/>
              </w:rPr>
              <w:t>驱蚊液</w:t>
            </w:r>
          </w:p>
        </w:tc>
      </w:tr>
      <w:tr w14:paraId="19F9AC02">
        <w:tblPrEx>
          <w:tblCellMar>
            <w:top w:w="0" w:type="dxa"/>
            <w:left w:w="0" w:type="dxa"/>
            <w:bottom w:w="0" w:type="dxa"/>
            <w:right w:w="0" w:type="dxa"/>
          </w:tblCellMar>
        </w:tblPrEx>
        <w:trPr>
          <w:tblCellSpacing w:w="0" w:type="dxa"/>
        </w:trPr>
        <w:tc>
          <w:tcPr>
            <w:tcW w:w="0" w:type="auto"/>
            <w:vAlign w:val="center"/>
          </w:tcPr>
          <w:p w14:paraId="28CB5193">
            <w:r>
              <w:rPr>
                <w:rStyle w:val="10"/>
                <w:rFonts w:hint="eastAsia"/>
              </w:rPr>
              <w:t>剂型：</w:t>
            </w:r>
            <w:r>
              <w:rPr>
                <w:rFonts w:hint="eastAsia"/>
              </w:rPr>
              <w:t>驱蚊液</w:t>
            </w:r>
          </w:p>
        </w:tc>
      </w:tr>
      <w:tr w14:paraId="4EE928FA">
        <w:trPr>
          <w:tblCellSpacing w:w="0" w:type="dxa"/>
        </w:trPr>
        <w:tc>
          <w:tcPr>
            <w:tcW w:w="0" w:type="auto"/>
            <w:vAlign w:val="center"/>
          </w:tcPr>
          <w:p w14:paraId="714B6635">
            <w:r>
              <w:rPr>
                <w:rStyle w:val="10"/>
                <w:rFonts w:hint="eastAsia"/>
              </w:rPr>
              <w:t>毒性及其标识：</w:t>
            </w:r>
            <w:r>
              <w:rPr>
                <w:rFonts w:hint="eastAsia"/>
              </w:rPr>
              <w:t xml:space="preserve"> 微毒 </w:t>
            </w:r>
          </w:p>
        </w:tc>
      </w:tr>
      <w:tr w14:paraId="1125BB81">
        <w:tblPrEx>
          <w:tblCellMar>
            <w:top w:w="0" w:type="dxa"/>
            <w:left w:w="0" w:type="dxa"/>
            <w:bottom w:w="0" w:type="dxa"/>
            <w:right w:w="0" w:type="dxa"/>
          </w:tblCellMar>
        </w:tblPrEx>
        <w:trPr>
          <w:tblCellSpacing w:w="0" w:type="dxa"/>
        </w:trPr>
        <w:tc>
          <w:tcPr>
            <w:tcW w:w="0" w:type="auto"/>
            <w:vAlign w:val="center"/>
          </w:tcPr>
          <w:p w14:paraId="21EF27B1">
            <w:r>
              <w:rPr>
                <w:rStyle w:val="10"/>
                <w:rFonts w:hint="eastAsia"/>
              </w:rPr>
              <w:t>总有效成分含量：</w:t>
            </w:r>
            <w:r>
              <w:rPr>
                <w:rFonts w:hint="eastAsia"/>
              </w:rPr>
              <w:t>10%</w:t>
            </w:r>
          </w:p>
        </w:tc>
      </w:tr>
      <w:tr w14:paraId="08AFCBB9">
        <w:tblPrEx>
          <w:tblCellMar>
            <w:top w:w="0" w:type="dxa"/>
            <w:left w:w="0" w:type="dxa"/>
            <w:bottom w:w="0" w:type="dxa"/>
            <w:right w:w="0" w:type="dxa"/>
          </w:tblCellMar>
        </w:tblPrEx>
        <w:trPr>
          <w:tblCellSpacing w:w="0" w:type="dxa"/>
        </w:trPr>
        <w:tc>
          <w:tcPr>
            <w:tcW w:w="0" w:type="auto"/>
            <w:vAlign w:val="center"/>
          </w:tcPr>
          <w:p w14:paraId="00F013A4">
            <w:r>
              <w:rPr>
                <w:rFonts w:hint="eastAsia"/>
              </w:rPr>
              <w:t xml:space="preserve">有效成分及其含量： </w:t>
            </w:r>
          </w:p>
          <w:p w14:paraId="479BCB47">
            <w:r>
              <w:rPr>
                <w:rFonts w:hint="eastAsia"/>
              </w:rPr>
              <w:t xml:space="preserve">    驱蚊酯10%    </w:t>
            </w:r>
          </w:p>
        </w:tc>
      </w:tr>
      <w:tr w14:paraId="601C18B9">
        <w:tblPrEx>
          <w:tblCellMar>
            <w:top w:w="0" w:type="dxa"/>
            <w:left w:w="0" w:type="dxa"/>
            <w:bottom w:w="0" w:type="dxa"/>
            <w:right w:w="0" w:type="dxa"/>
          </w:tblCellMar>
        </w:tblPrEx>
        <w:trPr>
          <w:tblCellSpacing w:w="0" w:type="dxa"/>
        </w:trPr>
        <w:tc>
          <w:tcPr>
            <w:tcW w:w="0" w:type="auto"/>
            <w:vAlign w:val="center"/>
          </w:tcPr>
          <w:p w14:paraId="380DEE2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73C4E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852DA1">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BBF937">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5B92954">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237D04">
                  <w:r>
                    <w:rPr>
                      <w:rStyle w:val="11"/>
                      <w:rFonts w:hint="eastAsia"/>
                    </w:rPr>
                    <w:t>施用方式</w:t>
                  </w:r>
                </w:p>
              </w:tc>
            </w:tr>
            <w:tr w14:paraId="1F0971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A4F33E">
                  <w:r>
                    <w:rPr>
                      <w:rStyle w:val="11"/>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548D1A08">
                  <w:r>
                    <w:rPr>
                      <w:rStyle w:val="11"/>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13C0D01D">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440C8ABF">
                  <w:r>
                    <w:rPr>
                      <w:rStyle w:val="11"/>
                      <w:rFonts w:hint="eastAsia"/>
                    </w:rPr>
                    <w:t>涂抹</w:t>
                  </w:r>
                </w:p>
              </w:tc>
            </w:tr>
          </w:tbl>
          <w:p w14:paraId="63C62DF2">
            <w:pPr>
              <w:rPr>
                <w:rFonts w:ascii="Times New Roman" w:hAnsi="Times New Roman" w:cs="Times New Roman"/>
                <w:sz w:val="20"/>
                <w:szCs w:val="20"/>
              </w:rPr>
            </w:pPr>
          </w:p>
        </w:tc>
      </w:tr>
      <w:tr w14:paraId="2E00814D">
        <w:tblPrEx>
          <w:tblCellMar>
            <w:top w:w="0" w:type="dxa"/>
            <w:left w:w="0" w:type="dxa"/>
            <w:bottom w:w="0" w:type="dxa"/>
            <w:right w:w="0" w:type="dxa"/>
          </w:tblCellMar>
        </w:tblPrEx>
        <w:trPr>
          <w:tblCellSpacing w:w="0" w:type="dxa"/>
        </w:trPr>
        <w:tc>
          <w:tcPr>
            <w:tcW w:w="0" w:type="auto"/>
            <w:vAlign w:val="center"/>
          </w:tcPr>
          <w:p w14:paraId="11F82EA2">
            <w:r>
              <w:rPr>
                <w:rStyle w:val="10"/>
                <w:rFonts w:hint="eastAsia"/>
              </w:rPr>
              <w:t>使用技术要求:</w:t>
            </w:r>
            <w:r>
              <w:rPr>
                <w:rFonts w:hint="eastAsia"/>
              </w:rPr>
              <w:br w:type="textWrapping"/>
            </w:r>
            <w:r>
              <w:rPr>
                <w:rStyle w:val="11"/>
                <w:rFonts w:hint="eastAsia"/>
              </w:rPr>
              <w:t>直接涂抹或喷洒于裸露部位，用手涂抹均匀。建议5—6小时涂抹一次，防蚊效果更佳。</w:t>
            </w:r>
          </w:p>
        </w:tc>
      </w:tr>
      <w:tr w14:paraId="76CD4648">
        <w:tblPrEx>
          <w:tblCellMar>
            <w:top w:w="0" w:type="dxa"/>
            <w:left w:w="0" w:type="dxa"/>
            <w:bottom w:w="0" w:type="dxa"/>
            <w:right w:w="0" w:type="dxa"/>
          </w:tblCellMar>
        </w:tblPrEx>
        <w:trPr>
          <w:tblCellSpacing w:w="0" w:type="dxa"/>
        </w:trPr>
        <w:tc>
          <w:tcPr>
            <w:tcW w:w="0" w:type="auto"/>
            <w:vAlign w:val="center"/>
          </w:tcPr>
          <w:p w14:paraId="46137FF6">
            <w:r>
              <w:rPr>
                <w:rStyle w:val="10"/>
                <w:rFonts w:hint="eastAsia"/>
              </w:rPr>
              <w:t>产品性能:</w:t>
            </w:r>
            <w:r>
              <w:rPr>
                <w:rFonts w:hint="eastAsia"/>
              </w:rPr>
              <w:br w:type="textWrapping"/>
            </w:r>
            <w:r>
              <w:rPr>
                <w:rStyle w:val="11"/>
                <w:rFonts w:hint="eastAsia"/>
              </w:rPr>
              <w:t>本品以驱蚊酯为有效成份，对蚊具有良好的驱避效果，6小时安心驱蚊，是居家、旅游、户外防护之佳品。</w:t>
            </w:r>
          </w:p>
        </w:tc>
      </w:tr>
      <w:tr w14:paraId="3E4C8E25">
        <w:tblPrEx>
          <w:tblCellMar>
            <w:top w:w="0" w:type="dxa"/>
            <w:left w:w="0" w:type="dxa"/>
            <w:bottom w:w="0" w:type="dxa"/>
            <w:right w:w="0" w:type="dxa"/>
          </w:tblCellMar>
        </w:tblPrEx>
        <w:trPr>
          <w:tblCellSpacing w:w="0" w:type="dxa"/>
        </w:trPr>
        <w:tc>
          <w:tcPr>
            <w:tcW w:w="0" w:type="auto"/>
            <w:vAlign w:val="center"/>
          </w:tcPr>
          <w:p w14:paraId="1EC8A126">
            <w:r>
              <w:rPr>
                <w:rStyle w:val="10"/>
                <w:rFonts w:hint="eastAsia"/>
              </w:rPr>
              <w:t>注意事项：</w:t>
            </w:r>
            <w:r>
              <w:rPr>
                <w:rFonts w:hint="eastAsia"/>
              </w:rPr>
              <w:br w:type="textWrapping"/>
            </w:r>
            <w:r>
              <w:rPr>
                <w:rStyle w:val="11"/>
                <w:rFonts w:hint="eastAsia"/>
              </w:rPr>
              <w:t>1.勿用于口、眼睛及其周围皮肤； 2.有皮炎及皮肤破损者禁用； 3.用后洗手；4.本品忌食。5.过敏者禁用，使用中有任何不良反应请及时就医。6.废弃物应妥善处理，不可随意丢弃或做他用。</w:t>
            </w:r>
          </w:p>
        </w:tc>
      </w:tr>
      <w:tr w14:paraId="21D92BAA">
        <w:tblPrEx>
          <w:tblCellMar>
            <w:top w:w="0" w:type="dxa"/>
            <w:left w:w="0" w:type="dxa"/>
            <w:bottom w:w="0" w:type="dxa"/>
            <w:right w:w="0" w:type="dxa"/>
          </w:tblCellMar>
        </w:tblPrEx>
        <w:trPr>
          <w:tblCellSpacing w:w="0" w:type="dxa"/>
        </w:trPr>
        <w:tc>
          <w:tcPr>
            <w:tcW w:w="0" w:type="auto"/>
            <w:vAlign w:val="center"/>
          </w:tcPr>
          <w:p w14:paraId="2BB59B2E">
            <w:r>
              <w:rPr>
                <w:rStyle w:val="10"/>
                <w:rFonts w:hint="eastAsia"/>
              </w:rPr>
              <w:t>中毒急救措施：</w:t>
            </w:r>
            <w:r>
              <w:rPr>
                <w:rFonts w:hint="eastAsia"/>
              </w:rPr>
              <w:br w:type="textWrapping"/>
            </w:r>
            <w:r>
              <w:rPr>
                <w:rStyle w:val="11"/>
                <w:rFonts w:hint="eastAsia"/>
              </w:rPr>
              <w:t>1.若不慎误食请大量饮水，并立即携带此标签就医。 2.不慎溅入眼睛及皮肤破损处，请立即用水冲洗。</w:t>
            </w:r>
          </w:p>
        </w:tc>
      </w:tr>
      <w:tr w14:paraId="14FA46BB">
        <w:tblPrEx>
          <w:tblCellMar>
            <w:top w:w="0" w:type="dxa"/>
            <w:left w:w="0" w:type="dxa"/>
            <w:bottom w:w="0" w:type="dxa"/>
            <w:right w:w="0" w:type="dxa"/>
          </w:tblCellMar>
        </w:tblPrEx>
        <w:trPr>
          <w:tblCellSpacing w:w="0" w:type="dxa"/>
        </w:trPr>
        <w:tc>
          <w:tcPr>
            <w:tcW w:w="0" w:type="auto"/>
            <w:vAlign w:val="center"/>
          </w:tcPr>
          <w:p w14:paraId="79798A2E">
            <w:r>
              <w:rPr>
                <w:rStyle w:val="10"/>
                <w:rFonts w:hint="eastAsia"/>
              </w:rPr>
              <w:t>储存和运输方法：</w:t>
            </w:r>
            <w:r>
              <w:rPr>
                <w:rFonts w:hint="eastAsia"/>
              </w:rPr>
              <w:br w:type="textWrapping"/>
            </w:r>
            <w:r>
              <w:rPr>
                <w:rStyle w:val="11"/>
                <w:rFonts w:hint="eastAsia"/>
              </w:rPr>
              <w:t>1. 本品属于易燃液体，应存放于阴凉、干燥处，远离火源或热源；置于儿童触及不到的地方。 2. 搬运时要轻取轻放，防止剧烈震动、日晒、雨淋和重压，不得倒置； 3.不能与食物、饮料、粮食、种子、饲料或易燃易爆品等混合贮存。</w:t>
            </w:r>
          </w:p>
        </w:tc>
      </w:tr>
      <w:tr w14:paraId="37EB3B87">
        <w:tblPrEx>
          <w:tblCellMar>
            <w:top w:w="0" w:type="dxa"/>
            <w:left w:w="0" w:type="dxa"/>
            <w:bottom w:w="0" w:type="dxa"/>
            <w:right w:w="0" w:type="dxa"/>
          </w:tblCellMar>
        </w:tblPrEx>
        <w:trPr>
          <w:tblCellSpacing w:w="0" w:type="dxa"/>
        </w:trPr>
        <w:tc>
          <w:tcPr>
            <w:tcW w:w="0" w:type="auto"/>
            <w:vAlign w:val="center"/>
          </w:tcPr>
          <w:p w14:paraId="5F1A952C">
            <w:r>
              <w:rPr>
                <w:rStyle w:val="10"/>
                <w:rFonts w:hint="eastAsia"/>
              </w:rPr>
              <w:t>质量保证期：</w:t>
            </w:r>
            <w:r>
              <w:rPr>
                <w:rStyle w:val="11"/>
                <w:rFonts w:hint="eastAsia"/>
              </w:rPr>
              <w:t>3年</w:t>
            </w:r>
          </w:p>
        </w:tc>
      </w:tr>
      <w:tr w14:paraId="5CD656FE">
        <w:tblPrEx>
          <w:tblCellMar>
            <w:top w:w="0" w:type="dxa"/>
            <w:left w:w="0" w:type="dxa"/>
            <w:bottom w:w="0" w:type="dxa"/>
            <w:right w:w="0" w:type="dxa"/>
          </w:tblCellMar>
        </w:tblPrEx>
        <w:trPr>
          <w:tblCellSpacing w:w="0" w:type="dxa"/>
        </w:trPr>
        <w:tc>
          <w:tcPr>
            <w:tcW w:w="0" w:type="auto"/>
            <w:vAlign w:val="center"/>
          </w:tcPr>
          <w:p w14:paraId="59CE9D56">
            <w:r>
              <w:rPr>
                <w:rStyle w:val="10"/>
                <w:rFonts w:hint="eastAsia"/>
              </w:rPr>
              <w:t>备注：</w:t>
            </w:r>
          </w:p>
        </w:tc>
      </w:tr>
    </w:tbl>
    <w:p w14:paraId="6A21120B">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8D2E089">
        <w:tblPrEx>
          <w:tblCellMar>
            <w:top w:w="0" w:type="dxa"/>
            <w:left w:w="0" w:type="dxa"/>
            <w:bottom w:w="0" w:type="dxa"/>
            <w:right w:w="0" w:type="dxa"/>
          </w:tblCellMar>
        </w:tblPrEx>
        <w:trPr>
          <w:tblCellSpacing w:w="0" w:type="dxa"/>
        </w:trPr>
        <w:tc>
          <w:tcPr>
            <w:tcW w:w="0" w:type="auto"/>
            <w:vAlign w:val="center"/>
          </w:tcPr>
          <w:p w14:paraId="171943C4">
            <w:r>
              <w:rPr>
                <w:rStyle w:val="10"/>
                <w:rFonts w:hint="eastAsia"/>
              </w:rPr>
              <w:t>登记证号：</w:t>
            </w:r>
            <w:r>
              <w:rPr>
                <w:rFonts w:hint="eastAsia"/>
              </w:rPr>
              <w:t>WP20210059</w:t>
            </w:r>
          </w:p>
        </w:tc>
      </w:tr>
      <w:tr w14:paraId="67EC1B35">
        <w:tblPrEx>
          <w:tblCellMar>
            <w:top w:w="0" w:type="dxa"/>
            <w:left w:w="0" w:type="dxa"/>
            <w:bottom w:w="0" w:type="dxa"/>
            <w:right w:w="0" w:type="dxa"/>
          </w:tblCellMar>
        </w:tblPrEx>
        <w:trPr>
          <w:tblCellSpacing w:w="0" w:type="dxa"/>
        </w:trPr>
        <w:tc>
          <w:tcPr>
            <w:tcW w:w="0" w:type="auto"/>
            <w:vAlign w:val="center"/>
          </w:tcPr>
          <w:p w14:paraId="6D674714">
            <w:r>
              <w:rPr>
                <w:rStyle w:val="10"/>
                <w:rFonts w:hint="eastAsia"/>
              </w:rPr>
              <w:t>登记证持有人：</w:t>
            </w:r>
            <w:r>
              <w:rPr>
                <w:rFonts w:hint="eastAsia"/>
              </w:rPr>
              <w:t>中山市威特健日用品有限公司</w:t>
            </w:r>
          </w:p>
        </w:tc>
      </w:tr>
      <w:tr w14:paraId="303DADFD">
        <w:tblPrEx>
          <w:tblCellMar>
            <w:top w:w="0" w:type="dxa"/>
            <w:left w:w="0" w:type="dxa"/>
            <w:bottom w:w="0" w:type="dxa"/>
            <w:right w:w="0" w:type="dxa"/>
          </w:tblCellMar>
        </w:tblPrEx>
        <w:trPr>
          <w:tblCellSpacing w:w="0" w:type="dxa"/>
        </w:trPr>
        <w:tc>
          <w:tcPr>
            <w:tcW w:w="0" w:type="auto"/>
            <w:vAlign w:val="center"/>
          </w:tcPr>
          <w:p w14:paraId="4CCFCD85">
            <w:r>
              <w:rPr>
                <w:rStyle w:val="10"/>
                <w:rFonts w:hint="eastAsia"/>
              </w:rPr>
              <w:t>农药名称：</w:t>
            </w:r>
            <w:r>
              <w:rPr>
                <w:rFonts w:hint="eastAsia"/>
              </w:rPr>
              <w:t>杀蚁饵剂</w:t>
            </w:r>
          </w:p>
        </w:tc>
      </w:tr>
      <w:tr w14:paraId="303D7856">
        <w:tblPrEx>
          <w:tblCellMar>
            <w:top w:w="0" w:type="dxa"/>
            <w:left w:w="0" w:type="dxa"/>
            <w:bottom w:w="0" w:type="dxa"/>
            <w:right w:w="0" w:type="dxa"/>
          </w:tblCellMar>
        </w:tblPrEx>
        <w:trPr>
          <w:tblCellSpacing w:w="0" w:type="dxa"/>
        </w:trPr>
        <w:tc>
          <w:tcPr>
            <w:tcW w:w="0" w:type="auto"/>
            <w:vAlign w:val="center"/>
          </w:tcPr>
          <w:p w14:paraId="4FBADB98">
            <w:r>
              <w:rPr>
                <w:rStyle w:val="10"/>
                <w:rFonts w:hint="eastAsia"/>
              </w:rPr>
              <w:t>剂型：</w:t>
            </w:r>
            <w:r>
              <w:rPr>
                <w:rFonts w:hint="eastAsia"/>
              </w:rPr>
              <w:t>饵剂</w:t>
            </w:r>
          </w:p>
        </w:tc>
      </w:tr>
      <w:tr w14:paraId="07B87FF9">
        <w:tblPrEx>
          <w:tblCellMar>
            <w:top w:w="0" w:type="dxa"/>
            <w:left w:w="0" w:type="dxa"/>
            <w:bottom w:w="0" w:type="dxa"/>
            <w:right w:w="0" w:type="dxa"/>
          </w:tblCellMar>
        </w:tblPrEx>
        <w:trPr>
          <w:tblCellSpacing w:w="0" w:type="dxa"/>
        </w:trPr>
        <w:tc>
          <w:tcPr>
            <w:tcW w:w="0" w:type="auto"/>
            <w:vAlign w:val="center"/>
          </w:tcPr>
          <w:p w14:paraId="1C115665">
            <w:r>
              <w:rPr>
                <w:rStyle w:val="10"/>
                <w:rFonts w:hint="eastAsia"/>
              </w:rPr>
              <w:t>毒性及其标识：</w:t>
            </w:r>
            <w:r>
              <w:rPr>
                <w:rFonts w:hint="eastAsia"/>
              </w:rPr>
              <w:t xml:space="preserve"> 微毒 </w:t>
            </w:r>
          </w:p>
        </w:tc>
      </w:tr>
      <w:tr w14:paraId="5888418D">
        <w:tblPrEx>
          <w:tblCellMar>
            <w:top w:w="0" w:type="dxa"/>
            <w:left w:w="0" w:type="dxa"/>
            <w:bottom w:w="0" w:type="dxa"/>
            <w:right w:w="0" w:type="dxa"/>
          </w:tblCellMar>
        </w:tblPrEx>
        <w:trPr>
          <w:tblCellSpacing w:w="0" w:type="dxa"/>
        </w:trPr>
        <w:tc>
          <w:tcPr>
            <w:tcW w:w="0" w:type="auto"/>
            <w:vAlign w:val="center"/>
          </w:tcPr>
          <w:p w14:paraId="28F9E28A">
            <w:r>
              <w:rPr>
                <w:rStyle w:val="10"/>
                <w:rFonts w:hint="eastAsia"/>
              </w:rPr>
              <w:t>总有效成分含量：</w:t>
            </w:r>
            <w:r>
              <w:rPr>
                <w:rFonts w:hint="eastAsia"/>
              </w:rPr>
              <w:t>0.5%</w:t>
            </w:r>
          </w:p>
        </w:tc>
      </w:tr>
      <w:tr w14:paraId="4EFE075E">
        <w:tblPrEx>
          <w:tblCellMar>
            <w:top w:w="0" w:type="dxa"/>
            <w:left w:w="0" w:type="dxa"/>
            <w:bottom w:w="0" w:type="dxa"/>
            <w:right w:w="0" w:type="dxa"/>
          </w:tblCellMar>
        </w:tblPrEx>
        <w:trPr>
          <w:tblCellSpacing w:w="0" w:type="dxa"/>
        </w:trPr>
        <w:tc>
          <w:tcPr>
            <w:tcW w:w="0" w:type="auto"/>
            <w:vAlign w:val="center"/>
          </w:tcPr>
          <w:p w14:paraId="7E6BEBDC">
            <w:r>
              <w:rPr>
                <w:rFonts w:hint="eastAsia"/>
              </w:rPr>
              <w:t xml:space="preserve">有效成分及其含量： </w:t>
            </w:r>
          </w:p>
          <w:p w14:paraId="155E5818">
            <w:r>
              <w:rPr>
                <w:rFonts w:hint="eastAsia"/>
              </w:rPr>
              <w:t xml:space="preserve">    茚虫威0.5%    </w:t>
            </w:r>
          </w:p>
        </w:tc>
      </w:tr>
      <w:tr w14:paraId="469E56AC">
        <w:tblPrEx>
          <w:tblCellMar>
            <w:top w:w="0" w:type="dxa"/>
            <w:left w:w="0" w:type="dxa"/>
            <w:bottom w:w="0" w:type="dxa"/>
            <w:right w:w="0" w:type="dxa"/>
          </w:tblCellMar>
        </w:tblPrEx>
        <w:trPr>
          <w:tblCellSpacing w:w="0" w:type="dxa"/>
        </w:trPr>
        <w:tc>
          <w:tcPr>
            <w:tcW w:w="0" w:type="auto"/>
            <w:vAlign w:val="center"/>
          </w:tcPr>
          <w:p w14:paraId="6EAE410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FF755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07BEE33">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8CB542">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093794">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777172E">
                  <w:r>
                    <w:rPr>
                      <w:rStyle w:val="11"/>
                      <w:rFonts w:hint="eastAsia"/>
                    </w:rPr>
                    <w:t>施用方式</w:t>
                  </w:r>
                </w:p>
              </w:tc>
            </w:tr>
            <w:tr w14:paraId="00D2E5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E0FD63">
                  <w:r>
                    <w:rPr>
                      <w:rStyle w:val="11"/>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48D861DC">
                  <w:r>
                    <w:rPr>
                      <w:rStyle w:val="11"/>
                      <w:rFonts w:hint="eastAsia"/>
                    </w:rPr>
                    <w:t>蚂蚁</w:t>
                  </w:r>
                </w:p>
              </w:tc>
              <w:tc>
                <w:tcPr>
                  <w:tcW w:w="0" w:type="auto"/>
                  <w:tcBorders>
                    <w:top w:val="outset" w:color="auto" w:sz="6" w:space="0"/>
                    <w:left w:val="outset" w:color="auto" w:sz="6" w:space="0"/>
                    <w:bottom w:val="outset" w:color="auto" w:sz="6" w:space="0"/>
                    <w:right w:val="outset" w:color="auto" w:sz="6" w:space="0"/>
                  </w:tcBorders>
                  <w:vAlign w:val="center"/>
                </w:tcPr>
                <w:p w14:paraId="5D0DC4CD">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4569244">
                  <w:r>
                    <w:rPr>
                      <w:rStyle w:val="11"/>
                      <w:rFonts w:hint="eastAsia"/>
                    </w:rPr>
                    <w:t>投放</w:t>
                  </w:r>
                </w:p>
              </w:tc>
            </w:tr>
          </w:tbl>
          <w:p w14:paraId="4D774D48">
            <w:pPr>
              <w:rPr>
                <w:rFonts w:ascii="Times New Roman" w:hAnsi="Times New Roman" w:cs="Times New Roman"/>
                <w:sz w:val="20"/>
                <w:szCs w:val="20"/>
              </w:rPr>
            </w:pPr>
          </w:p>
        </w:tc>
      </w:tr>
      <w:tr w14:paraId="564DD302">
        <w:tblPrEx>
          <w:tblCellMar>
            <w:top w:w="0" w:type="dxa"/>
            <w:left w:w="0" w:type="dxa"/>
            <w:bottom w:w="0" w:type="dxa"/>
            <w:right w:w="0" w:type="dxa"/>
          </w:tblCellMar>
        </w:tblPrEx>
        <w:trPr>
          <w:tblCellSpacing w:w="0" w:type="dxa"/>
        </w:trPr>
        <w:tc>
          <w:tcPr>
            <w:tcW w:w="0" w:type="auto"/>
            <w:vAlign w:val="center"/>
          </w:tcPr>
          <w:p w14:paraId="35FCEBD0">
            <w:r>
              <w:rPr>
                <w:rStyle w:val="10"/>
                <w:rFonts w:hint="eastAsia"/>
              </w:rPr>
              <w:t>使用技术要求:</w:t>
            </w:r>
            <w:r>
              <w:rPr>
                <w:rFonts w:hint="eastAsia"/>
              </w:rPr>
              <w:br w:type="textWrapping"/>
            </w:r>
            <w:r>
              <w:rPr>
                <w:rStyle w:val="11"/>
                <w:rFonts w:hint="eastAsia"/>
              </w:rPr>
              <w:t>1. （饵盒投放）将有饵剂的饵盒直接放在看到蚂蚁的活动的区域，三个月更换一次饵剂效果更好。 2. （点投投放）将本品点状施药于蚂蚁出没或栖息隐蔽处，也可放在特制的饵盒中布置在蚂蚁出没区域，易于清理。多点密集施药效果最佳。发现药饵已被取食应立即补充。</w:t>
            </w:r>
          </w:p>
        </w:tc>
      </w:tr>
      <w:tr w14:paraId="42B20A3B">
        <w:tblPrEx>
          <w:tblCellMar>
            <w:top w:w="0" w:type="dxa"/>
            <w:left w:w="0" w:type="dxa"/>
            <w:bottom w:w="0" w:type="dxa"/>
            <w:right w:w="0" w:type="dxa"/>
          </w:tblCellMar>
        </w:tblPrEx>
        <w:trPr>
          <w:tblCellSpacing w:w="0" w:type="dxa"/>
        </w:trPr>
        <w:tc>
          <w:tcPr>
            <w:tcW w:w="0" w:type="auto"/>
            <w:vAlign w:val="center"/>
          </w:tcPr>
          <w:p w14:paraId="55B0DA2F">
            <w:r>
              <w:rPr>
                <w:rStyle w:val="10"/>
                <w:rFonts w:hint="eastAsia"/>
              </w:rPr>
              <w:t>产品性能:</w:t>
            </w:r>
            <w:r>
              <w:rPr>
                <w:rFonts w:hint="eastAsia"/>
              </w:rPr>
              <w:br w:type="textWrapping"/>
            </w:r>
            <w:r>
              <w:rPr>
                <w:rStyle w:val="11"/>
                <w:rFonts w:hint="eastAsia"/>
              </w:rPr>
              <w:t>·独特的引诱配方吸引蚂蚁。 ·精选蚂蚁喜好的食物引诱蚂蚁并且不易受其它食物干扰。 ·蚂蚁携带有毒的食物回到窝内连环杀灭。 ·24小时不间断，杀蚁持续三个月。 ·可有效预防蚂蚁，保护您和家人免受蚂蚁困扰。</w:t>
            </w:r>
          </w:p>
        </w:tc>
      </w:tr>
      <w:tr w14:paraId="6BDAEFB3">
        <w:tblPrEx>
          <w:tblCellMar>
            <w:top w:w="0" w:type="dxa"/>
            <w:left w:w="0" w:type="dxa"/>
            <w:bottom w:w="0" w:type="dxa"/>
            <w:right w:w="0" w:type="dxa"/>
          </w:tblCellMar>
        </w:tblPrEx>
        <w:trPr>
          <w:tblCellSpacing w:w="0" w:type="dxa"/>
        </w:trPr>
        <w:tc>
          <w:tcPr>
            <w:tcW w:w="0" w:type="auto"/>
            <w:vAlign w:val="center"/>
          </w:tcPr>
          <w:p w14:paraId="4C157545">
            <w:r>
              <w:rPr>
                <w:rStyle w:val="10"/>
                <w:rFonts w:hint="eastAsia"/>
              </w:rPr>
              <w:t>注意事项：</w:t>
            </w:r>
            <w:r>
              <w:rPr>
                <w:rFonts w:hint="eastAsia"/>
              </w:rPr>
              <w:br w:type="textWrapping"/>
            </w:r>
            <w:r>
              <w:rPr>
                <w:rStyle w:val="11"/>
                <w:rFonts w:hint="eastAsia"/>
              </w:rPr>
              <w:t>1. 请按照包装规定的使用方法及使用量进行使用。 2. 请放置于儿童及宠物触及不到的地方，避免误食。 3. 本品对鱼、蚕有毒，蚕室及其附近禁用。 4. 切勿污染食品、饮用水。 5. 过敏者禁用。使用中有任何不良反应请及时就医。</w:t>
            </w:r>
          </w:p>
        </w:tc>
      </w:tr>
      <w:tr w14:paraId="1252446D">
        <w:tblPrEx>
          <w:tblCellMar>
            <w:top w:w="0" w:type="dxa"/>
            <w:left w:w="0" w:type="dxa"/>
            <w:bottom w:w="0" w:type="dxa"/>
            <w:right w:w="0" w:type="dxa"/>
          </w:tblCellMar>
        </w:tblPrEx>
        <w:trPr>
          <w:tblCellSpacing w:w="0" w:type="dxa"/>
        </w:trPr>
        <w:tc>
          <w:tcPr>
            <w:tcW w:w="0" w:type="auto"/>
            <w:vAlign w:val="center"/>
          </w:tcPr>
          <w:p w14:paraId="6ECC8F6E">
            <w:r>
              <w:rPr>
                <w:rStyle w:val="10"/>
                <w:rFonts w:hint="eastAsia"/>
              </w:rPr>
              <w:t>中毒急救措施：</w:t>
            </w:r>
            <w:r>
              <w:rPr>
                <w:rFonts w:hint="eastAsia"/>
              </w:rPr>
              <w:br w:type="textWrapping"/>
            </w:r>
            <w:r>
              <w:rPr>
                <w:rStyle w:val="11"/>
                <w:rFonts w:hint="eastAsia"/>
              </w:rPr>
              <w:t>避免药饵直接接触眼睛、皮肤或衣物，如不慎接触，请用大量清水冲洗。如误食，请持本品就医。</w:t>
            </w:r>
          </w:p>
        </w:tc>
      </w:tr>
      <w:tr w14:paraId="7A6A774A">
        <w:tblPrEx>
          <w:tblCellMar>
            <w:top w:w="0" w:type="dxa"/>
            <w:left w:w="0" w:type="dxa"/>
            <w:bottom w:w="0" w:type="dxa"/>
            <w:right w:w="0" w:type="dxa"/>
          </w:tblCellMar>
        </w:tblPrEx>
        <w:trPr>
          <w:tblCellSpacing w:w="0" w:type="dxa"/>
        </w:trPr>
        <w:tc>
          <w:tcPr>
            <w:tcW w:w="0" w:type="auto"/>
            <w:vAlign w:val="center"/>
          </w:tcPr>
          <w:p w14:paraId="7C8A3A02">
            <w:r>
              <w:rPr>
                <w:rStyle w:val="10"/>
                <w:rFonts w:hint="eastAsia"/>
              </w:rPr>
              <w:t>储存和运输方法：</w:t>
            </w:r>
            <w:r>
              <w:rPr>
                <w:rFonts w:hint="eastAsia"/>
              </w:rPr>
              <w:br w:type="textWrapping"/>
            </w:r>
            <w:r>
              <w:rPr>
                <w:rStyle w:val="11"/>
                <w:rFonts w:hint="eastAsia"/>
              </w:rPr>
              <w:t>请放置于避光、常温、干燥、通风的环境中保存。置于儿童接触不到的地方。不能与食品、饮料、粮食、饲料、易燃易爆品等混合储存和运输。装卸运输避免重压变形。</w:t>
            </w:r>
          </w:p>
        </w:tc>
      </w:tr>
      <w:tr w14:paraId="61A01F82">
        <w:tblPrEx>
          <w:tblCellMar>
            <w:top w:w="0" w:type="dxa"/>
            <w:left w:w="0" w:type="dxa"/>
            <w:bottom w:w="0" w:type="dxa"/>
            <w:right w:w="0" w:type="dxa"/>
          </w:tblCellMar>
        </w:tblPrEx>
        <w:trPr>
          <w:tblCellSpacing w:w="0" w:type="dxa"/>
        </w:trPr>
        <w:tc>
          <w:tcPr>
            <w:tcW w:w="0" w:type="auto"/>
            <w:vAlign w:val="center"/>
          </w:tcPr>
          <w:p w14:paraId="0629F857">
            <w:r>
              <w:rPr>
                <w:rStyle w:val="10"/>
                <w:rFonts w:hint="eastAsia"/>
              </w:rPr>
              <w:t>质量保证期：</w:t>
            </w:r>
            <w:r>
              <w:rPr>
                <w:rStyle w:val="11"/>
                <w:rFonts w:hint="eastAsia"/>
              </w:rPr>
              <w:t>2年</w:t>
            </w:r>
          </w:p>
        </w:tc>
      </w:tr>
      <w:tr w14:paraId="2063E49E">
        <w:tblPrEx>
          <w:tblCellMar>
            <w:top w:w="0" w:type="dxa"/>
            <w:left w:w="0" w:type="dxa"/>
            <w:bottom w:w="0" w:type="dxa"/>
            <w:right w:w="0" w:type="dxa"/>
          </w:tblCellMar>
        </w:tblPrEx>
        <w:trPr>
          <w:tblCellSpacing w:w="0" w:type="dxa"/>
        </w:trPr>
        <w:tc>
          <w:tcPr>
            <w:tcW w:w="0" w:type="auto"/>
            <w:vAlign w:val="center"/>
          </w:tcPr>
          <w:p w14:paraId="2BCC6F19">
            <w:r>
              <w:rPr>
                <w:rStyle w:val="10"/>
                <w:rFonts w:hint="eastAsia"/>
              </w:rPr>
              <w:t>备注：</w:t>
            </w:r>
          </w:p>
        </w:tc>
      </w:tr>
    </w:tbl>
    <w:p w14:paraId="27264CDB">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2B78320">
        <w:tblPrEx>
          <w:tblCellMar>
            <w:top w:w="0" w:type="dxa"/>
            <w:left w:w="0" w:type="dxa"/>
            <w:bottom w:w="0" w:type="dxa"/>
            <w:right w:w="0" w:type="dxa"/>
          </w:tblCellMar>
        </w:tblPrEx>
        <w:trPr>
          <w:tblCellSpacing w:w="0" w:type="dxa"/>
        </w:trPr>
        <w:tc>
          <w:tcPr>
            <w:tcW w:w="0" w:type="auto"/>
            <w:vAlign w:val="center"/>
          </w:tcPr>
          <w:p w14:paraId="1A57BDAC">
            <w:r>
              <w:rPr>
                <w:rStyle w:val="10"/>
                <w:rFonts w:hint="eastAsia"/>
              </w:rPr>
              <w:t>登记证号：</w:t>
            </w:r>
            <w:r>
              <w:rPr>
                <w:rFonts w:hint="eastAsia"/>
              </w:rPr>
              <w:t>PD20142252</w:t>
            </w:r>
          </w:p>
        </w:tc>
      </w:tr>
      <w:tr w14:paraId="2B17E9E0">
        <w:tblPrEx>
          <w:tblCellMar>
            <w:top w:w="0" w:type="dxa"/>
            <w:left w:w="0" w:type="dxa"/>
            <w:bottom w:w="0" w:type="dxa"/>
            <w:right w:w="0" w:type="dxa"/>
          </w:tblCellMar>
        </w:tblPrEx>
        <w:trPr>
          <w:tblCellSpacing w:w="0" w:type="dxa"/>
        </w:trPr>
        <w:tc>
          <w:tcPr>
            <w:tcW w:w="0" w:type="auto"/>
            <w:vAlign w:val="center"/>
          </w:tcPr>
          <w:p w14:paraId="399FD96A">
            <w:r>
              <w:rPr>
                <w:rStyle w:val="10"/>
                <w:rFonts w:hint="eastAsia"/>
              </w:rPr>
              <w:t>登记证持有人：</w:t>
            </w:r>
            <w:r>
              <w:rPr>
                <w:rFonts w:hint="eastAsia"/>
              </w:rPr>
              <w:t>山东省青岛瀚生生物科技股份有限公司</w:t>
            </w:r>
          </w:p>
        </w:tc>
      </w:tr>
      <w:tr w14:paraId="1CD46302">
        <w:tblPrEx>
          <w:tblCellMar>
            <w:top w:w="0" w:type="dxa"/>
            <w:left w:w="0" w:type="dxa"/>
            <w:bottom w:w="0" w:type="dxa"/>
            <w:right w:w="0" w:type="dxa"/>
          </w:tblCellMar>
        </w:tblPrEx>
        <w:trPr>
          <w:tblCellSpacing w:w="0" w:type="dxa"/>
        </w:trPr>
        <w:tc>
          <w:tcPr>
            <w:tcW w:w="0" w:type="auto"/>
            <w:vAlign w:val="center"/>
          </w:tcPr>
          <w:p w14:paraId="70A729D4">
            <w:r>
              <w:rPr>
                <w:rStyle w:val="10"/>
                <w:rFonts w:hint="eastAsia"/>
              </w:rPr>
              <w:t>农药名称：</w:t>
            </w:r>
            <w:r>
              <w:rPr>
                <w:rFonts w:hint="eastAsia"/>
              </w:rPr>
              <w:t>2甲·灭草松</w:t>
            </w:r>
          </w:p>
        </w:tc>
      </w:tr>
      <w:tr w14:paraId="42DBBBD0">
        <w:tblPrEx>
          <w:tblCellMar>
            <w:top w:w="0" w:type="dxa"/>
            <w:left w:w="0" w:type="dxa"/>
            <w:bottom w:w="0" w:type="dxa"/>
            <w:right w:w="0" w:type="dxa"/>
          </w:tblCellMar>
        </w:tblPrEx>
        <w:trPr>
          <w:tblCellSpacing w:w="0" w:type="dxa"/>
        </w:trPr>
        <w:tc>
          <w:tcPr>
            <w:tcW w:w="0" w:type="auto"/>
            <w:vAlign w:val="center"/>
          </w:tcPr>
          <w:p w14:paraId="0AA70F1F">
            <w:r>
              <w:rPr>
                <w:rStyle w:val="10"/>
                <w:rFonts w:hint="eastAsia"/>
              </w:rPr>
              <w:t>剂型：</w:t>
            </w:r>
            <w:r>
              <w:rPr>
                <w:rFonts w:hint="eastAsia"/>
              </w:rPr>
              <w:t>可溶液剂</w:t>
            </w:r>
          </w:p>
        </w:tc>
      </w:tr>
      <w:tr w14:paraId="5FE36363">
        <w:tblPrEx>
          <w:tblCellMar>
            <w:top w:w="0" w:type="dxa"/>
            <w:left w:w="0" w:type="dxa"/>
            <w:bottom w:w="0" w:type="dxa"/>
            <w:right w:w="0" w:type="dxa"/>
          </w:tblCellMar>
        </w:tblPrEx>
        <w:trPr>
          <w:tblCellSpacing w:w="0" w:type="dxa"/>
        </w:trPr>
        <w:tc>
          <w:tcPr>
            <w:tcW w:w="0" w:type="auto"/>
            <w:vAlign w:val="center"/>
          </w:tcPr>
          <w:p w14:paraId="23DD4ADA">
            <w:r>
              <w:rPr>
                <w:rStyle w:val="10"/>
                <w:rFonts w:hint="eastAsia"/>
              </w:rPr>
              <w:t>毒性及其标识：</w:t>
            </w:r>
            <w:r>
              <w:rPr>
                <w:rFonts w:hint="eastAsia"/>
              </w:rPr>
              <w:t xml:space="preserve"> </w:t>
            </w:r>
            <w:r>
              <w:drawing>
                <wp:inline distT="0" distB="0" distL="0" distR="0">
                  <wp:extent cx="474345" cy="323850"/>
                  <wp:effectExtent l="0" t="0" r="1905"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736CD50A">
        <w:tblPrEx>
          <w:tblCellMar>
            <w:top w:w="0" w:type="dxa"/>
            <w:left w:w="0" w:type="dxa"/>
            <w:bottom w:w="0" w:type="dxa"/>
            <w:right w:w="0" w:type="dxa"/>
          </w:tblCellMar>
        </w:tblPrEx>
        <w:trPr>
          <w:tblCellSpacing w:w="0" w:type="dxa"/>
        </w:trPr>
        <w:tc>
          <w:tcPr>
            <w:tcW w:w="0" w:type="auto"/>
            <w:vAlign w:val="center"/>
          </w:tcPr>
          <w:p w14:paraId="103DFB48">
            <w:r>
              <w:rPr>
                <w:rStyle w:val="10"/>
                <w:rFonts w:hint="eastAsia"/>
              </w:rPr>
              <w:t>总有效成分含量：</w:t>
            </w:r>
            <w:r>
              <w:rPr>
                <w:rFonts w:hint="eastAsia"/>
              </w:rPr>
              <w:t>460克/升</w:t>
            </w:r>
          </w:p>
        </w:tc>
      </w:tr>
      <w:tr w14:paraId="1744D36D">
        <w:tblPrEx>
          <w:tblCellMar>
            <w:top w:w="0" w:type="dxa"/>
            <w:left w:w="0" w:type="dxa"/>
            <w:bottom w:w="0" w:type="dxa"/>
            <w:right w:w="0" w:type="dxa"/>
          </w:tblCellMar>
        </w:tblPrEx>
        <w:trPr>
          <w:tblCellSpacing w:w="0" w:type="dxa"/>
        </w:trPr>
        <w:tc>
          <w:tcPr>
            <w:tcW w:w="0" w:type="auto"/>
            <w:vAlign w:val="center"/>
          </w:tcPr>
          <w:p w14:paraId="27518B70">
            <w:r>
              <w:rPr>
                <w:rFonts w:hint="eastAsia"/>
              </w:rPr>
              <w:t xml:space="preserve">有效成分及其含量： </w:t>
            </w:r>
          </w:p>
          <w:p w14:paraId="722E18A6">
            <w:r>
              <w:rPr>
                <w:rFonts w:hint="eastAsia"/>
              </w:rPr>
              <w:t xml:space="preserve">    灭草松400克/升    2甲4氯60克/升    </w:t>
            </w:r>
          </w:p>
        </w:tc>
      </w:tr>
      <w:tr w14:paraId="512D2A10">
        <w:tblPrEx>
          <w:tblCellMar>
            <w:top w:w="0" w:type="dxa"/>
            <w:left w:w="0" w:type="dxa"/>
            <w:bottom w:w="0" w:type="dxa"/>
            <w:right w:w="0" w:type="dxa"/>
          </w:tblCellMar>
        </w:tblPrEx>
        <w:trPr>
          <w:tblCellSpacing w:w="0" w:type="dxa"/>
        </w:trPr>
        <w:tc>
          <w:tcPr>
            <w:tcW w:w="0" w:type="auto"/>
            <w:vAlign w:val="center"/>
          </w:tcPr>
          <w:p w14:paraId="124BFE7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1A7B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02ADFC">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4702142">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7EE583">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C779129">
                  <w:r>
                    <w:rPr>
                      <w:rStyle w:val="11"/>
                      <w:rFonts w:hint="eastAsia"/>
                    </w:rPr>
                    <w:t>施用方式</w:t>
                  </w:r>
                </w:p>
              </w:tc>
            </w:tr>
            <w:tr w14:paraId="14CFE1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6F75A4">
                  <w:r>
                    <w:rPr>
                      <w:rStyle w:val="11"/>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01108C7E">
                  <w:r>
                    <w:rPr>
                      <w:rStyle w:val="11"/>
                      <w:rFonts w:hint="eastAsia"/>
                    </w:rPr>
                    <w:t>阔叶杂草及莎草科杂草</w:t>
                  </w:r>
                </w:p>
              </w:tc>
              <w:tc>
                <w:tcPr>
                  <w:tcW w:w="0" w:type="auto"/>
                  <w:tcBorders>
                    <w:top w:val="outset" w:color="auto" w:sz="6" w:space="0"/>
                    <w:left w:val="outset" w:color="auto" w:sz="6" w:space="0"/>
                    <w:bottom w:val="outset" w:color="auto" w:sz="6" w:space="0"/>
                    <w:right w:val="outset" w:color="auto" w:sz="6" w:space="0"/>
                  </w:tcBorders>
                  <w:vAlign w:val="center"/>
                </w:tcPr>
                <w:p w14:paraId="4E8F817E">
                  <w:r>
                    <w:rPr>
                      <w:rStyle w:val="11"/>
                      <w:rFonts w:hint="eastAsia"/>
                    </w:rPr>
                    <w:t>133-167毫升/亩</w:t>
                  </w:r>
                </w:p>
              </w:tc>
              <w:tc>
                <w:tcPr>
                  <w:tcW w:w="0" w:type="auto"/>
                  <w:tcBorders>
                    <w:top w:val="outset" w:color="auto" w:sz="6" w:space="0"/>
                    <w:left w:val="outset" w:color="auto" w:sz="6" w:space="0"/>
                    <w:bottom w:val="outset" w:color="auto" w:sz="6" w:space="0"/>
                    <w:right w:val="outset" w:color="auto" w:sz="6" w:space="0"/>
                  </w:tcBorders>
                  <w:vAlign w:val="center"/>
                </w:tcPr>
                <w:p w14:paraId="71CCDBF1">
                  <w:r>
                    <w:rPr>
                      <w:rStyle w:val="11"/>
                      <w:rFonts w:hint="eastAsia"/>
                    </w:rPr>
                    <w:t>茎叶喷雾</w:t>
                  </w:r>
                </w:p>
              </w:tc>
            </w:tr>
          </w:tbl>
          <w:p w14:paraId="223EE394">
            <w:pPr>
              <w:rPr>
                <w:rFonts w:ascii="Times New Roman" w:hAnsi="Times New Roman" w:cs="Times New Roman"/>
                <w:sz w:val="20"/>
                <w:szCs w:val="20"/>
              </w:rPr>
            </w:pPr>
          </w:p>
        </w:tc>
      </w:tr>
      <w:tr w14:paraId="7E25D4A7">
        <w:tblPrEx>
          <w:tblCellMar>
            <w:top w:w="0" w:type="dxa"/>
            <w:left w:w="0" w:type="dxa"/>
            <w:bottom w:w="0" w:type="dxa"/>
            <w:right w:w="0" w:type="dxa"/>
          </w:tblCellMar>
        </w:tblPrEx>
        <w:trPr>
          <w:tblCellSpacing w:w="0" w:type="dxa"/>
        </w:trPr>
        <w:tc>
          <w:tcPr>
            <w:tcW w:w="0" w:type="auto"/>
            <w:vAlign w:val="center"/>
          </w:tcPr>
          <w:p w14:paraId="43BD51CB">
            <w:r>
              <w:rPr>
                <w:rStyle w:val="10"/>
                <w:rFonts w:hint="eastAsia"/>
              </w:rPr>
              <w:t>使用技术要求:</w:t>
            </w:r>
            <w:r>
              <w:rPr>
                <w:rFonts w:hint="eastAsia"/>
              </w:rPr>
              <w:br w:type="textWrapping"/>
            </w:r>
            <w:r>
              <w:rPr>
                <w:rStyle w:val="11"/>
                <w:rFonts w:hint="eastAsia"/>
              </w:rPr>
              <w:t>按标签推荐使用，本品可防治以下杂草：野慈姑，泽泻，萍，鸭舌草，及其它30多种阔叶杂草。稻田应在早上无风或微风条件下施药可更有效，施药后6小时内降雨会降低药效，避免在稻苗细弱时施药。 本品是苗后叶面处理除草剂，施用时要避免在直播水稻4叶期前施用；在麦田杂草防除时，该应在杂草生长旺盛期， 即2-5叶期进行喷雾施药效果最好，确保杂草完全湿润即可发挥最大药效。每季最多使用1次。</w:t>
            </w:r>
          </w:p>
        </w:tc>
      </w:tr>
      <w:tr w14:paraId="396428D3">
        <w:tblPrEx>
          <w:tblCellMar>
            <w:top w:w="0" w:type="dxa"/>
            <w:left w:w="0" w:type="dxa"/>
            <w:bottom w:w="0" w:type="dxa"/>
            <w:right w:w="0" w:type="dxa"/>
          </w:tblCellMar>
        </w:tblPrEx>
        <w:trPr>
          <w:tblCellSpacing w:w="0" w:type="dxa"/>
        </w:trPr>
        <w:tc>
          <w:tcPr>
            <w:tcW w:w="0" w:type="auto"/>
            <w:vAlign w:val="center"/>
          </w:tcPr>
          <w:p w14:paraId="40B0ED6F">
            <w:r>
              <w:rPr>
                <w:rStyle w:val="10"/>
                <w:rFonts w:hint="eastAsia"/>
              </w:rPr>
              <w:t>产品性能:</w:t>
            </w:r>
            <w:r>
              <w:rPr>
                <w:rFonts w:hint="eastAsia"/>
              </w:rPr>
              <w:br w:type="textWrapping"/>
            </w:r>
            <w:r>
              <w:rPr>
                <w:rStyle w:val="11"/>
                <w:rFonts w:hint="eastAsia"/>
              </w:rPr>
              <w:t>本品对水田的恶性莎草科（特别是三棱草）及阔叶杂草有很好的防除效果。本品为苗后茎叶处理除草剂，施用时要避免在直播水稻4叶期前施用；在麦田杂草防除时，在杂草生长旺盛期， 即2-5叶期进行喷雾施药效果最好，确保杂草完全湿润即可发挥最大药效</w:t>
            </w:r>
          </w:p>
        </w:tc>
      </w:tr>
      <w:tr w14:paraId="650AECF0">
        <w:tblPrEx>
          <w:tblCellMar>
            <w:top w:w="0" w:type="dxa"/>
            <w:left w:w="0" w:type="dxa"/>
            <w:bottom w:w="0" w:type="dxa"/>
            <w:right w:w="0" w:type="dxa"/>
          </w:tblCellMar>
        </w:tblPrEx>
        <w:trPr>
          <w:tblCellSpacing w:w="0" w:type="dxa"/>
        </w:trPr>
        <w:tc>
          <w:tcPr>
            <w:tcW w:w="0" w:type="auto"/>
            <w:vAlign w:val="center"/>
          </w:tcPr>
          <w:p w14:paraId="00E09BA8">
            <w:r>
              <w:rPr>
                <w:rStyle w:val="10"/>
                <w:rFonts w:hint="eastAsia"/>
              </w:rPr>
              <w:t>注意事项：</w:t>
            </w:r>
            <w:r>
              <w:rPr>
                <w:rFonts w:hint="eastAsia"/>
              </w:rPr>
              <w:br w:type="textWrapping"/>
            </w:r>
            <w:r>
              <w:rPr>
                <w:rStyle w:val="11"/>
                <w:rFonts w:hint="eastAsia"/>
              </w:rPr>
              <w:t>1、施药时穿防护服、戴眼镜、手套等防护用品。施药期间不可吃东西及饮水等。施药后应及时洗手和洗脸等。 2、下雨前4小时内及大风天不要喷药。施药时应避免药液漂移到敏感作物上，以防产生药害。 3、本品对鱼类等水生生物有毒，应远离水产养殖区施药，禁止在河塘等水体中清洗施药器具。鱼或虾蟹套养稻田禁用，施药后的田水不得直接排入水体。赤眼蜂等天敌放飞区域禁用。 4、用过的容器应妥善处理，不可做他用，也不可随意丢弃。 5、避免孕妇及哺乳期的妇女接触。</w:t>
            </w:r>
          </w:p>
        </w:tc>
      </w:tr>
      <w:tr w14:paraId="2CDA47F8">
        <w:tblPrEx>
          <w:tblCellMar>
            <w:top w:w="0" w:type="dxa"/>
            <w:left w:w="0" w:type="dxa"/>
            <w:bottom w:w="0" w:type="dxa"/>
            <w:right w:w="0" w:type="dxa"/>
          </w:tblCellMar>
        </w:tblPrEx>
        <w:trPr>
          <w:tblCellSpacing w:w="0" w:type="dxa"/>
        </w:trPr>
        <w:tc>
          <w:tcPr>
            <w:tcW w:w="0" w:type="auto"/>
            <w:vAlign w:val="center"/>
          </w:tcPr>
          <w:p w14:paraId="6DF56251">
            <w:r>
              <w:rPr>
                <w:rStyle w:val="10"/>
                <w:rFonts w:hint="eastAsia"/>
              </w:rPr>
              <w:t>中毒急救措施：</w:t>
            </w:r>
            <w:r>
              <w:rPr>
                <w:rFonts w:hint="eastAsia"/>
              </w:rPr>
              <w:br w:type="textWrapping"/>
            </w:r>
            <w:r>
              <w:rPr>
                <w:rStyle w:val="11"/>
                <w:rFonts w:hint="eastAsia"/>
              </w:rPr>
              <w:t>1．眼睛溅入:对眼睛有刺激性，立刻用大量清水冲洗15-20分钟，如佩戴隐形眼镜，冲洗5分钟后摘掉眼镜再冲洗15分钟。携带此标签去医院诊治。2.误食：不要自行引吐，携此标签送医诊治。3.皮肤沾附：脱去被溅衣服，立即用大量清水冲洗皮肤。衣服彻底清洗后方可再穿。4.误吸：转移至空气清新处，如症状持续，向医生咨询。5.给医护人员的提示：无特殊解毒药，请医生根据症状治疗。</w:t>
            </w:r>
          </w:p>
        </w:tc>
      </w:tr>
      <w:tr w14:paraId="48303B33">
        <w:tblPrEx>
          <w:tblCellMar>
            <w:top w:w="0" w:type="dxa"/>
            <w:left w:w="0" w:type="dxa"/>
            <w:bottom w:w="0" w:type="dxa"/>
            <w:right w:w="0" w:type="dxa"/>
          </w:tblCellMar>
        </w:tblPrEx>
        <w:trPr>
          <w:tblCellSpacing w:w="0" w:type="dxa"/>
        </w:trPr>
        <w:tc>
          <w:tcPr>
            <w:tcW w:w="0" w:type="auto"/>
            <w:vAlign w:val="center"/>
          </w:tcPr>
          <w:p w14:paraId="42EC3199">
            <w:r>
              <w:rPr>
                <w:rStyle w:val="10"/>
                <w:rFonts w:hint="eastAsia"/>
              </w:rPr>
              <w:t>储存和运输方法：</w:t>
            </w:r>
            <w:r>
              <w:rPr>
                <w:rFonts w:hint="eastAsia"/>
              </w:rPr>
              <w:br w:type="textWrapping"/>
            </w:r>
            <w:r>
              <w:rPr>
                <w:rStyle w:val="11"/>
                <w:rFonts w:hint="eastAsia"/>
              </w:rPr>
              <w:t>1．本品应密封贮存在干燥、阴凉、通风、防雨处，远离火源或热源。2.存放于儿童及无关人员触及不到之处，并加锁。3.勿与食品、饮料、粮食、饲料等其他商品同贮同运。贮存或运输时堆层不得超过规定，注意轻拿轻放，以免损坏包装，导致产品泄露。</w:t>
            </w:r>
          </w:p>
        </w:tc>
      </w:tr>
      <w:tr w14:paraId="44817C77">
        <w:tblPrEx>
          <w:tblCellMar>
            <w:top w:w="0" w:type="dxa"/>
            <w:left w:w="0" w:type="dxa"/>
            <w:bottom w:w="0" w:type="dxa"/>
            <w:right w:w="0" w:type="dxa"/>
          </w:tblCellMar>
        </w:tblPrEx>
        <w:trPr>
          <w:tblCellSpacing w:w="0" w:type="dxa"/>
        </w:trPr>
        <w:tc>
          <w:tcPr>
            <w:tcW w:w="0" w:type="auto"/>
            <w:vAlign w:val="center"/>
          </w:tcPr>
          <w:p w14:paraId="0DECA4C1">
            <w:r>
              <w:rPr>
                <w:rStyle w:val="10"/>
                <w:rFonts w:hint="eastAsia"/>
              </w:rPr>
              <w:t>质量保证期：</w:t>
            </w:r>
            <w:r>
              <w:rPr>
                <w:rStyle w:val="11"/>
                <w:rFonts w:hint="eastAsia"/>
              </w:rPr>
              <w:t>2年</w:t>
            </w:r>
          </w:p>
        </w:tc>
      </w:tr>
      <w:tr w14:paraId="00EECCEA">
        <w:tblPrEx>
          <w:tblCellMar>
            <w:top w:w="0" w:type="dxa"/>
            <w:left w:w="0" w:type="dxa"/>
            <w:bottom w:w="0" w:type="dxa"/>
            <w:right w:w="0" w:type="dxa"/>
          </w:tblCellMar>
        </w:tblPrEx>
        <w:trPr>
          <w:tblCellSpacing w:w="0" w:type="dxa"/>
        </w:trPr>
        <w:tc>
          <w:tcPr>
            <w:tcW w:w="0" w:type="auto"/>
            <w:vAlign w:val="center"/>
          </w:tcPr>
          <w:p w14:paraId="3D9421D1">
            <w:r>
              <w:rPr>
                <w:rStyle w:val="10"/>
                <w:rFonts w:hint="eastAsia"/>
              </w:rPr>
              <w:t>备注：</w:t>
            </w:r>
          </w:p>
        </w:tc>
      </w:tr>
    </w:tbl>
    <w:p w14:paraId="5950192B">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295F885">
        <w:trPr>
          <w:tblCellSpacing w:w="0" w:type="dxa"/>
        </w:trPr>
        <w:tc>
          <w:tcPr>
            <w:tcW w:w="0" w:type="auto"/>
            <w:vAlign w:val="center"/>
          </w:tcPr>
          <w:p w14:paraId="05FF321F">
            <w:r>
              <w:rPr>
                <w:rStyle w:val="10"/>
                <w:rFonts w:hint="eastAsia"/>
              </w:rPr>
              <w:t>登记证号：</w:t>
            </w:r>
            <w:r>
              <w:rPr>
                <w:rFonts w:hint="eastAsia"/>
              </w:rPr>
              <w:t>PD20173362</w:t>
            </w:r>
          </w:p>
        </w:tc>
      </w:tr>
      <w:tr w14:paraId="1A19A2AE">
        <w:tblPrEx>
          <w:tblCellMar>
            <w:top w:w="0" w:type="dxa"/>
            <w:left w:w="0" w:type="dxa"/>
            <w:bottom w:w="0" w:type="dxa"/>
            <w:right w:w="0" w:type="dxa"/>
          </w:tblCellMar>
        </w:tblPrEx>
        <w:trPr>
          <w:tblCellSpacing w:w="0" w:type="dxa"/>
        </w:trPr>
        <w:tc>
          <w:tcPr>
            <w:tcW w:w="0" w:type="auto"/>
            <w:vAlign w:val="center"/>
          </w:tcPr>
          <w:p w14:paraId="37EB2A37">
            <w:r>
              <w:rPr>
                <w:rStyle w:val="10"/>
                <w:rFonts w:hint="eastAsia"/>
              </w:rPr>
              <w:t>登记证持有人：</w:t>
            </w:r>
            <w:r>
              <w:rPr>
                <w:rFonts w:hint="eastAsia"/>
              </w:rPr>
              <w:t>福建省漳州市龙文农化有限公司</w:t>
            </w:r>
          </w:p>
        </w:tc>
      </w:tr>
      <w:tr w14:paraId="1E52052C">
        <w:tblPrEx>
          <w:tblCellMar>
            <w:top w:w="0" w:type="dxa"/>
            <w:left w:w="0" w:type="dxa"/>
            <w:bottom w:w="0" w:type="dxa"/>
            <w:right w:w="0" w:type="dxa"/>
          </w:tblCellMar>
        </w:tblPrEx>
        <w:trPr>
          <w:tblCellSpacing w:w="0" w:type="dxa"/>
        </w:trPr>
        <w:tc>
          <w:tcPr>
            <w:tcW w:w="0" w:type="auto"/>
            <w:vAlign w:val="center"/>
          </w:tcPr>
          <w:p w14:paraId="0EA53F30">
            <w:r>
              <w:rPr>
                <w:rStyle w:val="10"/>
                <w:rFonts w:hint="eastAsia"/>
              </w:rPr>
              <w:t>农药名称：</w:t>
            </w:r>
            <w:r>
              <w:rPr>
                <w:rFonts w:hint="eastAsia"/>
              </w:rPr>
              <w:t>丁醚脲</w:t>
            </w:r>
          </w:p>
        </w:tc>
      </w:tr>
      <w:tr w14:paraId="05C8DA2F">
        <w:tblPrEx>
          <w:tblCellMar>
            <w:top w:w="0" w:type="dxa"/>
            <w:left w:w="0" w:type="dxa"/>
            <w:bottom w:w="0" w:type="dxa"/>
            <w:right w:w="0" w:type="dxa"/>
          </w:tblCellMar>
        </w:tblPrEx>
        <w:trPr>
          <w:tblCellSpacing w:w="0" w:type="dxa"/>
        </w:trPr>
        <w:tc>
          <w:tcPr>
            <w:tcW w:w="0" w:type="auto"/>
            <w:vAlign w:val="center"/>
          </w:tcPr>
          <w:p w14:paraId="7EE87555">
            <w:r>
              <w:rPr>
                <w:rStyle w:val="10"/>
                <w:rFonts w:hint="eastAsia"/>
              </w:rPr>
              <w:t>剂型：</w:t>
            </w:r>
            <w:r>
              <w:rPr>
                <w:rFonts w:hint="eastAsia"/>
              </w:rPr>
              <w:t>悬浮剂</w:t>
            </w:r>
          </w:p>
        </w:tc>
      </w:tr>
      <w:tr w14:paraId="360CC862">
        <w:tblPrEx>
          <w:tblCellMar>
            <w:top w:w="0" w:type="dxa"/>
            <w:left w:w="0" w:type="dxa"/>
            <w:bottom w:w="0" w:type="dxa"/>
            <w:right w:w="0" w:type="dxa"/>
          </w:tblCellMar>
        </w:tblPrEx>
        <w:trPr>
          <w:tblCellSpacing w:w="0" w:type="dxa"/>
        </w:trPr>
        <w:tc>
          <w:tcPr>
            <w:tcW w:w="0" w:type="auto"/>
            <w:vAlign w:val="center"/>
          </w:tcPr>
          <w:p w14:paraId="63152A79">
            <w:r>
              <w:rPr>
                <w:rStyle w:val="10"/>
                <w:rFonts w:hint="eastAsia"/>
              </w:rPr>
              <w:t>毒性及其标识：</w:t>
            </w:r>
            <w:r>
              <w:rPr>
                <w:rFonts w:hint="eastAsia"/>
              </w:rPr>
              <w:t xml:space="preserve"> </w:t>
            </w:r>
            <w:r>
              <w:drawing>
                <wp:inline distT="0" distB="0" distL="0" distR="0">
                  <wp:extent cx="474345" cy="323850"/>
                  <wp:effectExtent l="0" t="0" r="1905"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2229D3FC">
        <w:tblPrEx>
          <w:tblCellMar>
            <w:top w:w="0" w:type="dxa"/>
            <w:left w:w="0" w:type="dxa"/>
            <w:bottom w:w="0" w:type="dxa"/>
            <w:right w:w="0" w:type="dxa"/>
          </w:tblCellMar>
        </w:tblPrEx>
        <w:trPr>
          <w:tblCellSpacing w:w="0" w:type="dxa"/>
        </w:trPr>
        <w:tc>
          <w:tcPr>
            <w:tcW w:w="0" w:type="auto"/>
            <w:vAlign w:val="center"/>
          </w:tcPr>
          <w:p w14:paraId="0C9633BE">
            <w:r>
              <w:rPr>
                <w:rStyle w:val="10"/>
                <w:rFonts w:hint="eastAsia"/>
              </w:rPr>
              <w:t>总有效成分含量：</w:t>
            </w:r>
            <w:r>
              <w:rPr>
                <w:rFonts w:hint="eastAsia"/>
              </w:rPr>
              <w:t>500克/升</w:t>
            </w:r>
          </w:p>
        </w:tc>
      </w:tr>
      <w:tr w14:paraId="75970738">
        <w:trPr>
          <w:tblCellSpacing w:w="0" w:type="dxa"/>
        </w:trPr>
        <w:tc>
          <w:tcPr>
            <w:tcW w:w="0" w:type="auto"/>
            <w:vAlign w:val="center"/>
          </w:tcPr>
          <w:p w14:paraId="54B89134">
            <w:r>
              <w:rPr>
                <w:rFonts w:hint="eastAsia"/>
              </w:rPr>
              <w:t xml:space="preserve">有效成分及其含量： </w:t>
            </w:r>
          </w:p>
          <w:p w14:paraId="13A82950">
            <w:r>
              <w:rPr>
                <w:rFonts w:hint="eastAsia"/>
              </w:rPr>
              <w:t xml:space="preserve">    丁醚脲500克/升    </w:t>
            </w:r>
          </w:p>
        </w:tc>
      </w:tr>
      <w:tr w14:paraId="3D32A1E6">
        <w:tblPrEx>
          <w:tblCellMar>
            <w:top w:w="0" w:type="dxa"/>
            <w:left w:w="0" w:type="dxa"/>
            <w:bottom w:w="0" w:type="dxa"/>
            <w:right w:w="0" w:type="dxa"/>
          </w:tblCellMar>
        </w:tblPrEx>
        <w:trPr>
          <w:tblCellSpacing w:w="0" w:type="dxa"/>
        </w:trPr>
        <w:tc>
          <w:tcPr>
            <w:tcW w:w="0" w:type="auto"/>
            <w:vAlign w:val="center"/>
          </w:tcPr>
          <w:p w14:paraId="09524C4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A923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CA6E8AA">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D05511">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F46FAB">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938D24">
                  <w:r>
                    <w:rPr>
                      <w:rStyle w:val="11"/>
                      <w:rFonts w:hint="eastAsia"/>
                    </w:rPr>
                    <w:t>施用方式</w:t>
                  </w:r>
                </w:p>
              </w:tc>
            </w:tr>
            <w:tr w14:paraId="7C1062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5EFA87">
                  <w:r>
                    <w:rPr>
                      <w:rStyle w:val="11"/>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0B06470C">
                  <w:r>
                    <w:rPr>
                      <w:rStyle w:val="11"/>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153213E3">
                  <w:r>
                    <w:rPr>
                      <w:rStyle w:val="11"/>
                      <w:rFonts w:hint="eastAsia"/>
                    </w:rPr>
                    <w:t>40-60克/亩</w:t>
                  </w:r>
                </w:p>
              </w:tc>
              <w:tc>
                <w:tcPr>
                  <w:tcW w:w="0" w:type="auto"/>
                  <w:tcBorders>
                    <w:top w:val="outset" w:color="auto" w:sz="6" w:space="0"/>
                    <w:left w:val="outset" w:color="auto" w:sz="6" w:space="0"/>
                    <w:bottom w:val="outset" w:color="auto" w:sz="6" w:space="0"/>
                    <w:right w:val="outset" w:color="auto" w:sz="6" w:space="0"/>
                  </w:tcBorders>
                  <w:vAlign w:val="center"/>
                </w:tcPr>
                <w:p w14:paraId="353E696C">
                  <w:r>
                    <w:rPr>
                      <w:rStyle w:val="11"/>
                      <w:rFonts w:hint="eastAsia"/>
                    </w:rPr>
                    <w:t>喷雾</w:t>
                  </w:r>
                </w:p>
              </w:tc>
            </w:tr>
            <w:tr w14:paraId="7F859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94D914">
                  <w:r>
                    <w:rPr>
                      <w:rStyle w:val="11"/>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304D9CB0">
                  <w:r>
                    <w:rPr>
                      <w:rStyle w:val="11"/>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6E267174">
                  <w:r>
                    <w:rPr>
                      <w:rStyle w:val="11"/>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46799A75">
                  <w:r>
                    <w:rPr>
                      <w:rStyle w:val="11"/>
                      <w:rFonts w:hint="eastAsia"/>
                    </w:rPr>
                    <w:t>喷雾</w:t>
                  </w:r>
                </w:p>
              </w:tc>
            </w:tr>
          </w:tbl>
          <w:p w14:paraId="44F14697">
            <w:pPr>
              <w:rPr>
                <w:rFonts w:ascii="Times New Roman" w:hAnsi="Times New Roman" w:cs="Times New Roman"/>
                <w:sz w:val="20"/>
                <w:szCs w:val="20"/>
              </w:rPr>
            </w:pPr>
          </w:p>
        </w:tc>
      </w:tr>
      <w:tr w14:paraId="601D39EB">
        <w:tblPrEx>
          <w:tblCellMar>
            <w:top w:w="0" w:type="dxa"/>
            <w:left w:w="0" w:type="dxa"/>
            <w:bottom w:w="0" w:type="dxa"/>
            <w:right w:w="0" w:type="dxa"/>
          </w:tblCellMar>
        </w:tblPrEx>
        <w:trPr>
          <w:tblCellSpacing w:w="0" w:type="dxa"/>
        </w:trPr>
        <w:tc>
          <w:tcPr>
            <w:tcW w:w="0" w:type="auto"/>
            <w:vAlign w:val="center"/>
          </w:tcPr>
          <w:p w14:paraId="686645A1">
            <w:r>
              <w:rPr>
                <w:rStyle w:val="10"/>
                <w:rFonts w:hint="eastAsia"/>
              </w:rPr>
              <w:t>使用技术要求:</w:t>
            </w:r>
            <w:r>
              <w:rPr>
                <w:rFonts w:hint="eastAsia"/>
              </w:rPr>
              <w:br w:type="textWrapping"/>
            </w:r>
            <w:r>
              <w:rPr>
                <w:rStyle w:val="11"/>
                <w:rFonts w:hint="eastAsia"/>
              </w:rPr>
              <w:t>1.在甘蓝小菜蛾幼虫低龄期，以有效成分用量40-60毫升/亩均匀喷雾处理。 2.在茶树茶小绿叶蝉卵孵化盛期至低龄幼虫期，以有效成分用量80-100毫升/亩均匀喷雾处理。3.本品在甘蓝和茶树上的安全间隔期均为7天，大风天或预计1小时内有雨，请勿施药。4. 甘蓝每季最多使用1次；茶树每季最多使用2次，可间隔7-10天施1次药。</w:t>
            </w:r>
          </w:p>
        </w:tc>
      </w:tr>
      <w:tr w14:paraId="72F05D44">
        <w:tblPrEx>
          <w:tblCellMar>
            <w:top w:w="0" w:type="dxa"/>
            <w:left w:w="0" w:type="dxa"/>
            <w:bottom w:w="0" w:type="dxa"/>
            <w:right w:w="0" w:type="dxa"/>
          </w:tblCellMar>
        </w:tblPrEx>
        <w:trPr>
          <w:tblCellSpacing w:w="0" w:type="dxa"/>
        </w:trPr>
        <w:tc>
          <w:tcPr>
            <w:tcW w:w="0" w:type="auto"/>
            <w:vAlign w:val="center"/>
          </w:tcPr>
          <w:p w14:paraId="30A9349B">
            <w:r>
              <w:rPr>
                <w:rStyle w:val="10"/>
                <w:rFonts w:hint="eastAsia"/>
              </w:rPr>
              <w:t>产品性能:</w:t>
            </w:r>
            <w:r>
              <w:rPr>
                <w:rFonts w:hint="eastAsia"/>
              </w:rPr>
              <w:br w:type="textWrapping"/>
            </w:r>
            <w:r>
              <w:rPr>
                <w:rStyle w:val="11"/>
                <w:rFonts w:hint="eastAsia"/>
              </w:rPr>
              <w:t>1.本品是一种硫脲类杀虫剂。2.丁醚脲在紫外线照射下或在虫体内多功能氧化酶的帮助下，分解为对害虫有较强生物活性的碳化二亚胺，阻断害虫呼吸通道，使害虫僵硬死亡。本品对小菜蛾和茶树茶小绿叶蝉防效较好。</w:t>
            </w:r>
          </w:p>
        </w:tc>
      </w:tr>
      <w:tr w14:paraId="7229E010">
        <w:tblPrEx>
          <w:tblCellMar>
            <w:top w:w="0" w:type="dxa"/>
            <w:left w:w="0" w:type="dxa"/>
            <w:bottom w:w="0" w:type="dxa"/>
            <w:right w:w="0" w:type="dxa"/>
          </w:tblCellMar>
        </w:tblPrEx>
        <w:trPr>
          <w:tblCellSpacing w:w="0" w:type="dxa"/>
        </w:trPr>
        <w:tc>
          <w:tcPr>
            <w:tcW w:w="0" w:type="auto"/>
            <w:vAlign w:val="center"/>
          </w:tcPr>
          <w:p w14:paraId="59C42BBC">
            <w:r>
              <w:rPr>
                <w:rStyle w:val="10"/>
                <w:rFonts w:hint="eastAsia"/>
              </w:rPr>
              <w:t>注意事项：</w:t>
            </w:r>
            <w:r>
              <w:rPr>
                <w:rFonts w:hint="eastAsia"/>
              </w:rPr>
              <w:br w:type="textWrapping"/>
            </w:r>
            <w:r>
              <w:rPr>
                <w:rStyle w:val="11"/>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2.施药前后要彻底清洗喷药器械，洗涤后的废水不应污染河流等水源，未用完的药液应密封后妥善放置。3.开启封口应小心药液溅出，废弃包装物应冲洗压扁后深埋或由生产企业回收处理。 4.桑蚕地区及开花植物花期禁止使用，药液及其废液不得污染各类水域、土壤等环境。严禁药液流入河塘，施药器械不得在河塘内洗涤。 5.建议与其他作用机制不同的杀虫剂轮换使用，以延缓抗性产生。6.孕妇及哺乳期妇女禁止接触本品。</w:t>
            </w:r>
          </w:p>
        </w:tc>
      </w:tr>
      <w:tr w14:paraId="6AC7221A">
        <w:tblPrEx>
          <w:tblCellMar>
            <w:top w:w="0" w:type="dxa"/>
            <w:left w:w="0" w:type="dxa"/>
            <w:bottom w:w="0" w:type="dxa"/>
            <w:right w:w="0" w:type="dxa"/>
          </w:tblCellMar>
        </w:tblPrEx>
        <w:trPr>
          <w:tblCellSpacing w:w="0" w:type="dxa"/>
        </w:trPr>
        <w:tc>
          <w:tcPr>
            <w:tcW w:w="0" w:type="auto"/>
            <w:vAlign w:val="center"/>
          </w:tcPr>
          <w:p w14:paraId="5B99AB1E">
            <w:r>
              <w:rPr>
                <w:rStyle w:val="10"/>
                <w:rFonts w:hint="eastAsia"/>
              </w:rPr>
              <w:t>中毒急救措施：</w:t>
            </w:r>
            <w:r>
              <w:rPr>
                <w:rFonts w:hint="eastAsia"/>
              </w:rPr>
              <w:br w:type="textWrapping"/>
            </w:r>
            <w:r>
              <w:rPr>
                <w:rStyle w:val="11"/>
                <w:rFonts w:hint="eastAsia"/>
              </w:rPr>
              <w:t>1.本品如误入眼睛，立即用清水至少冲洗15分钟，仍有不适应立即就医；如接触皮肤，立即用清水冲洗并换洗衣物； 2.如不慎中毒，请立即携带本标签将病人送医院对症治疗。本品无特殊解毒剂。</w:t>
            </w:r>
          </w:p>
        </w:tc>
      </w:tr>
      <w:tr w14:paraId="29A5C7EB">
        <w:tblPrEx>
          <w:tblCellMar>
            <w:top w:w="0" w:type="dxa"/>
            <w:left w:w="0" w:type="dxa"/>
            <w:bottom w:w="0" w:type="dxa"/>
            <w:right w:w="0" w:type="dxa"/>
          </w:tblCellMar>
        </w:tblPrEx>
        <w:trPr>
          <w:tblCellSpacing w:w="0" w:type="dxa"/>
        </w:trPr>
        <w:tc>
          <w:tcPr>
            <w:tcW w:w="0" w:type="auto"/>
            <w:vAlign w:val="center"/>
          </w:tcPr>
          <w:p w14:paraId="4EB1A8A3">
            <w:r>
              <w:rPr>
                <w:rStyle w:val="10"/>
                <w:rFonts w:hint="eastAsia"/>
              </w:rPr>
              <w:t>储存和运输方法：</w:t>
            </w:r>
            <w:r>
              <w:rPr>
                <w:rFonts w:hint="eastAsia"/>
              </w:rPr>
              <w:br w:type="textWrapping"/>
            </w:r>
            <w:r>
              <w:rPr>
                <w:rStyle w:val="11"/>
                <w:rFonts w:hint="eastAsia"/>
              </w:rPr>
              <w:t>本品贮存应注意阴凉、干燥、通风，远离火源，不能与食品、饮料、粮食、饲料等物品同贮同运。远离儿童及家畜，加锁保存，以免误服。避免与皮肤、眼睛接触。装卸运输时注意检查包装是否密封完整，轻拿轻放，不可倒置。</w:t>
            </w:r>
          </w:p>
        </w:tc>
      </w:tr>
      <w:tr w14:paraId="153F18CB">
        <w:tblPrEx>
          <w:tblCellMar>
            <w:top w:w="0" w:type="dxa"/>
            <w:left w:w="0" w:type="dxa"/>
            <w:bottom w:w="0" w:type="dxa"/>
            <w:right w:w="0" w:type="dxa"/>
          </w:tblCellMar>
        </w:tblPrEx>
        <w:trPr>
          <w:tblCellSpacing w:w="0" w:type="dxa"/>
        </w:trPr>
        <w:tc>
          <w:tcPr>
            <w:tcW w:w="0" w:type="auto"/>
            <w:vAlign w:val="center"/>
          </w:tcPr>
          <w:p w14:paraId="6F75EE69">
            <w:r>
              <w:rPr>
                <w:rStyle w:val="10"/>
                <w:rFonts w:hint="eastAsia"/>
              </w:rPr>
              <w:t>质量保证期：</w:t>
            </w:r>
            <w:r>
              <w:rPr>
                <w:rStyle w:val="11"/>
                <w:rFonts w:hint="eastAsia"/>
              </w:rPr>
              <w:t>2年</w:t>
            </w:r>
          </w:p>
        </w:tc>
      </w:tr>
      <w:tr w14:paraId="497548EF">
        <w:tblPrEx>
          <w:tblCellMar>
            <w:top w:w="0" w:type="dxa"/>
            <w:left w:w="0" w:type="dxa"/>
            <w:bottom w:w="0" w:type="dxa"/>
            <w:right w:w="0" w:type="dxa"/>
          </w:tblCellMar>
        </w:tblPrEx>
        <w:trPr>
          <w:tblCellSpacing w:w="0" w:type="dxa"/>
        </w:trPr>
        <w:tc>
          <w:tcPr>
            <w:tcW w:w="0" w:type="auto"/>
            <w:vAlign w:val="center"/>
          </w:tcPr>
          <w:p w14:paraId="61BFD37D">
            <w:r>
              <w:rPr>
                <w:rStyle w:val="10"/>
                <w:rFonts w:hint="eastAsia"/>
              </w:rPr>
              <w:t>备注：</w:t>
            </w:r>
          </w:p>
        </w:tc>
      </w:tr>
    </w:tbl>
    <w:p w14:paraId="58E91C2A">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CC20BCA">
        <w:tblPrEx>
          <w:tblCellMar>
            <w:top w:w="0" w:type="dxa"/>
            <w:left w:w="0" w:type="dxa"/>
            <w:bottom w:w="0" w:type="dxa"/>
            <w:right w:w="0" w:type="dxa"/>
          </w:tblCellMar>
        </w:tblPrEx>
        <w:trPr>
          <w:tblCellSpacing w:w="0" w:type="dxa"/>
        </w:trPr>
        <w:tc>
          <w:tcPr>
            <w:tcW w:w="0" w:type="auto"/>
            <w:vAlign w:val="center"/>
          </w:tcPr>
          <w:p w14:paraId="7E6AF619">
            <w:r>
              <w:rPr>
                <w:rStyle w:val="10"/>
                <w:rFonts w:hint="eastAsia"/>
              </w:rPr>
              <w:t>登记证号：</w:t>
            </w:r>
            <w:r>
              <w:rPr>
                <w:rFonts w:hint="eastAsia"/>
              </w:rPr>
              <w:t>WP20150183</w:t>
            </w:r>
          </w:p>
        </w:tc>
      </w:tr>
      <w:tr w14:paraId="4C1EC286">
        <w:tblPrEx>
          <w:tblCellMar>
            <w:top w:w="0" w:type="dxa"/>
            <w:left w:w="0" w:type="dxa"/>
            <w:bottom w:w="0" w:type="dxa"/>
            <w:right w:w="0" w:type="dxa"/>
          </w:tblCellMar>
        </w:tblPrEx>
        <w:trPr>
          <w:tblCellSpacing w:w="0" w:type="dxa"/>
        </w:trPr>
        <w:tc>
          <w:tcPr>
            <w:tcW w:w="0" w:type="auto"/>
            <w:vAlign w:val="center"/>
          </w:tcPr>
          <w:p w14:paraId="7C14B334">
            <w:r>
              <w:rPr>
                <w:rStyle w:val="10"/>
                <w:rFonts w:hint="eastAsia"/>
              </w:rPr>
              <w:t>登记证持有人：</w:t>
            </w:r>
            <w:r>
              <w:rPr>
                <w:rFonts w:hint="eastAsia"/>
              </w:rPr>
              <w:t>广州超威日用化学用品有限公司</w:t>
            </w:r>
          </w:p>
        </w:tc>
      </w:tr>
      <w:tr w14:paraId="00C4F003">
        <w:tblPrEx>
          <w:tblCellMar>
            <w:top w:w="0" w:type="dxa"/>
            <w:left w:w="0" w:type="dxa"/>
            <w:bottom w:w="0" w:type="dxa"/>
            <w:right w:w="0" w:type="dxa"/>
          </w:tblCellMar>
        </w:tblPrEx>
        <w:trPr>
          <w:tblCellSpacing w:w="0" w:type="dxa"/>
        </w:trPr>
        <w:tc>
          <w:tcPr>
            <w:tcW w:w="0" w:type="auto"/>
            <w:vAlign w:val="center"/>
          </w:tcPr>
          <w:p w14:paraId="2B163CE6">
            <w:r>
              <w:rPr>
                <w:rStyle w:val="10"/>
                <w:rFonts w:hint="eastAsia"/>
              </w:rPr>
              <w:t>农药名称：</w:t>
            </w:r>
            <w:r>
              <w:rPr>
                <w:rFonts w:hint="eastAsia"/>
              </w:rPr>
              <w:t>杀虫气雾剂</w:t>
            </w:r>
          </w:p>
        </w:tc>
      </w:tr>
      <w:tr w14:paraId="4E1B0CEB">
        <w:tblPrEx>
          <w:tblCellMar>
            <w:top w:w="0" w:type="dxa"/>
            <w:left w:w="0" w:type="dxa"/>
            <w:bottom w:w="0" w:type="dxa"/>
            <w:right w:w="0" w:type="dxa"/>
          </w:tblCellMar>
        </w:tblPrEx>
        <w:trPr>
          <w:tblCellSpacing w:w="0" w:type="dxa"/>
        </w:trPr>
        <w:tc>
          <w:tcPr>
            <w:tcW w:w="0" w:type="auto"/>
            <w:vAlign w:val="center"/>
          </w:tcPr>
          <w:p w14:paraId="55096A76">
            <w:r>
              <w:rPr>
                <w:rStyle w:val="10"/>
                <w:rFonts w:hint="eastAsia"/>
              </w:rPr>
              <w:t>剂型：</w:t>
            </w:r>
            <w:r>
              <w:rPr>
                <w:rFonts w:hint="eastAsia"/>
              </w:rPr>
              <w:t>气雾剂</w:t>
            </w:r>
          </w:p>
        </w:tc>
      </w:tr>
      <w:tr w14:paraId="51B2601D">
        <w:tblPrEx>
          <w:tblCellMar>
            <w:top w:w="0" w:type="dxa"/>
            <w:left w:w="0" w:type="dxa"/>
            <w:bottom w:w="0" w:type="dxa"/>
            <w:right w:w="0" w:type="dxa"/>
          </w:tblCellMar>
        </w:tblPrEx>
        <w:trPr>
          <w:tblCellSpacing w:w="0" w:type="dxa"/>
        </w:trPr>
        <w:tc>
          <w:tcPr>
            <w:tcW w:w="0" w:type="auto"/>
            <w:vAlign w:val="center"/>
          </w:tcPr>
          <w:p w14:paraId="44F32E88">
            <w:r>
              <w:rPr>
                <w:rStyle w:val="10"/>
                <w:rFonts w:hint="eastAsia"/>
              </w:rPr>
              <w:t>毒性及其标识：</w:t>
            </w:r>
            <w:r>
              <w:rPr>
                <w:rFonts w:hint="eastAsia"/>
              </w:rPr>
              <w:t xml:space="preserve"> 微毒 </w:t>
            </w:r>
          </w:p>
        </w:tc>
      </w:tr>
      <w:tr w14:paraId="6E8D426E">
        <w:trPr>
          <w:tblCellSpacing w:w="0" w:type="dxa"/>
        </w:trPr>
        <w:tc>
          <w:tcPr>
            <w:tcW w:w="0" w:type="auto"/>
            <w:vAlign w:val="center"/>
          </w:tcPr>
          <w:p w14:paraId="0D76BAB5">
            <w:r>
              <w:rPr>
                <w:rStyle w:val="10"/>
                <w:rFonts w:hint="eastAsia"/>
              </w:rPr>
              <w:t>总有效成分含量：</w:t>
            </w:r>
            <w:r>
              <w:rPr>
                <w:rFonts w:hint="eastAsia"/>
              </w:rPr>
              <w:t>0.34%</w:t>
            </w:r>
          </w:p>
        </w:tc>
      </w:tr>
      <w:tr w14:paraId="10B0FD90">
        <w:tblPrEx>
          <w:tblCellMar>
            <w:top w:w="0" w:type="dxa"/>
            <w:left w:w="0" w:type="dxa"/>
            <w:bottom w:w="0" w:type="dxa"/>
            <w:right w:w="0" w:type="dxa"/>
          </w:tblCellMar>
        </w:tblPrEx>
        <w:trPr>
          <w:tblCellSpacing w:w="0" w:type="dxa"/>
        </w:trPr>
        <w:tc>
          <w:tcPr>
            <w:tcW w:w="0" w:type="auto"/>
            <w:vAlign w:val="center"/>
          </w:tcPr>
          <w:p w14:paraId="4973D6F5">
            <w:r>
              <w:rPr>
                <w:rFonts w:hint="eastAsia"/>
              </w:rPr>
              <w:t xml:space="preserve">有效成分及其含量： </w:t>
            </w:r>
          </w:p>
          <w:p w14:paraId="1F5B5C2F">
            <w:r>
              <w:rPr>
                <w:rFonts w:hint="eastAsia"/>
              </w:rPr>
              <w:t xml:space="preserve">    氯菊酯0.3%    右旋反式氯丙炔菊酯0.04%    </w:t>
            </w:r>
          </w:p>
        </w:tc>
      </w:tr>
      <w:tr w14:paraId="41B81EC2">
        <w:tblPrEx>
          <w:tblCellMar>
            <w:top w:w="0" w:type="dxa"/>
            <w:left w:w="0" w:type="dxa"/>
            <w:bottom w:w="0" w:type="dxa"/>
            <w:right w:w="0" w:type="dxa"/>
          </w:tblCellMar>
        </w:tblPrEx>
        <w:trPr>
          <w:tblCellSpacing w:w="0" w:type="dxa"/>
        </w:trPr>
        <w:tc>
          <w:tcPr>
            <w:tcW w:w="0" w:type="auto"/>
            <w:vAlign w:val="center"/>
          </w:tcPr>
          <w:p w14:paraId="3E73572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7E66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6559DB3">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7A153B">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0BCCDD1">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86F72CA">
                  <w:r>
                    <w:rPr>
                      <w:rStyle w:val="11"/>
                      <w:rFonts w:hint="eastAsia"/>
                    </w:rPr>
                    <w:t>施用方式</w:t>
                  </w:r>
                </w:p>
              </w:tc>
            </w:tr>
            <w:tr w14:paraId="652FA2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46CEC9">
                  <w:r>
                    <w:rPr>
                      <w:rStyle w:val="11"/>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7A1F6F4D">
                  <w:r>
                    <w:rPr>
                      <w:rStyle w:val="11"/>
                      <w:rFonts w:hint="eastAsia"/>
                    </w:rPr>
                    <w:t>臭虫</w:t>
                  </w:r>
                </w:p>
              </w:tc>
              <w:tc>
                <w:tcPr>
                  <w:tcW w:w="0" w:type="auto"/>
                  <w:tcBorders>
                    <w:top w:val="outset" w:color="auto" w:sz="6" w:space="0"/>
                    <w:left w:val="outset" w:color="auto" w:sz="6" w:space="0"/>
                    <w:bottom w:val="outset" w:color="auto" w:sz="6" w:space="0"/>
                    <w:right w:val="outset" w:color="auto" w:sz="6" w:space="0"/>
                  </w:tcBorders>
                  <w:vAlign w:val="center"/>
                </w:tcPr>
                <w:p w14:paraId="55E50593">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1D00A841">
                  <w:r>
                    <w:rPr>
                      <w:rStyle w:val="11"/>
                      <w:rFonts w:hint="eastAsia"/>
                    </w:rPr>
                    <w:t>喷雾</w:t>
                  </w:r>
                </w:p>
              </w:tc>
            </w:tr>
            <w:tr w14:paraId="6273D0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4D9C82">
                  <w:r>
                    <w:rPr>
                      <w:rStyle w:val="11"/>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0656B84">
                  <w:r>
                    <w:rPr>
                      <w:rStyle w:val="11"/>
                      <w:rFonts w:hint="eastAsia"/>
                    </w:rPr>
                    <w:t>蚂蚁</w:t>
                  </w:r>
                </w:p>
              </w:tc>
              <w:tc>
                <w:tcPr>
                  <w:tcW w:w="0" w:type="auto"/>
                  <w:tcBorders>
                    <w:top w:val="outset" w:color="auto" w:sz="6" w:space="0"/>
                    <w:left w:val="outset" w:color="auto" w:sz="6" w:space="0"/>
                    <w:bottom w:val="outset" w:color="auto" w:sz="6" w:space="0"/>
                    <w:right w:val="outset" w:color="auto" w:sz="6" w:space="0"/>
                  </w:tcBorders>
                  <w:vAlign w:val="center"/>
                </w:tcPr>
                <w:p w14:paraId="5D53B2EC">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3DAE9499">
                  <w:r>
                    <w:rPr>
                      <w:rStyle w:val="11"/>
                      <w:rFonts w:hint="eastAsia"/>
                    </w:rPr>
                    <w:t>喷雾</w:t>
                  </w:r>
                </w:p>
              </w:tc>
            </w:tr>
            <w:tr w14:paraId="2ADF2D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7E4C59">
                  <w:r>
                    <w:rPr>
                      <w:rStyle w:val="11"/>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63DEE05">
                  <w:r>
                    <w:rPr>
                      <w:rStyle w:val="11"/>
                      <w:rFonts w:hint="eastAsia"/>
                    </w:rPr>
                    <w:t>跳蚤</w:t>
                  </w:r>
                </w:p>
              </w:tc>
              <w:tc>
                <w:tcPr>
                  <w:tcW w:w="0" w:type="auto"/>
                  <w:tcBorders>
                    <w:top w:val="outset" w:color="auto" w:sz="6" w:space="0"/>
                    <w:left w:val="outset" w:color="auto" w:sz="6" w:space="0"/>
                    <w:bottom w:val="outset" w:color="auto" w:sz="6" w:space="0"/>
                    <w:right w:val="outset" w:color="auto" w:sz="6" w:space="0"/>
                  </w:tcBorders>
                  <w:vAlign w:val="center"/>
                </w:tcPr>
                <w:p w14:paraId="077B6C15">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2BFB9DF3">
                  <w:r>
                    <w:rPr>
                      <w:rStyle w:val="11"/>
                      <w:rFonts w:hint="eastAsia"/>
                    </w:rPr>
                    <w:t>喷雾</w:t>
                  </w:r>
                </w:p>
              </w:tc>
            </w:tr>
            <w:tr w14:paraId="27DAB1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2FD829">
                  <w:r>
                    <w:rPr>
                      <w:rStyle w:val="11"/>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49D89F90">
                  <w:r>
                    <w:rPr>
                      <w:rStyle w:val="11"/>
                      <w:rFonts w:hint="eastAsia"/>
                    </w:rPr>
                    <w:t>蚊、蝇、蜚蠊</w:t>
                  </w:r>
                </w:p>
              </w:tc>
              <w:tc>
                <w:tcPr>
                  <w:tcW w:w="0" w:type="auto"/>
                  <w:tcBorders>
                    <w:top w:val="outset" w:color="auto" w:sz="6" w:space="0"/>
                    <w:left w:val="outset" w:color="auto" w:sz="6" w:space="0"/>
                    <w:bottom w:val="outset" w:color="auto" w:sz="6" w:space="0"/>
                    <w:right w:val="outset" w:color="auto" w:sz="6" w:space="0"/>
                  </w:tcBorders>
                  <w:vAlign w:val="center"/>
                </w:tcPr>
                <w:p w14:paraId="18F397A7">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72678AE5">
                  <w:r>
                    <w:rPr>
                      <w:rStyle w:val="11"/>
                      <w:rFonts w:hint="eastAsia"/>
                    </w:rPr>
                    <w:t>喷雾</w:t>
                  </w:r>
                </w:p>
              </w:tc>
            </w:tr>
          </w:tbl>
          <w:p w14:paraId="27B2AF25">
            <w:pPr>
              <w:rPr>
                <w:rFonts w:ascii="Times New Roman" w:hAnsi="Times New Roman" w:cs="Times New Roman"/>
                <w:sz w:val="20"/>
                <w:szCs w:val="20"/>
              </w:rPr>
            </w:pPr>
          </w:p>
        </w:tc>
      </w:tr>
      <w:tr w14:paraId="15DB4E03">
        <w:tblPrEx>
          <w:tblCellMar>
            <w:top w:w="0" w:type="dxa"/>
            <w:left w:w="0" w:type="dxa"/>
            <w:bottom w:w="0" w:type="dxa"/>
            <w:right w:w="0" w:type="dxa"/>
          </w:tblCellMar>
        </w:tblPrEx>
        <w:trPr>
          <w:tblCellSpacing w:w="0" w:type="dxa"/>
        </w:trPr>
        <w:tc>
          <w:tcPr>
            <w:tcW w:w="0" w:type="auto"/>
            <w:vAlign w:val="center"/>
          </w:tcPr>
          <w:p w14:paraId="0F29BD5A">
            <w:r>
              <w:rPr>
                <w:rStyle w:val="10"/>
                <w:rFonts w:hint="eastAsia"/>
              </w:rPr>
              <w:t>使用技术要求:</w:t>
            </w:r>
            <w:r>
              <w:rPr>
                <w:rFonts w:hint="eastAsia"/>
              </w:rPr>
              <w:br w:type="textWrapping"/>
            </w:r>
            <w:r>
              <w:rPr>
                <w:rStyle w:val="11"/>
                <w:rFonts w:hint="eastAsia"/>
              </w:rPr>
              <w:t>◆用前摇匀，罐体直立喷射，切勿倒置罐身喷射； ◆对准害虫喷射或关闭门窗，在距墙壁、家具约一米处向空中适量喷射； ◆使用后人畜需产即离开房间，20分钟后打开门窗充分能风后方可进入。</w:t>
            </w:r>
          </w:p>
        </w:tc>
      </w:tr>
      <w:tr w14:paraId="2575FE43">
        <w:tblPrEx>
          <w:tblCellMar>
            <w:top w:w="0" w:type="dxa"/>
            <w:left w:w="0" w:type="dxa"/>
            <w:bottom w:w="0" w:type="dxa"/>
            <w:right w:w="0" w:type="dxa"/>
          </w:tblCellMar>
        </w:tblPrEx>
        <w:trPr>
          <w:tblCellSpacing w:w="0" w:type="dxa"/>
        </w:trPr>
        <w:tc>
          <w:tcPr>
            <w:tcW w:w="0" w:type="auto"/>
            <w:vAlign w:val="center"/>
          </w:tcPr>
          <w:p w14:paraId="4EF4F91E">
            <w:r>
              <w:rPr>
                <w:rStyle w:val="10"/>
                <w:rFonts w:hint="eastAsia"/>
              </w:rPr>
              <w:t>产品性能:</w:t>
            </w:r>
            <w:r>
              <w:rPr>
                <w:rFonts w:hint="eastAsia"/>
              </w:rPr>
              <w:br w:type="textWrapping"/>
            </w:r>
            <w:r>
              <w:rPr>
                <w:rStyle w:val="11"/>
                <w:rFonts w:hint="eastAsia"/>
              </w:rPr>
              <w:t>本品采用右旋反式氯丙炔菊酯和氯菊酯为有效成分的杀虫气雾剂，能有效驱杀多种害虫，分别是蚊、蝇、蜚蠊、蚂蚁、跳蚤、臭虫。适合于家居、宾馆等室内使用。</w:t>
            </w:r>
          </w:p>
        </w:tc>
      </w:tr>
      <w:tr w14:paraId="4FD3EAEF">
        <w:tblPrEx>
          <w:tblCellMar>
            <w:top w:w="0" w:type="dxa"/>
            <w:left w:w="0" w:type="dxa"/>
            <w:bottom w:w="0" w:type="dxa"/>
            <w:right w:w="0" w:type="dxa"/>
          </w:tblCellMar>
        </w:tblPrEx>
        <w:trPr>
          <w:tblCellSpacing w:w="0" w:type="dxa"/>
        </w:trPr>
        <w:tc>
          <w:tcPr>
            <w:tcW w:w="0" w:type="auto"/>
            <w:vAlign w:val="center"/>
          </w:tcPr>
          <w:p w14:paraId="0398A9BB">
            <w:r>
              <w:rPr>
                <w:rStyle w:val="10"/>
                <w:rFonts w:hint="eastAsia"/>
              </w:rPr>
              <w:t>注意事项：</w:t>
            </w:r>
            <w:r>
              <w:rPr>
                <w:rFonts w:hint="eastAsia"/>
              </w:rPr>
              <w:br w:type="textWrapping"/>
            </w:r>
            <w:r>
              <w:rPr>
                <w:rStyle w:val="11"/>
                <w:rFonts w:hint="eastAsia"/>
              </w:rPr>
              <w:t>请按指示使用，置于儿童和宠物接触不到的地方。 使用后注意通风，勿倒置罐身使用，用后洗手，勿向人体、食物及餐具喷射。 本品对鱼类、蜂和蚕毒性高，蚕室及其附近禁用。 过敏者禁用，使用中有任何不良反应请及时就医。 本品属于压力包装产品，不得撞击，远离火源使用；切勿毁坏及焚烧，空罐勿投入火中，注意贮存、运输和使用安全。</w:t>
            </w:r>
          </w:p>
        </w:tc>
      </w:tr>
      <w:tr w14:paraId="56BAF884">
        <w:tblPrEx>
          <w:tblCellMar>
            <w:top w:w="0" w:type="dxa"/>
            <w:left w:w="0" w:type="dxa"/>
            <w:bottom w:w="0" w:type="dxa"/>
            <w:right w:w="0" w:type="dxa"/>
          </w:tblCellMar>
        </w:tblPrEx>
        <w:trPr>
          <w:tblCellSpacing w:w="0" w:type="dxa"/>
        </w:trPr>
        <w:tc>
          <w:tcPr>
            <w:tcW w:w="0" w:type="auto"/>
            <w:vAlign w:val="center"/>
          </w:tcPr>
          <w:p w14:paraId="6E70E50F">
            <w:r>
              <w:rPr>
                <w:rStyle w:val="10"/>
                <w:rFonts w:hint="eastAsia"/>
              </w:rPr>
              <w:t>中毒急救措施：</w:t>
            </w:r>
            <w:r>
              <w:rPr>
                <w:rFonts w:hint="eastAsia"/>
              </w:rPr>
              <w:br w:type="textWrapping"/>
            </w:r>
            <w:r>
              <w:rPr>
                <w:rStyle w:val="11"/>
                <w:rFonts w:hint="eastAsia"/>
              </w:rPr>
              <w:t>若误服或吸入不适，请速携标签就医。</w:t>
            </w:r>
          </w:p>
        </w:tc>
      </w:tr>
      <w:tr w14:paraId="7E94B64F">
        <w:trPr>
          <w:tblCellSpacing w:w="0" w:type="dxa"/>
        </w:trPr>
        <w:tc>
          <w:tcPr>
            <w:tcW w:w="0" w:type="auto"/>
            <w:vAlign w:val="center"/>
          </w:tcPr>
          <w:p w14:paraId="3C910D82">
            <w:r>
              <w:rPr>
                <w:rStyle w:val="10"/>
                <w:rFonts w:hint="eastAsia"/>
              </w:rPr>
              <w:t>储存和运输方法：</w:t>
            </w:r>
            <w:r>
              <w:rPr>
                <w:rFonts w:hint="eastAsia"/>
              </w:rPr>
              <w:br w:type="textWrapping"/>
            </w:r>
            <w:r>
              <w:rPr>
                <w:rStyle w:val="11"/>
                <w:rFonts w:hint="eastAsia"/>
              </w:rPr>
              <w:t>本品应贮存在干燥、阴凉、通风、防雨处，远离火源或热源，存放在50℃以下的干燥通风环境中，避免阳光直晒，远离火源、热源。 勿与食品、饮料、饲料、种子、粮食及易燃易爆品同贮同运。产品及用完的空罐应妥善处理，切勿刺穿及投入火中。 请置于儿童触及不到之处并加锁保存。</w:t>
            </w:r>
          </w:p>
        </w:tc>
      </w:tr>
      <w:tr w14:paraId="1BBC4ACA">
        <w:tblPrEx>
          <w:tblCellMar>
            <w:top w:w="0" w:type="dxa"/>
            <w:left w:w="0" w:type="dxa"/>
            <w:bottom w:w="0" w:type="dxa"/>
            <w:right w:w="0" w:type="dxa"/>
          </w:tblCellMar>
        </w:tblPrEx>
        <w:trPr>
          <w:tblCellSpacing w:w="0" w:type="dxa"/>
        </w:trPr>
        <w:tc>
          <w:tcPr>
            <w:tcW w:w="0" w:type="auto"/>
            <w:vAlign w:val="center"/>
          </w:tcPr>
          <w:p w14:paraId="20F2E1D7">
            <w:r>
              <w:rPr>
                <w:rStyle w:val="10"/>
                <w:rFonts w:hint="eastAsia"/>
              </w:rPr>
              <w:t>质量保证期：</w:t>
            </w:r>
            <w:r>
              <w:rPr>
                <w:rStyle w:val="11"/>
                <w:rFonts w:hint="eastAsia"/>
              </w:rPr>
              <w:t>2年</w:t>
            </w:r>
          </w:p>
        </w:tc>
      </w:tr>
      <w:tr w14:paraId="0C06988B">
        <w:tblPrEx>
          <w:tblCellMar>
            <w:top w:w="0" w:type="dxa"/>
            <w:left w:w="0" w:type="dxa"/>
            <w:bottom w:w="0" w:type="dxa"/>
            <w:right w:w="0" w:type="dxa"/>
          </w:tblCellMar>
        </w:tblPrEx>
        <w:trPr>
          <w:tblCellSpacing w:w="0" w:type="dxa"/>
        </w:trPr>
        <w:tc>
          <w:tcPr>
            <w:tcW w:w="0" w:type="auto"/>
            <w:vAlign w:val="center"/>
          </w:tcPr>
          <w:p w14:paraId="32D3D504">
            <w:r>
              <w:rPr>
                <w:rStyle w:val="10"/>
                <w:rFonts w:hint="eastAsia"/>
              </w:rPr>
              <w:t>备注：</w:t>
            </w:r>
          </w:p>
        </w:tc>
      </w:tr>
    </w:tbl>
    <w:p w14:paraId="024F3AF4">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C41FA41">
        <w:trPr>
          <w:tblCellSpacing w:w="0" w:type="dxa"/>
        </w:trPr>
        <w:tc>
          <w:tcPr>
            <w:tcW w:w="0" w:type="auto"/>
            <w:vAlign w:val="center"/>
          </w:tcPr>
          <w:p w14:paraId="1CF38F3F">
            <w:r>
              <w:rPr>
                <w:rStyle w:val="10"/>
                <w:rFonts w:hint="eastAsia"/>
              </w:rPr>
              <w:t>登记证号：</w:t>
            </w:r>
            <w:r>
              <w:rPr>
                <w:rFonts w:hint="eastAsia"/>
              </w:rPr>
              <w:t>PD20182447</w:t>
            </w:r>
          </w:p>
        </w:tc>
      </w:tr>
      <w:tr w14:paraId="0DAFAD2D">
        <w:tblPrEx>
          <w:tblCellMar>
            <w:top w:w="0" w:type="dxa"/>
            <w:left w:w="0" w:type="dxa"/>
            <w:bottom w:w="0" w:type="dxa"/>
            <w:right w:w="0" w:type="dxa"/>
          </w:tblCellMar>
        </w:tblPrEx>
        <w:trPr>
          <w:tblCellSpacing w:w="0" w:type="dxa"/>
        </w:trPr>
        <w:tc>
          <w:tcPr>
            <w:tcW w:w="0" w:type="auto"/>
            <w:vAlign w:val="center"/>
          </w:tcPr>
          <w:p w14:paraId="46255E54">
            <w:r>
              <w:rPr>
                <w:rStyle w:val="10"/>
                <w:rFonts w:hint="eastAsia"/>
              </w:rPr>
              <w:t>登记证持有人：</w:t>
            </w:r>
            <w:r>
              <w:rPr>
                <w:rFonts w:hint="eastAsia"/>
              </w:rPr>
              <w:t>山东兆丰年生物科技有限公司</w:t>
            </w:r>
          </w:p>
        </w:tc>
      </w:tr>
      <w:tr w14:paraId="4A97E517">
        <w:tblPrEx>
          <w:tblCellMar>
            <w:top w:w="0" w:type="dxa"/>
            <w:left w:w="0" w:type="dxa"/>
            <w:bottom w:w="0" w:type="dxa"/>
            <w:right w:w="0" w:type="dxa"/>
          </w:tblCellMar>
        </w:tblPrEx>
        <w:trPr>
          <w:tblCellSpacing w:w="0" w:type="dxa"/>
        </w:trPr>
        <w:tc>
          <w:tcPr>
            <w:tcW w:w="0" w:type="auto"/>
            <w:vAlign w:val="center"/>
          </w:tcPr>
          <w:p w14:paraId="2BC00DBE">
            <w:r>
              <w:rPr>
                <w:rStyle w:val="10"/>
                <w:rFonts w:hint="eastAsia"/>
              </w:rPr>
              <w:t>农药名称：</w:t>
            </w:r>
            <w:r>
              <w:rPr>
                <w:rFonts w:hint="eastAsia"/>
              </w:rPr>
              <w:t>烟·硝·莠去津</w:t>
            </w:r>
          </w:p>
        </w:tc>
      </w:tr>
      <w:tr w14:paraId="5E5C6913">
        <w:tblPrEx>
          <w:tblCellMar>
            <w:top w:w="0" w:type="dxa"/>
            <w:left w:w="0" w:type="dxa"/>
            <w:bottom w:w="0" w:type="dxa"/>
            <w:right w:w="0" w:type="dxa"/>
          </w:tblCellMar>
        </w:tblPrEx>
        <w:trPr>
          <w:tblCellSpacing w:w="0" w:type="dxa"/>
        </w:trPr>
        <w:tc>
          <w:tcPr>
            <w:tcW w:w="0" w:type="auto"/>
            <w:vAlign w:val="center"/>
          </w:tcPr>
          <w:p w14:paraId="27DAF833">
            <w:r>
              <w:rPr>
                <w:rStyle w:val="10"/>
                <w:rFonts w:hint="eastAsia"/>
              </w:rPr>
              <w:t>剂型：</w:t>
            </w:r>
            <w:r>
              <w:rPr>
                <w:rFonts w:hint="eastAsia"/>
              </w:rPr>
              <w:t>可分散油悬浮剂</w:t>
            </w:r>
          </w:p>
        </w:tc>
      </w:tr>
      <w:tr w14:paraId="1BEFDBA3">
        <w:tblPrEx>
          <w:tblCellMar>
            <w:top w:w="0" w:type="dxa"/>
            <w:left w:w="0" w:type="dxa"/>
            <w:bottom w:w="0" w:type="dxa"/>
            <w:right w:w="0" w:type="dxa"/>
          </w:tblCellMar>
        </w:tblPrEx>
        <w:trPr>
          <w:tblCellSpacing w:w="0" w:type="dxa"/>
        </w:trPr>
        <w:tc>
          <w:tcPr>
            <w:tcW w:w="0" w:type="auto"/>
            <w:vAlign w:val="center"/>
          </w:tcPr>
          <w:p w14:paraId="2AA8E34E">
            <w:r>
              <w:rPr>
                <w:rStyle w:val="10"/>
                <w:rFonts w:hint="eastAsia"/>
              </w:rPr>
              <w:t>毒性及其标识：</w:t>
            </w:r>
            <w:r>
              <w:rPr>
                <w:rFonts w:hint="eastAsia"/>
              </w:rPr>
              <w:t xml:space="preserve"> </w:t>
            </w:r>
            <w:r>
              <w:drawing>
                <wp:inline distT="0" distB="0" distL="0" distR="0">
                  <wp:extent cx="474345" cy="323850"/>
                  <wp:effectExtent l="0" t="0" r="1905"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525235B2">
        <w:tblPrEx>
          <w:tblCellMar>
            <w:top w:w="0" w:type="dxa"/>
            <w:left w:w="0" w:type="dxa"/>
            <w:bottom w:w="0" w:type="dxa"/>
            <w:right w:w="0" w:type="dxa"/>
          </w:tblCellMar>
        </w:tblPrEx>
        <w:trPr>
          <w:tblCellSpacing w:w="0" w:type="dxa"/>
        </w:trPr>
        <w:tc>
          <w:tcPr>
            <w:tcW w:w="0" w:type="auto"/>
            <w:vAlign w:val="center"/>
          </w:tcPr>
          <w:p w14:paraId="46EBBB2E">
            <w:r>
              <w:rPr>
                <w:rStyle w:val="10"/>
                <w:rFonts w:hint="eastAsia"/>
              </w:rPr>
              <w:t>总有效成分含量：</w:t>
            </w:r>
            <w:r>
              <w:rPr>
                <w:rFonts w:hint="eastAsia"/>
              </w:rPr>
              <w:t>30%</w:t>
            </w:r>
          </w:p>
        </w:tc>
      </w:tr>
      <w:tr w14:paraId="3BA8E19B">
        <w:tblPrEx>
          <w:tblCellMar>
            <w:top w:w="0" w:type="dxa"/>
            <w:left w:w="0" w:type="dxa"/>
            <w:bottom w:w="0" w:type="dxa"/>
            <w:right w:w="0" w:type="dxa"/>
          </w:tblCellMar>
        </w:tblPrEx>
        <w:trPr>
          <w:tblCellSpacing w:w="0" w:type="dxa"/>
        </w:trPr>
        <w:tc>
          <w:tcPr>
            <w:tcW w:w="0" w:type="auto"/>
            <w:vAlign w:val="center"/>
          </w:tcPr>
          <w:p w14:paraId="153EEF3B">
            <w:r>
              <w:rPr>
                <w:rFonts w:hint="eastAsia"/>
              </w:rPr>
              <w:t xml:space="preserve">有效成分及其含量： </w:t>
            </w:r>
          </w:p>
          <w:p w14:paraId="671324C1">
            <w:r>
              <w:rPr>
                <w:rFonts w:hint="eastAsia"/>
              </w:rPr>
              <w:t xml:space="preserve">    莠去津20%    硝磺草酮7%    烟嘧磺隆3%    </w:t>
            </w:r>
          </w:p>
        </w:tc>
      </w:tr>
      <w:tr w14:paraId="063325D0">
        <w:tblPrEx>
          <w:tblCellMar>
            <w:top w:w="0" w:type="dxa"/>
            <w:left w:w="0" w:type="dxa"/>
            <w:bottom w:w="0" w:type="dxa"/>
            <w:right w:w="0" w:type="dxa"/>
          </w:tblCellMar>
        </w:tblPrEx>
        <w:trPr>
          <w:tblCellSpacing w:w="0" w:type="dxa"/>
        </w:trPr>
        <w:tc>
          <w:tcPr>
            <w:tcW w:w="0" w:type="auto"/>
            <w:vAlign w:val="center"/>
          </w:tcPr>
          <w:p w14:paraId="4CA680F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899F4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D68FD0">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6FA2621">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4A8CFB">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3433E9">
                  <w:r>
                    <w:rPr>
                      <w:rStyle w:val="11"/>
                      <w:rFonts w:hint="eastAsia"/>
                    </w:rPr>
                    <w:t>施用方式</w:t>
                  </w:r>
                </w:p>
              </w:tc>
            </w:tr>
            <w:tr w14:paraId="32946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FF80F3">
                  <w:r>
                    <w:rPr>
                      <w:rStyle w:val="11"/>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1C42710B">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2D8982A">
                  <w:r>
                    <w:rPr>
                      <w:rStyle w:val="11"/>
                      <w:rFonts w:hint="eastAsia"/>
                    </w:rPr>
                    <w:t>100-120毫升/亩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776C8D3E">
                  <w:r>
                    <w:rPr>
                      <w:rStyle w:val="11"/>
                      <w:rFonts w:hint="eastAsia"/>
                    </w:rPr>
                    <w:t>茎叶喷雾</w:t>
                  </w:r>
                </w:p>
              </w:tc>
            </w:tr>
          </w:tbl>
          <w:p w14:paraId="52F1857F">
            <w:pPr>
              <w:rPr>
                <w:rFonts w:ascii="Times New Roman" w:hAnsi="Times New Roman" w:cs="Times New Roman"/>
                <w:sz w:val="20"/>
                <w:szCs w:val="20"/>
              </w:rPr>
            </w:pPr>
          </w:p>
        </w:tc>
      </w:tr>
      <w:tr w14:paraId="68978F41">
        <w:trPr>
          <w:tblCellSpacing w:w="0" w:type="dxa"/>
        </w:trPr>
        <w:tc>
          <w:tcPr>
            <w:tcW w:w="0" w:type="auto"/>
            <w:vAlign w:val="center"/>
          </w:tcPr>
          <w:p w14:paraId="2FF269C5">
            <w:r>
              <w:rPr>
                <w:rStyle w:val="10"/>
                <w:rFonts w:hint="eastAsia"/>
              </w:rPr>
              <w:t>使用技术要求:</w:t>
            </w:r>
            <w:r>
              <w:rPr>
                <w:rFonts w:hint="eastAsia"/>
              </w:rPr>
              <w:br w:type="textWrapping"/>
            </w:r>
            <w:r>
              <w:rPr>
                <w:rStyle w:val="11"/>
                <w:rFonts w:hint="eastAsia"/>
              </w:rPr>
              <w:t>1.本品于玉米苗后3-5叶期，一年生杂草2-4叶期，使用效果最佳。2、正常气候条件下，本品对后茬作物安全。后茬种植小麦需间隔3个月以上，后茬种植棉花、花生、马铃薯、大豆、向日葵需间隔8个月以上。其它作物需间隔18个月以上。3、高温、干旱季节施药应选择傍晚进行。在干旱的气候条件下，施药前灌水或雨后施药会有利于药效发挥。4、本品每季使用1次。</w:t>
            </w:r>
          </w:p>
        </w:tc>
      </w:tr>
      <w:tr w14:paraId="310E0994">
        <w:tblPrEx>
          <w:tblCellMar>
            <w:top w:w="0" w:type="dxa"/>
            <w:left w:w="0" w:type="dxa"/>
            <w:bottom w:w="0" w:type="dxa"/>
            <w:right w:w="0" w:type="dxa"/>
          </w:tblCellMar>
        </w:tblPrEx>
        <w:trPr>
          <w:tblCellSpacing w:w="0" w:type="dxa"/>
        </w:trPr>
        <w:tc>
          <w:tcPr>
            <w:tcW w:w="0" w:type="auto"/>
            <w:vAlign w:val="center"/>
          </w:tcPr>
          <w:p w14:paraId="551707D1">
            <w:r>
              <w:rPr>
                <w:rStyle w:val="10"/>
                <w:rFonts w:hint="eastAsia"/>
              </w:rPr>
              <w:t>产品性能:</w:t>
            </w:r>
            <w:r>
              <w:rPr>
                <w:rFonts w:hint="eastAsia"/>
              </w:rPr>
              <w:br w:type="textWrapping"/>
            </w:r>
            <w:r>
              <w:rPr>
                <w:rStyle w:val="11"/>
                <w:rFonts w:hint="eastAsia"/>
              </w:rPr>
              <w:t>本品为玉米田苗后茎叶处理除草剂，由三种不同作用机制的除草剂混配而成。三者混配具有杀草谱广、持效期长、杀草速度快等特点，能有效防除玉米田一年生杂草，如稗草、狗尾草、马唐、牛筋草、鸭趾草、看麦娘、马齿苋、藜、铁苋菜、自生麦苗等多种杂草。一次用药能保证玉米整个生育期不受杂草危害，在推荐剂量下对作物安全。</w:t>
            </w:r>
          </w:p>
        </w:tc>
      </w:tr>
      <w:tr w14:paraId="3E468702">
        <w:tblPrEx>
          <w:tblCellMar>
            <w:top w:w="0" w:type="dxa"/>
            <w:left w:w="0" w:type="dxa"/>
            <w:bottom w:w="0" w:type="dxa"/>
            <w:right w:w="0" w:type="dxa"/>
          </w:tblCellMar>
        </w:tblPrEx>
        <w:trPr>
          <w:tblCellSpacing w:w="0" w:type="dxa"/>
        </w:trPr>
        <w:tc>
          <w:tcPr>
            <w:tcW w:w="0" w:type="auto"/>
            <w:vAlign w:val="center"/>
          </w:tcPr>
          <w:p w14:paraId="26F1A5C2">
            <w:r>
              <w:rPr>
                <w:rStyle w:val="10"/>
                <w:rFonts w:hint="eastAsia"/>
              </w:rPr>
              <w:t>注意事项：</w:t>
            </w:r>
            <w:r>
              <w:rPr>
                <w:rFonts w:hint="eastAsia"/>
              </w:rPr>
              <w:br w:type="textWrapping"/>
            </w:r>
            <w:r>
              <w:rPr>
                <w:rStyle w:val="11"/>
                <w:rFonts w:hint="eastAsia"/>
              </w:rPr>
              <w:t>1.使用前，请详细阅读本标签并按推荐方法和剂量使用。2.本剂不能与有机磷类农药混用，如使用有机磷类农药，间隔期必须在7天以上。3、施药后，玉米个别品种或个别叶片出现白化条纹，属于正常药性反应，对玉米生长无不良反应。4、本剂如在玉米5叶期以后用药，应压低喷头顺垄喷雾，防止药液喷洒在小喇叭口内。5、本剂不能用弥雾机施药，以免产生药害。远离水产养殖区、河塘等水域施药。 6.甜玉米、糯玉米、爆裂玉米、玉米自交系及制种田不宜使用，个别玉米新品种对烟嘧磺隆敏感，使用时应注意对玉米的安全性。7、用药前要充分摇匀，喷药不要漏喷、重喷。药液量过少喷不均匀或过多落入地面都影响药效。8、异常的高温高湿天气不宜用药。9、因本品含莠去津、对豆类、水稻、瓜类、杨树、桃树敏感，防止药液飘移。10、施药时穿长衣长裤、戴手套、口罩等，此时不能饮食、吸烟等；施药后洗干净手脸等。11、 清洗器具的废水不能排入河流、池塘等水源。水产养殖区、河塘等水体附近禁用。禁止在河塘清洗器具。废瓶应妥善处理，不可作他用，也不可随意丢弃。 12、本品不能与呈碱性的农药等物质混用。地下水、饮用水，水源地附近禁用。13、赤眼蜂等天敌放飞区域禁用。14、避免孕妇及哺乳期的妇女接触。</w:t>
            </w:r>
          </w:p>
        </w:tc>
      </w:tr>
      <w:tr w14:paraId="17DEEBB6">
        <w:tblPrEx>
          <w:tblCellMar>
            <w:top w:w="0" w:type="dxa"/>
            <w:left w:w="0" w:type="dxa"/>
            <w:bottom w:w="0" w:type="dxa"/>
            <w:right w:w="0" w:type="dxa"/>
          </w:tblCellMar>
        </w:tblPrEx>
        <w:trPr>
          <w:tblCellSpacing w:w="0" w:type="dxa"/>
        </w:trPr>
        <w:tc>
          <w:tcPr>
            <w:tcW w:w="0" w:type="auto"/>
            <w:vAlign w:val="center"/>
          </w:tcPr>
          <w:p w14:paraId="67D021D0">
            <w:r>
              <w:rPr>
                <w:rStyle w:val="10"/>
                <w:rFonts w:hint="eastAsia"/>
              </w:rPr>
              <w:t>中毒急救措施：</w:t>
            </w:r>
            <w:r>
              <w:rPr>
                <w:rFonts w:hint="eastAsia"/>
              </w:rPr>
              <w:br w:type="textWrapping"/>
            </w:r>
            <w:r>
              <w:rPr>
                <w:rStyle w:val="11"/>
                <w:rFonts w:hint="eastAsia"/>
              </w:rPr>
              <w:t>1）对眼睛不具刺激性，使用中或停止使用后如果感觉不适，应立即停止工作，采取急救措施，并携带标签送医院就诊。 2）皮肤接触：立即脱掉被污染的衣物，用大量清水冲洗被污染的皮肤，必要时请医生诊治。 3）眼睛溅药：立即将眼睑翻开，用清水轻柔地冲洗至少15分钟。4）发生吸入：立即离开施药现场，转移到空气清新处 5）误食：立即停止服用，用清水充分漱口后，立即携带标签，送医就诊。</w:t>
            </w:r>
          </w:p>
        </w:tc>
      </w:tr>
      <w:tr w14:paraId="489BAA2D">
        <w:tblPrEx>
          <w:tblCellMar>
            <w:top w:w="0" w:type="dxa"/>
            <w:left w:w="0" w:type="dxa"/>
            <w:bottom w:w="0" w:type="dxa"/>
            <w:right w:w="0" w:type="dxa"/>
          </w:tblCellMar>
        </w:tblPrEx>
        <w:trPr>
          <w:tblCellSpacing w:w="0" w:type="dxa"/>
        </w:trPr>
        <w:tc>
          <w:tcPr>
            <w:tcW w:w="0" w:type="auto"/>
            <w:vAlign w:val="center"/>
          </w:tcPr>
          <w:p w14:paraId="48B514E9">
            <w:r>
              <w:rPr>
                <w:rStyle w:val="10"/>
                <w:rFonts w:hint="eastAsia"/>
              </w:rPr>
              <w:t>储存和运输方法：</w:t>
            </w:r>
            <w:r>
              <w:rPr>
                <w:rFonts w:hint="eastAsia"/>
              </w:rPr>
              <w:br w:type="textWrapping"/>
            </w:r>
            <w:r>
              <w:rPr>
                <w:rStyle w:val="11"/>
                <w:rFonts w:hint="eastAsia"/>
              </w:rPr>
              <w:t>本品存放于阴凉、干燥、通风处。远离儿童、火源或热源存放，并加锁。置于儿童及无关人员触及不到之处。勿与食品、饮料、饲料、粮食等其他商品同贮同运。</w:t>
            </w:r>
          </w:p>
        </w:tc>
      </w:tr>
      <w:tr w14:paraId="013313F2">
        <w:tblPrEx>
          <w:tblCellMar>
            <w:top w:w="0" w:type="dxa"/>
            <w:left w:w="0" w:type="dxa"/>
            <w:bottom w:w="0" w:type="dxa"/>
            <w:right w:w="0" w:type="dxa"/>
          </w:tblCellMar>
        </w:tblPrEx>
        <w:trPr>
          <w:tblCellSpacing w:w="0" w:type="dxa"/>
        </w:trPr>
        <w:tc>
          <w:tcPr>
            <w:tcW w:w="0" w:type="auto"/>
            <w:vAlign w:val="center"/>
          </w:tcPr>
          <w:p w14:paraId="2795DAEB">
            <w:r>
              <w:rPr>
                <w:rStyle w:val="10"/>
                <w:rFonts w:hint="eastAsia"/>
              </w:rPr>
              <w:t>质量保证期：</w:t>
            </w:r>
            <w:r>
              <w:rPr>
                <w:rStyle w:val="11"/>
                <w:rFonts w:hint="eastAsia"/>
              </w:rPr>
              <w:t>2年</w:t>
            </w:r>
          </w:p>
        </w:tc>
      </w:tr>
      <w:tr w14:paraId="508E0AA5">
        <w:tblPrEx>
          <w:tblCellMar>
            <w:top w:w="0" w:type="dxa"/>
            <w:left w:w="0" w:type="dxa"/>
            <w:bottom w:w="0" w:type="dxa"/>
            <w:right w:w="0" w:type="dxa"/>
          </w:tblCellMar>
        </w:tblPrEx>
        <w:trPr>
          <w:tblCellSpacing w:w="0" w:type="dxa"/>
        </w:trPr>
        <w:tc>
          <w:tcPr>
            <w:tcW w:w="0" w:type="auto"/>
            <w:vAlign w:val="center"/>
          </w:tcPr>
          <w:p w14:paraId="2B7946D3">
            <w:r>
              <w:rPr>
                <w:rStyle w:val="10"/>
                <w:rFonts w:hint="eastAsia"/>
              </w:rPr>
              <w:t>备注：</w:t>
            </w:r>
          </w:p>
        </w:tc>
      </w:tr>
    </w:tbl>
    <w:p w14:paraId="4CA719E2">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DB2AFE9">
        <w:tblPrEx>
          <w:tblCellMar>
            <w:top w:w="0" w:type="dxa"/>
            <w:left w:w="0" w:type="dxa"/>
            <w:bottom w:w="0" w:type="dxa"/>
            <w:right w:w="0" w:type="dxa"/>
          </w:tblCellMar>
        </w:tblPrEx>
        <w:trPr>
          <w:tblCellSpacing w:w="0" w:type="dxa"/>
        </w:trPr>
        <w:tc>
          <w:tcPr>
            <w:tcW w:w="0" w:type="auto"/>
            <w:vAlign w:val="center"/>
          </w:tcPr>
          <w:p w14:paraId="57E5A33F">
            <w:r>
              <w:rPr>
                <w:rStyle w:val="10"/>
                <w:rFonts w:hint="eastAsia"/>
              </w:rPr>
              <w:t>登记证号：</w:t>
            </w:r>
            <w:r>
              <w:rPr>
                <w:rFonts w:hint="eastAsia"/>
              </w:rPr>
              <w:t>PD20170861</w:t>
            </w:r>
          </w:p>
        </w:tc>
      </w:tr>
      <w:tr w14:paraId="041B9464">
        <w:tblPrEx>
          <w:tblCellMar>
            <w:top w:w="0" w:type="dxa"/>
            <w:left w:w="0" w:type="dxa"/>
            <w:bottom w:w="0" w:type="dxa"/>
            <w:right w:w="0" w:type="dxa"/>
          </w:tblCellMar>
        </w:tblPrEx>
        <w:trPr>
          <w:tblCellSpacing w:w="0" w:type="dxa"/>
        </w:trPr>
        <w:tc>
          <w:tcPr>
            <w:tcW w:w="0" w:type="auto"/>
            <w:vAlign w:val="center"/>
          </w:tcPr>
          <w:p w14:paraId="792D5C55">
            <w:r>
              <w:rPr>
                <w:rStyle w:val="10"/>
                <w:rFonts w:hint="eastAsia"/>
              </w:rPr>
              <w:t>登记证持有人：</w:t>
            </w:r>
            <w:r>
              <w:rPr>
                <w:rFonts w:hint="eastAsia"/>
              </w:rPr>
              <w:t>四川省兰月科技有限公司</w:t>
            </w:r>
          </w:p>
        </w:tc>
      </w:tr>
      <w:tr w14:paraId="5E46A27D">
        <w:tblPrEx>
          <w:tblCellMar>
            <w:top w:w="0" w:type="dxa"/>
            <w:left w:w="0" w:type="dxa"/>
            <w:bottom w:w="0" w:type="dxa"/>
            <w:right w:w="0" w:type="dxa"/>
          </w:tblCellMar>
        </w:tblPrEx>
        <w:trPr>
          <w:tblCellSpacing w:w="0" w:type="dxa"/>
        </w:trPr>
        <w:tc>
          <w:tcPr>
            <w:tcW w:w="0" w:type="auto"/>
            <w:vAlign w:val="center"/>
          </w:tcPr>
          <w:p w14:paraId="1BC236E8">
            <w:r>
              <w:rPr>
                <w:rStyle w:val="10"/>
                <w:rFonts w:hint="eastAsia"/>
              </w:rPr>
              <w:t>农药名称：</w:t>
            </w:r>
            <w:r>
              <w:rPr>
                <w:rFonts w:hint="eastAsia"/>
              </w:rPr>
              <w:t>苄氨·赤霉酸</w:t>
            </w:r>
          </w:p>
        </w:tc>
      </w:tr>
      <w:tr w14:paraId="48D40F88">
        <w:tblPrEx>
          <w:tblCellMar>
            <w:top w:w="0" w:type="dxa"/>
            <w:left w:w="0" w:type="dxa"/>
            <w:bottom w:w="0" w:type="dxa"/>
            <w:right w:w="0" w:type="dxa"/>
          </w:tblCellMar>
        </w:tblPrEx>
        <w:trPr>
          <w:tblCellSpacing w:w="0" w:type="dxa"/>
        </w:trPr>
        <w:tc>
          <w:tcPr>
            <w:tcW w:w="0" w:type="auto"/>
            <w:vAlign w:val="center"/>
          </w:tcPr>
          <w:p w14:paraId="3291AB6C">
            <w:r>
              <w:rPr>
                <w:rStyle w:val="10"/>
                <w:rFonts w:hint="eastAsia"/>
              </w:rPr>
              <w:t>剂型：</w:t>
            </w:r>
            <w:r>
              <w:rPr>
                <w:rFonts w:hint="eastAsia"/>
              </w:rPr>
              <w:t>可溶液剂</w:t>
            </w:r>
          </w:p>
        </w:tc>
      </w:tr>
      <w:tr w14:paraId="0905818B">
        <w:trPr>
          <w:tblCellSpacing w:w="0" w:type="dxa"/>
        </w:trPr>
        <w:tc>
          <w:tcPr>
            <w:tcW w:w="0" w:type="auto"/>
            <w:vAlign w:val="center"/>
          </w:tcPr>
          <w:p w14:paraId="1937BF07">
            <w:r>
              <w:rPr>
                <w:rStyle w:val="10"/>
                <w:rFonts w:hint="eastAsia"/>
              </w:rPr>
              <w:t>毒性及其标识：</w:t>
            </w:r>
            <w:r>
              <w:rPr>
                <w:rFonts w:hint="eastAsia"/>
              </w:rPr>
              <w:t xml:space="preserve"> </w:t>
            </w:r>
            <w:r>
              <w:drawing>
                <wp:inline distT="0" distB="0" distL="0" distR="0">
                  <wp:extent cx="474345" cy="323850"/>
                  <wp:effectExtent l="0" t="0" r="1905"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136644A1">
        <w:tblPrEx>
          <w:tblCellMar>
            <w:top w:w="0" w:type="dxa"/>
            <w:left w:w="0" w:type="dxa"/>
            <w:bottom w:w="0" w:type="dxa"/>
            <w:right w:w="0" w:type="dxa"/>
          </w:tblCellMar>
        </w:tblPrEx>
        <w:trPr>
          <w:tblCellSpacing w:w="0" w:type="dxa"/>
        </w:trPr>
        <w:tc>
          <w:tcPr>
            <w:tcW w:w="0" w:type="auto"/>
            <w:vAlign w:val="center"/>
          </w:tcPr>
          <w:p w14:paraId="539051F7">
            <w:r>
              <w:rPr>
                <w:rStyle w:val="10"/>
                <w:rFonts w:hint="eastAsia"/>
              </w:rPr>
              <w:t>总有效成分含量：</w:t>
            </w:r>
            <w:r>
              <w:rPr>
                <w:rFonts w:hint="eastAsia"/>
              </w:rPr>
              <w:t>4%</w:t>
            </w:r>
          </w:p>
        </w:tc>
      </w:tr>
      <w:tr w14:paraId="5DCF4EC5">
        <w:trPr>
          <w:tblCellSpacing w:w="0" w:type="dxa"/>
        </w:trPr>
        <w:tc>
          <w:tcPr>
            <w:tcW w:w="0" w:type="auto"/>
            <w:vAlign w:val="center"/>
          </w:tcPr>
          <w:p w14:paraId="342E69C2">
            <w:r>
              <w:rPr>
                <w:rFonts w:hint="eastAsia"/>
              </w:rPr>
              <w:t xml:space="preserve">有效成分及其含量： </w:t>
            </w:r>
          </w:p>
          <w:p w14:paraId="2FAF6720">
            <w:r>
              <w:rPr>
                <w:rFonts w:hint="eastAsia"/>
              </w:rPr>
              <w:t xml:space="preserve">    苄氨基嘌呤2%    赤霉酸A32%    </w:t>
            </w:r>
          </w:p>
        </w:tc>
      </w:tr>
      <w:tr w14:paraId="4D77B886">
        <w:tblPrEx>
          <w:tblCellMar>
            <w:top w:w="0" w:type="dxa"/>
            <w:left w:w="0" w:type="dxa"/>
            <w:bottom w:w="0" w:type="dxa"/>
            <w:right w:w="0" w:type="dxa"/>
          </w:tblCellMar>
        </w:tblPrEx>
        <w:trPr>
          <w:tblCellSpacing w:w="0" w:type="dxa"/>
        </w:trPr>
        <w:tc>
          <w:tcPr>
            <w:tcW w:w="0" w:type="auto"/>
            <w:vAlign w:val="center"/>
          </w:tcPr>
          <w:p w14:paraId="623EFEB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A0ACA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41C3076">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E83703">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DA76241">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064304">
                  <w:r>
                    <w:rPr>
                      <w:rStyle w:val="11"/>
                      <w:rFonts w:hint="eastAsia"/>
                    </w:rPr>
                    <w:t>施用方式</w:t>
                  </w:r>
                </w:p>
              </w:tc>
            </w:tr>
            <w:tr w14:paraId="21CD09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3BBC84">
                  <w:r>
                    <w:rPr>
                      <w:rStyle w:val="11"/>
                      <w:rFonts w:hint="eastAsia"/>
                    </w:rPr>
                    <w:t>枣树</w:t>
                  </w:r>
                </w:p>
              </w:tc>
              <w:tc>
                <w:tcPr>
                  <w:tcW w:w="0" w:type="auto"/>
                  <w:tcBorders>
                    <w:top w:val="outset" w:color="auto" w:sz="6" w:space="0"/>
                    <w:left w:val="outset" w:color="auto" w:sz="6" w:space="0"/>
                    <w:bottom w:val="outset" w:color="auto" w:sz="6" w:space="0"/>
                    <w:right w:val="outset" w:color="auto" w:sz="6" w:space="0"/>
                  </w:tcBorders>
                  <w:vAlign w:val="center"/>
                </w:tcPr>
                <w:p w14:paraId="67120A1D">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7AF1429">
                  <w:r>
                    <w:rPr>
                      <w:rStyle w:val="11"/>
                      <w:rFonts w:hint="eastAsia"/>
                    </w:rPr>
                    <w:t>800-1300倍液</w:t>
                  </w:r>
                </w:p>
              </w:tc>
              <w:tc>
                <w:tcPr>
                  <w:tcW w:w="0" w:type="auto"/>
                  <w:tcBorders>
                    <w:top w:val="outset" w:color="auto" w:sz="6" w:space="0"/>
                    <w:left w:val="outset" w:color="auto" w:sz="6" w:space="0"/>
                    <w:bottom w:val="outset" w:color="auto" w:sz="6" w:space="0"/>
                    <w:right w:val="outset" w:color="auto" w:sz="6" w:space="0"/>
                  </w:tcBorders>
                  <w:vAlign w:val="center"/>
                </w:tcPr>
                <w:p w14:paraId="6773CFA7">
                  <w:r>
                    <w:rPr>
                      <w:rStyle w:val="11"/>
                      <w:rFonts w:hint="eastAsia"/>
                    </w:rPr>
                    <w:t>喷雾</w:t>
                  </w:r>
                </w:p>
              </w:tc>
            </w:tr>
            <w:tr w14:paraId="70D1BB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14CCA4">
                  <w:r>
                    <w:rPr>
                      <w:rStyle w:val="11"/>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5716F5C">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5E5AD00">
                  <w:r>
                    <w:rPr>
                      <w:rStyle w:val="11"/>
                      <w:rFonts w:hint="eastAsia"/>
                    </w:rPr>
                    <w:t>800-1300倍液</w:t>
                  </w:r>
                </w:p>
              </w:tc>
              <w:tc>
                <w:tcPr>
                  <w:tcW w:w="0" w:type="auto"/>
                  <w:tcBorders>
                    <w:top w:val="outset" w:color="auto" w:sz="6" w:space="0"/>
                    <w:left w:val="outset" w:color="auto" w:sz="6" w:space="0"/>
                    <w:bottom w:val="outset" w:color="auto" w:sz="6" w:space="0"/>
                    <w:right w:val="outset" w:color="auto" w:sz="6" w:space="0"/>
                  </w:tcBorders>
                  <w:vAlign w:val="center"/>
                </w:tcPr>
                <w:p w14:paraId="52E1DDE4">
                  <w:r>
                    <w:rPr>
                      <w:rStyle w:val="11"/>
                      <w:rFonts w:hint="eastAsia"/>
                    </w:rPr>
                    <w:t>喷雾</w:t>
                  </w:r>
                </w:p>
              </w:tc>
            </w:tr>
            <w:tr w14:paraId="3691DE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8AF994">
                  <w:r>
                    <w:rPr>
                      <w:rStyle w:val="11"/>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3E9A4B16">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66787E49">
                  <w:r>
                    <w:rPr>
                      <w:rStyle w:val="11"/>
                      <w:rFonts w:hint="eastAsia"/>
                    </w:rPr>
                    <w:t>800-1000倍液</w:t>
                  </w:r>
                </w:p>
              </w:tc>
              <w:tc>
                <w:tcPr>
                  <w:tcW w:w="0" w:type="auto"/>
                  <w:tcBorders>
                    <w:top w:val="outset" w:color="auto" w:sz="6" w:space="0"/>
                    <w:left w:val="outset" w:color="auto" w:sz="6" w:space="0"/>
                    <w:bottom w:val="outset" w:color="auto" w:sz="6" w:space="0"/>
                    <w:right w:val="outset" w:color="auto" w:sz="6" w:space="0"/>
                  </w:tcBorders>
                  <w:vAlign w:val="center"/>
                </w:tcPr>
                <w:p w14:paraId="3506ABA0">
                  <w:r>
                    <w:rPr>
                      <w:rStyle w:val="11"/>
                      <w:rFonts w:hint="eastAsia"/>
                    </w:rPr>
                    <w:t>浸果穗</w:t>
                  </w:r>
                </w:p>
              </w:tc>
            </w:tr>
          </w:tbl>
          <w:p w14:paraId="4E2F2830">
            <w:pPr>
              <w:rPr>
                <w:rFonts w:ascii="Times New Roman" w:hAnsi="Times New Roman" w:cs="Times New Roman"/>
                <w:sz w:val="20"/>
                <w:szCs w:val="20"/>
              </w:rPr>
            </w:pPr>
          </w:p>
        </w:tc>
      </w:tr>
      <w:tr w14:paraId="5F60F786">
        <w:tblPrEx>
          <w:tblCellMar>
            <w:top w:w="0" w:type="dxa"/>
            <w:left w:w="0" w:type="dxa"/>
            <w:bottom w:w="0" w:type="dxa"/>
            <w:right w:w="0" w:type="dxa"/>
          </w:tblCellMar>
        </w:tblPrEx>
        <w:trPr>
          <w:tblCellSpacing w:w="0" w:type="dxa"/>
        </w:trPr>
        <w:tc>
          <w:tcPr>
            <w:tcW w:w="0" w:type="auto"/>
            <w:vAlign w:val="center"/>
          </w:tcPr>
          <w:p w14:paraId="74738240">
            <w:r>
              <w:rPr>
                <w:rStyle w:val="10"/>
                <w:rFonts w:hint="eastAsia"/>
              </w:rPr>
              <w:t>使用技术要求:</w:t>
            </w:r>
            <w:r>
              <w:rPr>
                <w:rFonts w:hint="eastAsia"/>
              </w:rPr>
              <w:br w:type="textWrapping"/>
            </w:r>
            <w:r>
              <w:rPr>
                <w:rStyle w:val="11"/>
                <w:rFonts w:hint="eastAsia"/>
              </w:rPr>
              <w:t>1、在葡萄幼果横径12-14mm（谢花后20-25天左右），浸果穗一次；在枣树开花约70%-80%时喷雾施药一次，间隔10-15天再喷施一次；在柑橘树谢花三分之二左右（第一次生理落果前）、幼果期、果实膨大期喷雾施药各一次。2、本品应在使用前现配现用，稀释用水宜用冷水，不可用热水，水温超过50℃会失去活性。3、施用时气温在18℃以上为好。大风天或预计1小时内降雨，请勿施药。4、葡萄整个生长期只使用1次，枣树使用2次，柑橘树最多使用3次。</w:t>
            </w:r>
          </w:p>
        </w:tc>
      </w:tr>
      <w:tr w14:paraId="61BC8D19">
        <w:tblPrEx>
          <w:tblCellMar>
            <w:top w:w="0" w:type="dxa"/>
            <w:left w:w="0" w:type="dxa"/>
            <w:bottom w:w="0" w:type="dxa"/>
            <w:right w:w="0" w:type="dxa"/>
          </w:tblCellMar>
        </w:tblPrEx>
        <w:trPr>
          <w:tblCellSpacing w:w="0" w:type="dxa"/>
        </w:trPr>
        <w:tc>
          <w:tcPr>
            <w:tcW w:w="0" w:type="auto"/>
            <w:vAlign w:val="center"/>
          </w:tcPr>
          <w:p w14:paraId="382A7609">
            <w:r>
              <w:rPr>
                <w:rStyle w:val="10"/>
                <w:rFonts w:hint="eastAsia"/>
              </w:rPr>
              <w:t>产品性能:</w:t>
            </w:r>
            <w:r>
              <w:rPr>
                <w:rFonts w:hint="eastAsia"/>
              </w:rPr>
              <w:br w:type="textWrapping"/>
            </w:r>
            <w:r>
              <w:rPr>
                <w:rStyle w:val="11"/>
                <w:rFonts w:hint="eastAsia"/>
              </w:rPr>
              <w:t>本品是由植物生长调节剂赤霉酸和苄氨基嘌呤科学复配而成，可促进坐果和果实生长发育，提高单果重，提早成熟、增加产量。</w:t>
            </w:r>
          </w:p>
        </w:tc>
      </w:tr>
      <w:tr w14:paraId="300EC4B2">
        <w:tblPrEx>
          <w:tblCellMar>
            <w:top w:w="0" w:type="dxa"/>
            <w:left w:w="0" w:type="dxa"/>
            <w:bottom w:w="0" w:type="dxa"/>
            <w:right w:w="0" w:type="dxa"/>
          </w:tblCellMar>
        </w:tblPrEx>
        <w:trPr>
          <w:tblCellSpacing w:w="0" w:type="dxa"/>
        </w:trPr>
        <w:tc>
          <w:tcPr>
            <w:tcW w:w="0" w:type="auto"/>
            <w:vAlign w:val="center"/>
          </w:tcPr>
          <w:p w14:paraId="7A7B168C">
            <w:r>
              <w:rPr>
                <w:rStyle w:val="10"/>
                <w:rFonts w:hint="eastAsia"/>
              </w:rPr>
              <w:t>注意事项：</w:t>
            </w:r>
            <w:r>
              <w:rPr>
                <w:rFonts w:hint="eastAsia"/>
              </w:rPr>
              <w:br w:type="textWrapping"/>
            </w:r>
            <w:r>
              <w:rPr>
                <w:rStyle w:val="11"/>
                <w:rFonts w:hint="eastAsia"/>
              </w:rPr>
              <w:t>1、用药要均匀；2、用药前后加强田间管理，保持水足肥饱、植株健壮；3、即配即用，勿与碱性农药或肥料混用，用药后6小时内遇雨会影响药效；4、最佳使用时间及兑水量受品种特性、气温、栽培管理水平的影响，应根据实际情况调整；5、施药时穿长衣长裤、戴手套、护目镜等，此时不得吃东西、饮水、吸烟等，施药后洗干净手脸等；6、禁止在河塘等水体中清洗施药器具，清洗器具的废水不能排入河流、池塘等水源，废弃物要妥善处理，不能作它用；7、孕妇及哺乳期的妇女避免接触本品。</w:t>
            </w:r>
          </w:p>
        </w:tc>
      </w:tr>
      <w:tr w14:paraId="00F77A0A">
        <w:tblPrEx>
          <w:tblCellMar>
            <w:top w:w="0" w:type="dxa"/>
            <w:left w:w="0" w:type="dxa"/>
            <w:bottom w:w="0" w:type="dxa"/>
            <w:right w:w="0" w:type="dxa"/>
          </w:tblCellMar>
        </w:tblPrEx>
        <w:trPr>
          <w:tblCellSpacing w:w="0" w:type="dxa"/>
        </w:trPr>
        <w:tc>
          <w:tcPr>
            <w:tcW w:w="0" w:type="auto"/>
            <w:vAlign w:val="center"/>
          </w:tcPr>
          <w:p w14:paraId="784C2B87">
            <w:r>
              <w:rPr>
                <w:rStyle w:val="10"/>
                <w:rFonts w:hint="eastAsia"/>
              </w:rPr>
              <w:t>中毒急救措施：</w:t>
            </w:r>
            <w:r>
              <w:rPr>
                <w:rFonts w:hint="eastAsia"/>
              </w:rPr>
              <w:br w:type="textWrapping"/>
            </w:r>
            <w:r>
              <w:rPr>
                <w:rStyle w:val="11"/>
                <w:rFonts w:hint="eastAsia"/>
              </w:rPr>
              <w:t>1、若皮肤、眼睛接触药液，立即用清水彻底冲洗至少15分钟，仍有不适时，就医。2、如误服中毒，请携此标签送医院对症治疗，无特效的解毒剂。</w:t>
            </w:r>
          </w:p>
        </w:tc>
      </w:tr>
      <w:tr w14:paraId="5FB0D854">
        <w:tblPrEx>
          <w:tblCellMar>
            <w:top w:w="0" w:type="dxa"/>
            <w:left w:w="0" w:type="dxa"/>
            <w:bottom w:w="0" w:type="dxa"/>
            <w:right w:w="0" w:type="dxa"/>
          </w:tblCellMar>
        </w:tblPrEx>
        <w:trPr>
          <w:tblCellSpacing w:w="0" w:type="dxa"/>
        </w:trPr>
        <w:tc>
          <w:tcPr>
            <w:tcW w:w="0" w:type="auto"/>
            <w:vAlign w:val="center"/>
          </w:tcPr>
          <w:p w14:paraId="703F4CEA">
            <w:r>
              <w:rPr>
                <w:rStyle w:val="10"/>
                <w:rFonts w:hint="eastAsia"/>
              </w:rPr>
              <w:t>储存和运输方法：</w:t>
            </w:r>
            <w:r>
              <w:rPr>
                <w:rFonts w:hint="eastAsia"/>
              </w:rPr>
              <w:br w:type="textWrapping"/>
            </w:r>
            <w:r>
              <w:rPr>
                <w:rStyle w:val="11"/>
                <w:rFonts w:hint="eastAsia"/>
              </w:rPr>
              <w:t>1、于阴凉、干燥通风处保存。不可在阳光下暴晒，并远离火源、热源。2、置于儿童、无关人员触及不到之处，并加锁。勿与食品、饮料、饲料、粮食等同贮同运。</w:t>
            </w:r>
          </w:p>
        </w:tc>
      </w:tr>
      <w:tr w14:paraId="7FD91ECC">
        <w:tblPrEx>
          <w:tblCellMar>
            <w:top w:w="0" w:type="dxa"/>
            <w:left w:w="0" w:type="dxa"/>
            <w:bottom w:w="0" w:type="dxa"/>
            <w:right w:w="0" w:type="dxa"/>
          </w:tblCellMar>
        </w:tblPrEx>
        <w:trPr>
          <w:tblCellSpacing w:w="0" w:type="dxa"/>
        </w:trPr>
        <w:tc>
          <w:tcPr>
            <w:tcW w:w="0" w:type="auto"/>
            <w:vAlign w:val="center"/>
          </w:tcPr>
          <w:p w14:paraId="68F7EE09">
            <w:r>
              <w:rPr>
                <w:rStyle w:val="10"/>
                <w:rFonts w:hint="eastAsia"/>
              </w:rPr>
              <w:t>质量保证期：</w:t>
            </w:r>
            <w:r>
              <w:rPr>
                <w:rStyle w:val="11"/>
                <w:rFonts w:hint="eastAsia"/>
              </w:rPr>
              <w:t>2年</w:t>
            </w:r>
          </w:p>
        </w:tc>
      </w:tr>
      <w:tr w14:paraId="04B23D2D">
        <w:tblPrEx>
          <w:tblCellMar>
            <w:top w:w="0" w:type="dxa"/>
            <w:left w:w="0" w:type="dxa"/>
            <w:bottom w:w="0" w:type="dxa"/>
            <w:right w:w="0" w:type="dxa"/>
          </w:tblCellMar>
        </w:tblPrEx>
        <w:trPr>
          <w:tblCellSpacing w:w="0" w:type="dxa"/>
        </w:trPr>
        <w:tc>
          <w:tcPr>
            <w:tcW w:w="0" w:type="auto"/>
            <w:vAlign w:val="center"/>
          </w:tcPr>
          <w:p w14:paraId="476C4E0D">
            <w:r>
              <w:rPr>
                <w:rStyle w:val="10"/>
                <w:rFonts w:hint="eastAsia"/>
              </w:rPr>
              <w:t>备注：</w:t>
            </w:r>
          </w:p>
        </w:tc>
      </w:tr>
    </w:tbl>
    <w:p w14:paraId="7FA27203">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D256D6D">
        <w:tblPrEx>
          <w:tblCellMar>
            <w:top w:w="0" w:type="dxa"/>
            <w:left w:w="0" w:type="dxa"/>
            <w:bottom w:w="0" w:type="dxa"/>
            <w:right w:w="0" w:type="dxa"/>
          </w:tblCellMar>
        </w:tblPrEx>
        <w:trPr>
          <w:tblCellSpacing w:w="0" w:type="dxa"/>
        </w:trPr>
        <w:tc>
          <w:tcPr>
            <w:tcW w:w="0" w:type="auto"/>
            <w:vAlign w:val="center"/>
          </w:tcPr>
          <w:p w14:paraId="11BC6C11">
            <w:r>
              <w:rPr>
                <w:rStyle w:val="10"/>
                <w:rFonts w:hint="eastAsia"/>
              </w:rPr>
              <w:t>登记证号：</w:t>
            </w:r>
            <w:r>
              <w:rPr>
                <w:rFonts w:hint="eastAsia"/>
              </w:rPr>
              <w:t>PD20160075</w:t>
            </w:r>
          </w:p>
        </w:tc>
      </w:tr>
      <w:tr w14:paraId="75F079EC">
        <w:trPr>
          <w:tblCellSpacing w:w="0" w:type="dxa"/>
        </w:trPr>
        <w:tc>
          <w:tcPr>
            <w:tcW w:w="0" w:type="auto"/>
            <w:vAlign w:val="center"/>
          </w:tcPr>
          <w:p w14:paraId="43CA3D4D">
            <w:r>
              <w:rPr>
                <w:rStyle w:val="10"/>
                <w:rFonts w:hint="eastAsia"/>
              </w:rPr>
              <w:t>登记证持有人：</w:t>
            </w:r>
            <w:r>
              <w:rPr>
                <w:rFonts w:hint="eastAsia"/>
              </w:rPr>
              <w:t>四川省兰月科技有限公司</w:t>
            </w:r>
          </w:p>
        </w:tc>
      </w:tr>
      <w:tr w14:paraId="2300A46D">
        <w:tblPrEx>
          <w:tblCellMar>
            <w:top w:w="0" w:type="dxa"/>
            <w:left w:w="0" w:type="dxa"/>
            <w:bottom w:w="0" w:type="dxa"/>
            <w:right w:w="0" w:type="dxa"/>
          </w:tblCellMar>
        </w:tblPrEx>
        <w:trPr>
          <w:tblCellSpacing w:w="0" w:type="dxa"/>
        </w:trPr>
        <w:tc>
          <w:tcPr>
            <w:tcW w:w="0" w:type="auto"/>
            <w:vAlign w:val="center"/>
          </w:tcPr>
          <w:p w14:paraId="4E3329C4">
            <w:r>
              <w:rPr>
                <w:rStyle w:val="10"/>
                <w:rFonts w:hint="eastAsia"/>
              </w:rPr>
              <w:t>农药名称：</w:t>
            </w:r>
            <w:r>
              <w:rPr>
                <w:rFonts w:hint="eastAsia"/>
              </w:rPr>
              <w:t>赤霉酸</w:t>
            </w:r>
          </w:p>
        </w:tc>
      </w:tr>
      <w:tr w14:paraId="6EBE7E82">
        <w:tblPrEx>
          <w:tblCellMar>
            <w:top w:w="0" w:type="dxa"/>
            <w:left w:w="0" w:type="dxa"/>
            <w:bottom w:w="0" w:type="dxa"/>
            <w:right w:w="0" w:type="dxa"/>
          </w:tblCellMar>
        </w:tblPrEx>
        <w:trPr>
          <w:tblCellSpacing w:w="0" w:type="dxa"/>
        </w:trPr>
        <w:tc>
          <w:tcPr>
            <w:tcW w:w="0" w:type="auto"/>
            <w:vAlign w:val="center"/>
          </w:tcPr>
          <w:p w14:paraId="422C2F1D">
            <w:r>
              <w:rPr>
                <w:rStyle w:val="10"/>
                <w:rFonts w:hint="eastAsia"/>
              </w:rPr>
              <w:t>剂型：</w:t>
            </w:r>
            <w:r>
              <w:rPr>
                <w:rFonts w:hint="eastAsia"/>
              </w:rPr>
              <w:t>可溶液剂</w:t>
            </w:r>
          </w:p>
        </w:tc>
      </w:tr>
      <w:tr w14:paraId="45BD1C0D">
        <w:tblPrEx>
          <w:tblCellMar>
            <w:top w:w="0" w:type="dxa"/>
            <w:left w:w="0" w:type="dxa"/>
            <w:bottom w:w="0" w:type="dxa"/>
            <w:right w:w="0" w:type="dxa"/>
          </w:tblCellMar>
        </w:tblPrEx>
        <w:trPr>
          <w:tblCellSpacing w:w="0" w:type="dxa"/>
        </w:trPr>
        <w:tc>
          <w:tcPr>
            <w:tcW w:w="0" w:type="auto"/>
            <w:vAlign w:val="center"/>
          </w:tcPr>
          <w:p w14:paraId="780F788D">
            <w:r>
              <w:rPr>
                <w:rStyle w:val="10"/>
                <w:rFonts w:hint="eastAsia"/>
              </w:rPr>
              <w:t>毒性及其标识：</w:t>
            </w:r>
            <w:r>
              <w:rPr>
                <w:rFonts w:hint="eastAsia"/>
              </w:rPr>
              <w:t xml:space="preserve"> </w:t>
            </w:r>
            <w:r>
              <w:drawing>
                <wp:inline distT="0" distB="0" distL="0" distR="0">
                  <wp:extent cx="474345" cy="323850"/>
                  <wp:effectExtent l="0" t="0" r="1905"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67CC4CFB">
        <w:tblPrEx>
          <w:tblCellMar>
            <w:top w:w="0" w:type="dxa"/>
            <w:left w:w="0" w:type="dxa"/>
            <w:bottom w:w="0" w:type="dxa"/>
            <w:right w:w="0" w:type="dxa"/>
          </w:tblCellMar>
        </w:tblPrEx>
        <w:trPr>
          <w:tblCellSpacing w:w="0" w:type="dxa"/>
        </w:trPr>
        <w:tc>
          <w:tcPr>
            <w:tcW w:w="0" w:type="auto"/>
            <w:vAlign w:val="center"/>
          </w:tcPr>
          <w:p w14:paraId="2B0DE06D">
            <w:r>
              <w:rPr>
                <w:rStyle w:val="10"/>
                <w:rFonts w:hint="eastAsia"/>
              </w:rPr>
              <w:t>总有效成分含量：</w:t>
            </w:r>
            <w:r>
              <w:rPr>
                <w:rFonts w:hint="eastAsia"/>
              </w:rPr>
              <w:t>4%</w:t>
            </w:r>
          </w:p>
        </w:tc>
      </w:tr>
      <w:tr w14:paraId="5A0501A4">
        <w:tblPrEx>
          <w:tblCellMar>
            <w:top w:w="0" w:type="dxa"/>
            <w:left w:w="0" w:type="dxa"/>
            <w:bottom w:w="0" w:type="dxa"/>
            <w:right w:w="0" w:type="dxa"/>
          </w:tblCellMar>
        </w:tblPrEx>
        <w:trPr>
          <w:tblCellSpacing w:w="0" w:type="dxa"/>
        </w:trPr>
        <w:tc>
          <w:tcPr>
            <w:tcW w:w="0" w:type="auto"/>
            <w:vAlign w:val="center"/>
          </w:tcPr>
          <w:p w14:paraId="06FA3F66">
            <w:r>
              <w:rPr>
                <w:rFonts w:hint="eastAsia"/>
              </w:rPr>
              <w:t xml:space="preserve">有效成分及其含量： </w:t>
            </w:r>
          </w:p>
          <w:p w14:paraId="7DFF813A">
            <w:r>
              <w:rPr>
                <w:rFonts w:hint="eastAsia"/>
              </w:rPr>
              <w:t xml:space="preserve">    赤霉酸4%    </w:t>
            </w:r>
          </w:p>
        </w:tc>
      </w:tr>
      <w:tr w14:paraId="6F549365">
        <w:tblPrEx>
          <w:tblCellMar>
            <w:top w:w="0" w:type="dxa"/>
            <w:left w:w="0" w:type="dxa"/>
            <w:bottom w:w="0" w:type="dxa"/>
            <w:right w:w="0" w:type="dxa"/>
          </w:tblCellMar>
        </w:tblPrEx>
        <w:trPr>
          <w:tblCellSpacing w:w="0" w:type="dxa"/>
        </w:trPr>
        <w:tc>
          <w:tcPr>
            <w:tcW w:w="0" w:type="auto"/>
            <w:vAlign w:val="center"/>
          </w:tcPr>
          <w:p w14:paraId="5DA9B85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190C3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67C1828">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B72EEDD">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FA7BE5">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0FD4975">
                  <w:r>
                    <w:rPr>
                      <w:rStyle w:val="11"/>
                      <w:rFonts w:hint="eastAsia"/>
                    </w:rPr>
                    <w:t>施用方式</w:t>
                  </w:r>
                </w:p>
              </w:tc>
            </w:tr>
            <w:tr w14:paraId="030C1D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12EF29">
                  <w:r>
                    <w:rPr>
                      <w:rStyle w:val="11"/>
                      <w:rFonts w:hint="eastAsia"/>
                    </w:rPr>
                    <w:t>枣树</w:t>
                  </w:r>
                </w:p>
              </w:tc>
              <w:tc>
                <w:tcPr>
                  <w:tcW w:w="0" w:type="auto"/>
                  <w:tcBorders>
                    <w:top w:val="outset" w:color="auto" w:sz="6" w:space="0"/>
                    <w:left w:val="outset" w:color="auto" w:sz="6" w:space="0"/>
                    <w:bottom w:val="outset" w:color="auto" w:sz="6" w:space="0"/>
                    <w:right w:val="outset" w:color="auto" w:sz="6" w:space="0"/>
                  </w:tcBorders>
                  <w:vAlign w:val="center"/>
                </w:tcPr>
                <w:p w14:paraId="571E681B">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01843FF6">
                  <w:r>
                    <w:rPr>
                      <w:rStyle w:val="11"/>
                      <w:rFonts w:hint="eastAsia"/>
                    </w:rPr>
                    <w:t>1600-2600倍</w:t>
                  </w:r>
                </w:p>
              </w:tc>
              <w:tc>
                <w:tcPr>
                  <w:tcW w:w="0" w:type="auto"/>
                  <w:tcBorders>
                    <w:top w:val="outset" w:color="auto" w:sz="6" w:space="0"/>
                    <w:left w:val="outset" w:color="auto" w:sz="6" w:space="0"/>
                    <w:bottom w:val="outset" w:color="auto" w:sz="6" w:space="0"/>
                    <w:right w:val="outset" w:color="auto" w:sz="6" w:space="0"/>
                  </w:tcBorders>
                  <w:vAlign w:val="center"/>
                </w:tcPr>
                <w:p w14:paraId="319DBB24">
                  <w:r>
                    <w:rPr>
                      <w:rStyle w:val="11"/>
                      <w:rFonts w:hint="eastAsia"/>
                    </w:rPr>
                    <w:t>喷雾</w:t>
                  </w:r>
                </w:p>
              </w:tc>
            </w:tr>
            <w:tr w14:paraId="5F4562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172561">
                  <w:r>
                    <w:rPr>
                      <w:rStyle w:val="11"/>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21BC71E4">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7274095">
                  <w:r>
                    <w:rPr>
                      <w:rStyle w:val="11"/>
                      <w:rFonts w:hint="eastAsia"/>
                    </w:rPr>
                    <w:t>800-1600倍液</w:t>
                  </w:r>
                </w:p>
              </w:tc>
              <w:tc>
                <w:tcPr>
                  <w:tcW w:w="0" w:type="auto"/>
                  <w:tcBorders>
                    <w:top w:val="outset" w:color="auto" w:sz="6" w:space="0"/>
                    <w:left w:val="outset" w:color="auto" w:sz="6" w:space="0"/>
                    <w:bottom w:val="outset" w:color="auto" w:sz="6" w:space="0"/>
                    <w:right w:val="outset" w:color="auto" w:sz="6" w:space="0"/>
                  </w:tcBorders>
                  <w:vAlign w:val="center"/>
                </w:tcPr>
                <w:p w14:paraId="05566641">
                  <w:r>
                    <w:rPr>
                      <w:rStyle w:val="11"/>
                      <w:rFonts w:hint="eastAsia"/>
                    </w:rPr>
                    <w:t>浸果穗</w:t>
                  </w:r>
                </w:p>
              </w:tc>
            </w:tr>
          </w:tbl>
          <w:p w14:paraId="07D186DF">
            <w:pPr>
              <w:rPr>
                <w:rFonts w:ascii="Times New Roman" w:hAnsi="Times New Roman" w:cs="Times New Roman"/>
                <w:sz w:val="20"/>
                <w:szCs w:val="20"/>
              </w:rPr>
            </w:pPr>
          </w:p>
        </w:tc>
      </w:tr>
      <w:tr w14:paraId="40F959CC">
        <w:tblPrEx>
          <w:tblCellMar>
            <w:top w:w="0" w:type="dxa"/>
            <w:left w:w="0" w:type="dxa"/>
            <w:bottom w:w="0" w:type="dxa"/>
            <w:right w:w="0" w:type="dxa"/>
          </w:tblCellMar>
        </w:tblPrEx>
        <w:trPr>
          <w:tblCellSpacing w:w="0" w:type="dxa"/>
        </w:trPr>
        <w:tc>
          <w:tcPr>
            <w:tcW w:w="0" w:type="auto"/>
            <w:vAlign w:val="center"/>
          </w:tcPr>
          <w:p w14:paraId="0564EEA4">
            <w:r>
              <w:rPr>
                <w:rStyle w:val="10"/>
                <w:rFonts w:hint="eastAsia"/>
              </w:rPr>
              <w:t>使用技术要求:</w:t>
            </w:r>
            <w:r>
              <w:rPr>
                <w:rFonts w:hint="eastAsia"/>
              </w:rPr>
              <w:br w:type="textWrapping"/>
            </w:r>
            <w:r>
              <w:rPr>
                <w:rStyle w:val="11"/>
                <w:rFonts w:hint="eastAsia"/>
              </w:rPr>
              <w:t>1、在葡萄幼果横径10-12mm（谢花后15天左右），浸果穗一次。在枣树开花70-80%时喷雾施药一次，间隔10-15天再喷施一次2、本品应在使用前现配现用，稀释用水宜用冷水，不可用热水，水温超过50℃会失去活性。3、施用时气温在18℃以上为好。大风天或预计1小时内降雨，请勿施药。4、葡萄整个生长期只使用1次，枣树使用2次。</w:t>
            </w:r>
          </w:p>
        </w:tc>
      </w:tr>
      <w:tr w14:paraId="0247A887">
        <w:tblPrEx>
          <w:tblCellMar>
            <w:top w:w="0" w:type="dxa"/>
            <w:left w:w="0" w:type="dxa"/>
            <w:bottom w:w="0" w:type="dxa"/>
            <w:right w:w="0" w:type="dxa"/>
          </w:tblCellMar>
        </w:tblPrEx>
        <w:trPr>
          <w:tblCellSpacing w:w="0" w:type="dxa"/>
        </w:trPr>
        <w:tc>
          <w:tcPr>
            <w:tcW w:w="0" w:type="auto"/>
            <w:vAlign w:val="center"/>
          </w:tcPr>
          <w:p w14:paraId="19315018">
            <w:r>
              <w:rPr>
                <w:rStyle w:val="10"/>
                <w:rFonts w:hint="eastAsia"/>
              </w:rPr>
              <w:t>产品性能:</w:t>
            </w:r>
            <w:r>
              <w:rPr>
                <w:rFonts w:hint="eastAsia"/>
              </w:rPr>
              <w:br w:type="textWrapping"/>
            </w:r>
            <w:r>
              <w:rPr>
                <w:rStyle w:val="11"/>
                <w:rFonts w:hint="eastAsia"/>
              </w:rPr>
              <w:t>赤霉酸属植物内源激素，其原药主要采用微生物发酵生产。本品可促进坐果和果实生长发育，提早成熟。</w:t>
            </w:r>
          </w:p>
        </w:tc>
      </w:tr>
      <w:tr w14:paraId="47B2AD92">
        <w:tblPrEx>
          <w:tblCellMar>
            <w:top w:w="0" w:type="dxa"/>
            <w:left w:w="0" w:type="dxa"/>
            <w:bottom w:w="0" w:type="dxa"/>
            <w:right w:w="0" w:type="dxa"/>
          </w:tblCellMar>
        </w:tblPrEx>
        <w:trPr>
          <w:tblCellSpacing w:w="0" w:type="dxa"/>
        </w:trPr>
        <w:tc>
          <w:tcPr>
            <w:tcW w:w="0" w:type="auto"/>
            <w:vAlign w:val="center"/>
          </w:tcPr>
          <w:p w14:paraId="36B37605">
            <w:r>
              <w:rPr>
                <w:rStyle w:val="10"/>
                <w:rFonts w:hint="eastAsia"/>
              </w:rPr>
              <w:t>注意事项：</w:t>
            </w:r>
            <w:r>
              <w:rPr>
                <w:rFonts w:hint="eastAsia"/>
              </w:rPr>
              <w:br w:type="textWrapping"/>
            </w:r>
            <w:r>
              <w:rPr>
                <w:rStyle w:val="11"/>
                <w:rFonts w:hint="eastAsia"/>
              </w:rPr>
              <w:t>1、用药要均匀；2、用药前后加强田间管理，保持水足肥饱、植株健壮；3、即配即用，勿与碱性农药或肥料混用，用药后6小时内遇雨会影响药效；4、最佳使用时间及兑水量受品种特性、气温、栽培管理水平的影响，应根据实际情况调整；5、施药时穿长衣长裤、戴手套、护目镜等，此时不得吃东西、饮水、吸烟等，施药后洗干净手脸等；6、清洗器具的废水不能排入河流、池塘等水源。用过的容器应妥善处理，不可做他用，也不可随意丢弃。；7、孕妇及哺乳期的妇女避免接触本品。</w:t>
            </w:r>
          </w:p>
        </w:tc>
      </w:tr>
      <w:tr w14:paraId="4E0A53AA">
        <w:tblPrEx>
          <w:tblCellMar>
            <w:top w:w="0" w:type="dxa"/>
            <w:left w:w="0" w:type="dxa"/>
            <w:bottom w:w="0" w:type="dxa"/>
            <w:right w:w="0" w:type="dxa"/>
          </w:tblCellMar>
        </w:tblPrEx>
        <w:trPr>
          <w:tblCellSpacing w:w="0" w:type="dxa"/>
        </w:trPr>
        <w:tc>
          <w:tcPr>
            <w:tcW w:w="0" w:type="auto"/>
            <w:vAlign w:val="center"/>
          </w:tcPr>
          <w:p w14:paraId="1D59906F">
            <w:r>
              <w:rPr>
                <w:rStyle w:val="10"/>
                <w:rFonts w:hint="eastAsia"/>
              </w:rPr>
              <w:t>中毒急救措施：</w:t>
            </w:r>
            <w:r>
              <w:rPr>
                <w:rFonts w:hint="eastAsia"/>
              </w:rPr>
              <w:br w:type="textWrapping"/>
            </w:r>
            <w:r>
              <w:rPr>
                <w:rStyle w:val="11"/>
                <w:rFonts w:hint="eastAsia"/>
              </w:rPr>
              <w:t>1、若皮肤、眼睛接触药液，立即用清水彻底冲洗至少15分钟，仍有不适时，就医。2、如误服中毒，请携此标签送医院对症治疗，无特效的解毒剂。</w:t>
            </w:r>
          </w:p>
        </w:tc>
      </w:tr>
      <w:tr w14:paraId="4AD919D6">
        <w:tblPrEx>
          <w:tblCellMar>
            <w:top w:w="0" w:type="dxa"/>
            <w:left w:w="0" w:type="dxa"/>
            <w:bottom w:w="0" w:type="dxa"/>
            <w:right w:w="0" w:type="dxa"/>
          </w:tblCellMar>
        </w:tblPrEx>
        <w:trPr>
          <w:tblCellSpacing w:w="0" w:type="dxa"/>
        </w:trPr>
        <w:tc>
          <w:tcPr>
            <w:tcW w:w="0" w:type="auto"/>
            <w:vAlign w:val="center"/>
          </w:tcPr>
          <w:p w14:paraId="1BB412C2">
            <w:r>
              <w:rPr>
                <w:rStyle w:val="10"/>
                <w:rFonts w:hint="eastAsia"/>
              </w:rPr>
              <w:t>储存和运输方法：</w:t>
            </w:r>
            <w:r>
              <w:rPr>
                <w:rFonts w:hint="eastAsia"/>
              </w:rPr>
              <w:br w:type="textWrapping"/>
            </w:r>
            <w:r>
              <w:rPr>
                <w:rStyle w:val="11"/>
                <w:rFonts w:hint="eastAsia"/>
              </w:rPr>
              <w:t>1、于阴凉、干燥通风处保存。不可在阳光下暴晒，并远离火源、热源存放。2、置于儿童、无关人员触及不到之处，并加锁。勿与食品、饮料、饲料、粮食等同贮同运。</w:t>
            </w:r>
          </w:p>
        </w:tc>
      </w:tr>
      <w:tr w14:paraId="65CB730E">
        <w:tblPrEx>
          <w:tblCellMar>
            <w:top w:w="0" w:type="dxa"/>
            <w:left w:w="0" w:type="dxa"/>
            <w:bottom w:w="0" w:type="dxa"/>
            <w:right w:w="0" w:type="dxa"/>
          </w:tblCellMar>
        </w:tblPrEx>
        <w:trPr>
          <w:tblCellSpacing w:w="0" w:type="dxa"/>
        </w:trPr>
        <w:tc>
          <w:tcPr>
            <w:tcW w:w="0" w:type="auto"/>
            <w:vAlign w:val="center"/>
          </w:tcPr>
          <w:p w14:paraId="24A8CC83">
            <w:r>
              <w:rPr>
                <w:rStyle w:val="10"/>
                <w:rFonts w:hint="eastAsia"/>
              </w:rPr>
              <w:t>质量保证期：</w:t>
            </w:r>
            <w:r>
              <w:rPr>
                <w:rStyle w:val="11"/>
                <w:rFonts w:hint="eastAsia"/>
              </w:rPr>
              <w:t>2年</w:t>
            </w:r>
          </w:p>
        </w:tc>
      </w:tr>
      <w:tr w14:paraId="04DAC1AD">
        <w:tblPrEx>
          <w:tblCellMar>
            <w:top w:w="0" w:type="dxa"/>
            <w:left w:w="0" w:type="dxa"/>
            <w:bottom w:w="0" w:type="dxa"/>
            <w:right w:w="0" w:type="dxa"/>
          </w:tblCellMar>
        </w:tblPrEx>
        <w:trPr>
          <w:tblCellSpacing w:w="0" w:type="dxa"/>
        </w:trPr>
        <w:tc>
          <w:tcPr>
            <w:tcW w:w="0" w:type="auto"/>
            <w:vAlign w:val="center"/>
          </w:tcPr>
          <w:p w14:paraId="3453DD3A">
            <w:r>
              <w:rPr>
                <w:rStyle w:val="10"/>
                <w:rFonts w:hint="eastAsia"/>
              </w:rPr>
              <w:t>备注：</w:t>
            </w:r>
          </w:p>
        </w:tc>
      </w:tr>
    </w:tbl>
    <w:p w14:paraId="6B56CCE4">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B13A3E7">
        <w:trPr>
          <w:tblCellSpacing w:w="0" w:type="dxa"/>
        </w:trPr>
        <w:tc>
          <w:tcPr>
            <w:tcW w:w="0" w:type="auto"/>
            <w:vAlign w:val="center"/>
          </w:tcPr>
          <w:p w14:paraId="7A34DDC2">
            <w:r>
              <w:rPr>
                <w:rStyle w:val="10"/>
                <w:rFonts w:hint="eastAsia"/>
              </w:rPr>
              <w:t>登记证号：</w:t>
            </w:r>
            <w:r>
              <w:rPr>
                <w:rFonts w:hint="eastAsia"/>
              </w:rPr>
              <w:t>PD20081696</w:t>
            </w:r>
          </w:p>
        </w:tc>
      </w:tr>
      <w:tr w14:paraId="0C716365">
        <w:tblPrEx>
          <w:tblCellMar>
            <w:top w:w="0" w:type="dxa"/>
            <w:left w:w="0" w:type="dxa"/>
            <w:bottom w:w="0" w:type="dxa"/>
            <w:right w:w="0" w:type="dxa"/>
          </w:tblCellMar>
        </w:tblPrEx>
        <w:trPr>
          <w:tblCellSpacing w:w="0" w:type="dxa"/>
        </w:trPr>
        <w:tc>
          <w:tcPr>
            <w:tcW w:w="0" w:type="auto"/>
            <w:vAlign w:val="center"/>
          </w:tcPr>
          <w:p w14:paraId="19A0DAA6">
            <w:r>
              <w:rPr>
                <w:rStyle w:val="10"/>
                <w:rFonts w:hint="eastAsia"/>
              </w:rPr>
              <w:t>登记证持有人：</w:t>
            </w:r>
            <w:r>
              <w:rPr>
                <w:rFonts w:hint="eastAsia"/>
              </w:rPr>
              <w:t>江苏永安化工有限公司</w:t>
            </w:r>
          </w:p>
        </w:tc>
      </w:tr>
      <w:tr w14:paraId="168ECA79">
        <w:tblPrEx>
          <w:tblCellMar>
            <w:top w:w="0" w:type="dxa"/>
            <w:left w:w="0" w:type="dxa"/>
            <w:bottom w:w="0" w:type="dxa"/>
            <w:right w:w="0" w:type="dxa"/>
          </w:tblCellMar>
        </w:tblPrEx>
        <w:trPr>
          <w:tblCellSpacing w:w="0" w:type="dxa"/>
        </w:trPr>
        <w:tc>
          <w:tcPr>
            <w:tcW w:w="0" w:type="auto"/>
            <w:vAlign w:val="center"/>
          </w:tcPr>
          <w:p w14:paraId="0F86C1B5">
            <w:r>
              <w:rPr>
                <w:rStyle w:val="10"/>
                <w:rFonts w:hint="eastAsia"/>
              </w:rPr>
              <w:t>农药名称：</w:t>
            </w:r>
            <w:r>
              <w:rPr>
                <w:rFonts w:hint="eastAsia"/>
              </w:rPr>
              <w:t>二甲戊灵</w:t>
            </w:r>
          </w:p>
        </w:tc>
      </w:tr>
      <w:tr w14:paraId="5E02837C">
        <w:tblPrEx>
          <w:tblCellMar>
            <w:top w:w="0" w:type="dxa"/>
            <w:left w:w="0" w:type="dxa"/>
            <w:bottom w:w="0" w:type="dxa"/>
            <w:right w:w="0" w:type="dxa"/>
          </w:tblCellMar>
        </w:tblPrEx>
        <w:trPr>
          <w:tblCellSpacing w:w="0" w:type="dxa"/>
        </w:trPr>
        <w:tc>
          <w:tcPr>
            <w:tcW w:w="0" w:type="auto"/>
            <w:vAlign w:val="center"/>
          </w:tcPr>
          <w:p w14:paraId="44D70805">
            <w:r>
              <w:rPr>
                <w:rStyle w:val="10"/>
                <w:rFonts w:hint="eastAsia"/>
              </w:rPr>
              <w:t>剂型：</w:t>
            </w:r>
            <w:r>
              <w:rPr>
                <w:rFonts w:hint="eastAsia"/>
              </w:rPr>
              <w:t>乳油</w:t>
            </w:r>
          </w:p>
        </w:tc>
      </w:tr>
      <w:tr w14:paraId="60AD978D">
        <w:trPr>
          <w:tblCellSpacing w:w="0" w:type="dxa"/>
        </w:trPr>
        <w:tc>
          <w:tcPr>
            <w:tcW w:w="0" w:type="auto"/>
            <w:vAlign w:val="center"/>
          </w:tcPr>
          <w:p w14:paraId="4D200149">
            <w:r>
              <w:rPr>
                <w:rStyle w:val="10"/>
                <w:rFonts w:hint="eastAsia"/>
              </w:rPr>
              <w:t>毒性及其标识：</w:t>
            </w:r>
            <w:r>
              <w:rPr>
                <w:rFonts w:hint="eastAsia"/>
              </w:rPr>
              <w:t xml:space="preserve"> 微毒 </w:t>
            </w:r>
          </w:p>
        </w:tc>
      </w:tr>
      <w:tr w14:paraId="0FC5F2E4">
        <w:tblPrEx>
          <w:tblCellMar>
            <w:top w:w="0" w:type="dxa"/>
            <w:left w:w="0" w:type="dxa"/>
            <w:bottom w:w="0" w:type="dxa"/>
            <w:right w:w="0" w:type="dxa"/>
          </w:tblCellMar>
        </w:tblPrEx>
        <w:trPr>
          <w:tblCellSpacing w:w="0" w:type="dxa"/>
        </w:trPr>
        <w:tc>
          <w:tcPr>
            <w:tcW w:w="0" w:type="auto"/>
            <w:vAlign w:val="center"/>
          </w:tcPr>
          <w:p w14:paraId="19D4BF2C">
            <w:r>
              <w:rPr>
                <w:rStyle w:val="10"/>
                <w:rFonts w:hint="eastAsia"/>
              </w:rPr>
              <w:t>总有效成分含量：</w:t>
            </w:r>
            <w:r>
              <w:rPr>
                <w:rFonts w:hint="eastAsia"/>
              </w:rPr>
              <w:t>330克/升</w:t>
            </w:r>
          </w:p>
        </w:tc>
      </w:tr>
      <w:tr w14:paraId="4FB8F434">
        <w:tblPrEx>
          <w:tblCellMar>
            <w:top w:w="0" w:type="dxa"/>
            <w:left w:w="0" w:type="dxa"/>
            <w:bottom w:w="0" w:type="dxa"/>
            <w:right w:w="0" w:type="dxa"/>
          </w:tblCellMar>
        </w:tblPrEx>
        <w:trPr>
          <w:tblCellSpacing w:w="0" w:type="dxa"/>
        </w:trPr>
        <w:tc>
          <w:tcPr>
            <w:tcW w:w="0" w:type="auto"/>
            <w:vAlign w:val="center"/>
          </w:tcPr>
          <w:p w14:paraId="1380641D">
            <w:r>
              <w:rPr>
                <w:rFonts w:hint="eastAsia"/>
              </w:rPr>
              <w:t xml:space="preserve">有效成分及其含量： </w:t>
            </w:r>
          </w:p>
          <w:p w14:paraId="2EC777AF">
            <w:r>
              <w:rPr>
                <w:rFonts w:hint="eastAsia"/>
              </w:rPr>
              <w:t xml:space="preserve">    二甲戊灵330克/升    </w:t>
            </w:r>
          </w:p>
        </w:tc>
      </w:tr>
      <w:tr w14:paraId="7BB73F7C">
        <w:tblPrEx>
          <w:tblCellMar>
            <w:top w:w="0" w:type="dxa"/>
            <w:left w:w="0" w:type="dxa"/>
            <w:bottom w:w="0" w:type="dxa"/>
            <w:right w:w="0" w:type="dxa"/>
          </w:tblCellMar>
        </w:tblPrEx>
        <w:trPr>
          <w:tblCellSpacing w:w="0" w:type="dxa"/>
        </w:trPr>
        <w:tc>
          <w:tcPr>
            <w:tcW w:w="0" w:type="auto"/>
            <w:vAlign w:val="center"/>
          </w:tcPr>
          <w:p w14:paraId="7C81ACE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BA3BD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47E10AD">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C864756">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92011A">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E8E823">
                  <w:r>
                    <w:rPr>
                      <w:rStyle w:val="11"/>
                      <w:rFonts w:hint="eastAsia"/>
                    </w:rPr>
                    <w:t>施用方式</w:t>
                  </w:r>
                </w:p>
              </w:tc>
            </w:tr>
            <w:tr w14:paraId="4EA97C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E6E6C5B">
                  <w:r>
                    <w:rPr>
                      <w:rStyle w:val="11"/>
                      <w:rFonts w:hint="eastAsia"/>
                    </w:rPr>
                    <w:t>甘蓝田</w:t>
                  </w:r>
                </w:p>
              </w:tc>
              <w:tc>
                <w:tcPr>
                  <w:tcW w:w="0" w:type="auto"/>
                  <w:tcBorders>
                    <w:top w:val="outset" w:color="auto" w:sz="6" w:space="0"/>
                    <w:left w:val="outset" w:color="auto" w:sz="6" w:space="0"/>
                    <w:bottom w:val="outset" w:color="auto" w:sz="6" w:space="0"/>
                    <w:right w:val="outset" w:color="auto" w:sz="6" w:space="0"/>
                  </w:tcBorders>
                  <w:vAlign w:val="center"/>
                </w:tcPr>
                <w:p w14:paraId="0244B1A7">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9B5DC9E">
                  <w:r>
                    <w:rPr>
                      <w:rStyle w:val="11"/>
                      <w:rFonts w:hint="eastAsia"/>
                    </w:rPr>
                    <w:t>125-150毫升/亩</w:t>
                  </w:r>
                </w:p>
              </w:tc>
              <w:tc>
                <w:tcPr>
                  <w:tcW w:w="0" w:type="auto"/>
                  <w:tcBorders>
                    <w:top w:val="outset" w:color="auto" w:sz="6" w:space="0"/>
                    <w:left w:val="outset" w:color="auto" w:sz="6" w:space="0"/>
                    <w:bottom w:val="outset" w:color="auto" w:sz="6" w:space="0"/>
                    <w:right w:val="outset" w:color="auto" w:sz="6" w:space="0"/>
                  </w:tcBorders>
                  <w:vAlign w:val="center"/>
                </w:tcPr>
                <w:p w14:paraId="5C65B3D8">
                  <w:r>
                    <w:rPr>
                      <w:rStyle w:val="11"/>
                      <w:rFonts w:hint="eastAsia"/>
                    </w:rPr>
                    <w:t>土壤喷雾</w:t>
                  </w:r>
                </w:p>
              </w:tc>
            </w:tr>
            <w:tr w14:paraId="6500E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ED4399">
                  <w:r>
                    <w:rPr>
                      <w:rStyle w:val="11"/>
                      <w:rFonts w:hint="eastAsia"/>
                    </w:rPr>
                    <w:t>大蒜田</w:t>
                  </w:r>
                </w:p>
              </w:tc>
              <w:tc>
                <w:tcPr>
                  <w:tcW w:w="0" w:type="auto"/>
                  <w:tcBorders>
                    <w:top w:val="outset" w:color="auto" w:sz="6" w:space="0"/>
                    <w:left w:val="outset" w:color="auto" w:sz="6" w:space="0"/>
                    <w:bottom w:val="outset" w:color="auto" w:sz="6" w:space="0"/>
                    <w:right w:val="outset" w:color="auto" w:sz="6" w:space="0"/>
                  </w:tcBorders>
                  <w:vAlign w:val="center"/>
                </w:tcPr>
                <w:p w14:paraId="3124C1F9">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9A72E7A">
                  <w:r>
                    <w:rPr>
                      <w:rStyle w:val="11"/>
                      <w:rFonts w:hint="eastAsia"/>
                    </w:rPr>
                    <w:t>100-150毫升/亩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292DA134">
                  <w:r>
                    <w:rPr>
                      <w:rStyle w:val="11"/>
                      <w:rFonts w:hint="eastAsia"/>
                    </w:rPr>
                    <w:t>土壤喷雾</w:t>
                  </w:r>
                </w:p>
              </w:tc>
            </w:tr>
            <w:tr w14:paraId="6ED0A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0CCD39">
                  <w:r>
                    <w:rPr>
                      <w:rStyle w:val="11"/>
                      <w:rFonts w:hint="eastAsia"/>
                    </w:rPr>
                    <w:t>棉花田</w:t>
                  </w:r>
                </w:p>
              </w:tc>
              <w:tc>
                <w:tcPr>
                  <w:tcW w:w="0" w:type="auto"/>
                  <w:tcBorders>
                    <w:top w:val="outset" w:color="auto" w:sz="6" w:space="0"/>
                    <w:left w:val="outset" w:color="auto" w:sz="6" w:space="0"/>
                    <w:bottom w:val="outset" w:color="auto" w:sz="6" w:space="0"/>
                    <w:right w:val="outset" w:color="auto" w:sz="6" w:space="0"/>
                  </w:tcBorders>
                  <w:vAlign w:val="center"/>
                </w:tcPr>
                <w:p w14:paraId="7E959DD7">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DDB2B7A">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3B4FB0BD">
                  <w:r>
                    <w:rPr>
                      <w:rStyle w:val="11"/>
                      <w:rFonts w:hint="eastAsia"/>
                    </w:rPr>
                    <w:t>播后苗前毒土法</w:t>
                  </w:r>
                </w:p>
              </w:tc>
            </w:tr>
            <w:tr w14:paraId="602B76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056019">
                  <w:r>
                    <w:rPr>
                      <w:rStyle w:val="11"/>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0FEC5AF8">
                  <w:r>
                    <w:rPr>
                      <w:rStyle w:val="11"/>
                      <w:rFonts w:hint="eastAsia"/>
                    </w:rPr>
                    <w:t>抑制腋芽生长</w:t>
                  </w:r>
                </w:p>
              </w:tc>
              <w:tc>
                <w:tcPr>
                  <w:tcW w:w="0" w:type="auto"/>
                  <w:tcBorders>
                    <w:top w:val="outset" w:color="auto" w:sz="6" w:space="0"/>
                    <w:left w:val="outset" w:color="auto" w:sz="6" w:space="0"/>
                    <w:bottom w:val="outset" w:color="auto" w:sz="6" w:space="0"/>
                    <w:right w:val="outset" w:color="auto" w:sz="6" w:space="0"/>
                  </w:tcBorders>
                  <w:vAlign w:val="center"/>
                </w:tcPr>
                <w:p w14:paraId="5F6AA332">
                  <w:r>
                    <w:rPr>
                      <w:rStyle w:val="11"/>
                      <w:rFonts w:hint="eastAsia"/>
                    </w:rPr>
                    <w:t>0.18-0.24毫升/株</w:t>
                  </w:r>
                </w:p>
              </w:tc>
              <w:tc>
                <w:tcPr>
                  <w:tcW w:w="0" w:type="auto"/>
                  <w:tcBorders>
                    <w:top w:val="outset" w:color="auto" w:sz="6" w:space="0"/>
                    <w:left w:val="outset" w:color="auto" w:sz="6" w:space="0"/>
                    <w:bottom w:val="outset" w:color="auto" w:sz="6" w:space="0"/>
                    <w:right w:val="outset" w:color="auto" w:sz="6" w:space="0"/>
                  </w:tcBorders>
                  <w:vAlign w:val="center"/>
                </w:tcPr>
                <w:p w14:paraId="69709CFD">
                  <w:r>
                    <w:rPr>
                      <w:rStyle w:val="11"/>
                      <w:rFonts w:hint="eastAsia"/>
                    </w:rPr>
                    <w:t>杯淋法</w:t>
                  </w:r>
                </w:p>
              </w:tc>
            </w:tr>
            <w:tr w14:paraId="3360CD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0E9789">
                  <w:r>
                    <w:rPr>
                      <w:rStyle w:val="11"/>
                      <w:rFonts w:hint="eastAsia"/>
                    </w:rPr>
                    <w:t>水稻旱育秧田</w:t>
                  </w:r>
                </w:p>
              </w:tc>
              <w:tc>
                <w:tcPr>
                  <w:tcW w:w="0" w:type="auto"/>
                  <w:tcBorders>
                    <w:top w:val="outset" w:color="auto" w:sz="6" w:space="0"/>
                    <w:left w:val="outset" w:color="auto" w:sz="6" w:space="0"/>
                    <w:bottom w:val="outset" w:color="auto" w:sz="6" w:space="0"/>
                    <w:right w:val="outset" w:color="auto" w:sz="6" w:space="0"/>
                  </w:tcBorders>
                  <w:vAlign w:val="center"/>
                </w:tcPr>
                <w:p w14:paraId="7D270186">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3086244">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3370A983">
                  <w:r>
                    <w:rPr>
                      <w:rStyle w:val="11"/>
                      <w:rFonts w:hint="eastAsia"/>
                    </w:rPr>
                    <w:t>土壤喷雾</w:t>
                  </w:r>
                </w:p>
              </w:tc>
            </w:tr>
            <w:tr w14:paraId="160D11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184C6B">
                  <w:r>
                    <w:rPr>
                      <w:rStyle w:val="11"/>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6D421C24">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DD2C129">
                  <w:r>
                    <w:rPr>
                      <w:rStyle w:val="11"/>
                      <w:rFonts w:hint="eastAsia"/>
                    </w:rPr>
                    <w:t>150-250毫升/亩</w:t>
                  </w:r>
                </w:p>
              </w:tc>
              <w:tc>
                <w:tcPr>
                  <w:tcW w:w="0" w:type="auto"/>
                  <w:tcBorders>
                    <w:top w:val="outset" w:color="auto" w:sz="6" w:space="0"/>
                    <w:left w:val="outset" w:color="auto" w:sz="6" w:space="0"/>
                    <w:bottom w:val="outset" w:color="auto" w:sz="6" w:space="0"/>
                    <w:right w:val="outset" w:color="auto" w:sz="6" w:space="0"/>
                  </w:tcBorders>
                  <w:vAlign w:val="center"/>
                </w:tcPr>
                <w:p w14:paraId="066C9306">
                  <w:r>
                    <w:rPr>
                      <w:rStyle w:val="11"/>
                      <w:rFonts w:hint="eastAsia"/>
                    </w:rPr>
                    <w:t>土壤喷雾</w:t>
                  </w:r>
                </w:p>
              </w:tc>
            </w:tr>
          </w:tbl>
          <w:p w14:paraId="744EEE56">
            <w:pPr>
              <w:rPr>
                <w:rFonts w:ascii="Times New Roman" w:hAnsi="Times New Roman" w:cs="Times New Roman"/>
                <w:sz w:val="20"/>
                <w:szCs w:val="20"/>
              </w:rPr>
            </w:pPr>
          </w:p>
        </w:tc>
      </w:tr>
      <w:tr w14:paraId="12F33818">
        <w:tblPrEx>
          <w:tblCellMar>
            <w:top w:w="0" w:type="dxa"/>
            <w:left w:w="0" w:type="dxa"/>
            <w:bottom w:w="0" w:type="dxa"/>
            <w:right w:w="0" w:type="dxa"/>
          </w:tblCellMar>
        </w:tblPrEx>
        <w:trPr>
          <w:tblCellSpacing w:w="0" w:type="dxa"/>
        </w:trPr>
        <w:tc>
          <w:tcPr>
            <w:tcW w:w="0" w:type="auto"/>
            <w:vAlign w:val="center"/>
          </w:tcPr>
          <w:p w14:paraId="1FA63ED2">
            <w:r>
              <w:rPr>
                <w:rStyle w:val="10"/>
                <w:rFonts w:hint="eastAsia"/>
              </w:rPr>
              <w:t>使用技术要求:</w:t>
            </w:r>
            <w:r>
              <w:rPr>
                <w:rFonts w:hint="eastAsia"/>
              </w:rPr>
              <w:br w:type="textWrapping"/>
            </w:r>
            <w:r>
              <w:rPr>
                <w:rStyle w:val="11"/>
                <w:rFonts w:hint="eastAsia"/>
              </w:rPr>
              <w:t>1、按标签推荐方法使用本品，可有效防治或抑制一年生禾本科杂草及部分阔叶杂草;对多年生杂草效果较差。 2、在甘蓝移栽前、棉花播种前或播后苗前 1-3 天施用为最佳时间。土壤处理时，整地要平整，避免有大土块及植物残渣。 3、水稻播种盖土后 1-3 天土壤表层喷雾处理，施药时稻谷种子不能露白，田地不能有积水； 4、玉米在播后苗前施药：先将种子播种在 2-5 厘米深土中，然后用田土覆盖，再施药处理，避免种子直接接触药液；苗后早期施药：在玉米顶尖萌芽时及禾本科杂草 1 叶 1 心，阔叶杂草 2 叶期以前使用。若在玉米顶尖萌芽期后施药，可能会出现暂时的轻微药害，作物在 1-2 周内可恢复正常生长，不影响产量。 5、大蒜播后出苗前，土壤喷雾。 6、烟草： （1）将 10-13 毫升本品加入 1 升水中配成标准溶液。当烟草植株较高时，可使用高剂量 13 毫升制剂配水 1 升。（2）混合均匀后若采用“杯淋法”施药。即用塑料勺子或杯子将约 20 毫升标准溶液从每株烟草顶部浇淋，使溶液沿茎流至底部，并和所有腋芽接触。采用“笔抹法”用毛笔等蘸取标准药液均匀涂抹至每一个叶腋中。采用“抑芽剂Ⅰ型施药器“施药，将标准药液均匀滴注至每个叶腋叶。 （3）应在烟草打顶（摘心）后立即或不久使用，整个生长季节只需使用 1 次。 （4）由于露珠或下大雨后使烟草太湿时，或当气温太高时不宜使用本品，避免本品药液和烟草叶片接触。注意喷雾均匀。 7、每季作物使用本品最多一次。</w:t>
            </w:r>
          </w:p>
        </w:tc>
      </w:tr>
      <w:tr w14:paraId="05B459D6">
        <w:tblPrEx>
          <w:tblCellMar>
            <w:top w:w="0" w:type="dxa"/>
            <w:left w:w="0" w:type="dxa"/>
            <w:bottom w:w="0" w:type="dxa"/>
            <w:right w:w="0" w:type="dxa"/>
          </w:tblCellMar>
        </w:tblPrEx>
        <w:trPr>
          <w:tblCellSpacing w:w="0" w:type="dxa"/>
        </w:trPr>
        <w:tc>
          <w:tcPr>
            <w:tcW w:w="0" w:type="auto"/>
            <w:vAlign w:val="center"/>
          </w:tcPr>
          <w:p w14:paraId="6147D3C7">
            <w:r>
              <w:rPr>
                <w:rStyle w:val="10"/>
                <w:rFonts w:hint="eastAsia"/>
              </w:rPr>
              <w:t>产品性能:</w:t>
            </w:r>
            <w:r>
              <w:rPr>
                <w:rFonts w:hint="eastAsia"/>
              </w:rPr>
              <w:br w:type="textWrapping"/>
            </w:r>
            <w:r>
              <w:rPr>
                <w:rStyle w:val="11"/>
                <w:rFonts w:hint="eastAsia"/>
              </w:rPr>
              <w:t>1、本品是适用于甘蓝、大蒜、玉米、棉花及水稻旱育秧田的选择性除草剂，同时又是一种烟草抑芽剂。它可以在烟草打顶后使用，能较有效地抑制烟草腋芽的发生，从而能增加烟草产量。 2、可防治多种一年生杂草，持效期可达 45-65 天。正常使用下不会引起甘蓝、棉花等作物根部畸形及水稻秧苗、玉米、大蒜的药害，同时抑制烟草腋芽生长。</w:t>
            </w:r>
          </w:p>
        </w:tc>
      </w:tr>
      <w:tr w14:paraId="1D1F8AAD">
        <w:tblPrEx>
          <w:tblCellMar>
            <w:top w:w="0" w:type="dxa"/>
            <w:left w:w="0" w:type="dxa"/>
            <w:bottom w:w="0" w:type="dxa"/>
            <w:right w:w="0" w:type="dxa"/>
          </w:tblCellMar>
        </w:tblPrEx>
        <w:trPr>
          <w:tblCellSpacing w:w="0" w:type="dxa"/>
        </w:trPr>
        <w:tc>
          <w:tcPr>
            <w:tcW w:w="0" w:type="auto"/>
            <w:vAlign w:val="center"/>
          </w:tcPr>
          <w:p w14:paraId="06DAF72D">
            <w:r>
              <w:rPr>
                <w:rStyle w:val="10"/>
                <w:rFonts w:hint="eastAsia"/>
              </w:rPr>
              <w:t>注意事项：</w:t>
            </w:r>
            <w:r>
              <w:rPr>
                <w:rFonts w:hint="eastAsia"/>
              </w:rPr>
              <w:br w:type="textWrapping"/>
            </w:r>
            <w:r>
              <w:rPr>
                <w:rStyle w:val="11"/>
                <w:rFonts w:hint="eastAsia"/>
              </w:rPr>
              <w:t>1、有机质含量低的沙土壤，可使用低剂量，土壤粘重或有机质含量超过 2%的土壤，使用高剂量。施药后不宜混土，沙壤地慎用。 2、在低温情况下或施药后浇水及降雨可能会使作物产生轻微药害或影响药效。 3、本品对家禽、鸟类和鱼类等水生物有毒性，施药时应注意。7、用过的容器应妥善处理，不可做他用，也不可随意丢弃。禁止在河塘等水体中清洗施药器具。 4、施药时应及时穿戴防护服、口罩、手套，避免吸入药液，施药期间不可饮食、饮水。施药后应及时洗手洗脸。 5、在甘蓝田、棉花田、水稻旱育秧田、玉米田、大蒜可使用常规背负式喷雾器或者拖拉机喷雾器，建议用扇形喷嘴，喷雾应均匀周到。避免重喷、漏喷或超过推荐剂量用药。 6、大风天或预计降雨，请勿施药。 7、避免孕妇及哺乳期的妇女接触。</w:t>
            </w:r>
          </w:p>
        </w:tc>
      </w:tr>
      <w:tr w14:paraId="1789F0EB">
        <w:tblPrEx>
          <w:tblCellMar>
            <w:top w:w="0" w:type="dxa"/>
            <w:left w:w="0" w:type="dxa"/>
            <w:bottom w:w="0" w:type="dxa"/>
            <w:right w:w="0" w:type="dxa"/>
          </w:tblCellMar>
        </w:tblPrEx>
        <w:trPr>
          <w:tblCellSpacing w:w="0" w:type="dxa"/>
        </w:trPr>
        <w:tc>
          <w:tcPr>
            <w:tcW w:w="0" w:type="auto"/>
            <w:vAlign w:val="center"/>
          </w:tcPr>
          <w:p w14:paraId="546DC464">
            <w:r>
              <w:rPr>
                <w:rStyle w:val="10"/>
                <w:rFonts w:hint="eastAsia"/>
              </w:rPr>
              <w:t>中毒急救措施：</w:t>
            </w:r>
            <w:r>
              <w:rPr>
                <w:rFonts w:hint="eastAsia"/>
              </w:rPr>
              <w:br w:type="textWrapping"/>
            </w:r>
            <w:r>
              <w:rPr>
                <w:rStyle w:val="11"/>
                <w:rFonts w:hint="eastAsia"/>
              </w:rPr>
              <w:t>1、不慎吸入或经皮肤吸收会中毒，对眼睛、皮肤、粘膜有刺激。 2、不慎药液接触皮肤、眼睛，应大量清水冲洗至少 15分钟，如果有刺激发生，携此标签就医。 3、不慎误食或吞服药液、勿引吐，携此标签立即应医。</w:t>
            </w:r>
          </w:p>
        </w:tc>
      </w:tr>
      <w:tr w14:paraId="7D871699">
        <w:tblPrEx>
          <w:tblCellMar>
            <w:top w:w="0" w:type="dxa"/>
            <w:left w:w="0" w:type="dxa"/>
            <w:bottom w:w="0" w:type="dxa"/>
            <w:right w:w="0" w:type="dxa"/>
          </w:tblCellMar>
        </w:tblPrEx>
        <w:trPr>
          <w:tblCellSpacing w:w="0" w:type="dxa"/>
        </w:trPr>
        <w:tc>
          <w:tcPr>
            <w:tcW w:w="0" w:type="auto"/>
            <w:vAlign w:val="center"/>
          </w:tcPr>
          <w:p w14:paraId="731C83E5">
            <w:r>
              <w:rPr>
                <w:rStyle w:val="10"/>
                <w:rFonts w:hint="eastAsia"/>
              </w:rPr>
              <w:t>储存和运输方法：</w:t>
            </w:r>
            <w:r>
              <w:rPr>
                <w:rFonts w:hint="eastAsia"/>
              </w:rPr>
              <w:br w:type="textWrapping"/>
            </w:r>
            <w:r>
              <w:rPr>
                <w:rStyle w:val="11"/>
                <w:rFonts w:hint="eastAsia"/>
              </w:rPr>
              <w:t>1、本品在储存和运输过程中，必须防潮湿、日晒、雨淋，存放在通风干燥处，注意防火，远离火源。 2、置于儿童、无关人员触及不到之处，并加锁。勿与食品、饮料、饲料、粮食等同贮同运。 3、本品不可长时间储存于零下低温环境，长时间储存于低温将会出现结晶现象，若出现结晶可将产品放置高温环境，结晶体将会自动融化，融化后产品性能不发生变化。 4、搬运时应轻装轻卸，防止包装及容器损坏并注意个人保护。</w:t>
            </w:r>
          </w:p>
        </w:tc>
      </w:tr>
      <w:tr w14:paraId="0E4C957A">
        <w:tblPrEx>
          <w:tblCellMar>
            <w:top w:w="0" w:type="dxa"/>
            <w:left w:w="0" w:type="dxa"/>
            <w:bottom w:w="0" w:type="dxa"/>
            <w:right w:w="0" w:type="dxa"/>
          </w:tblCellMar>
        </w:tblPrEx>
        <w:trPr>
          <w:tblCellSpacing w:w="0" w:type="dxa"/>
        </w:trPr>
        <w:tc>
          <w:tcPr>
            <w:tcW w:w="0" w:type="auto"/>
            <w:vAlign w:val="center"/>
          </w:tcPr>
          <w:p w14:paraId="3F7BD919">
            <w:r>
              <w:rPr>
                <w:rStyle w:val="10"/>
                <w:rFonts w:hint="eastAsia"/>
              </w:rPr>
              <w:t>质量保证期：</w:t>
            </w:r>
            <w:r>
              <w:rPr>
                <w:rStyle w:val="11"/>
                <w:rFonts w:hint="eastAsia"/>
              </w:rPr>
              <w:t>2年</w:t>
            </w:r>
          </w:p>
        </w:tc>
      </w:tr>
      <w:tr w14:paraId="178DA4CA">
        <w:tblPrEx>
          <w:tblCellMar>
            <w:top w:w="0" w:type="dxa"/>
            <w:left w:w="0" w:type="dxa"/>
            <w:bottom w:w="0" w:type="dxa"/>
            <w:right w:w="0" w:type="dxa"/>
          </w:tblCellMar>
        </w:tblPrEx>
        <w:trPr>
          <w:tblCellSpacing w:w="0" w:type="dxa"/>
        </w:trPr>
        <w:tc>
          <w:tcPr>
            <w:tcW w:w="0" w:type="auto"/>
            <w:vAlign w:val="center"/>
          </w:tcPr>
          <w:p w14:paraId="406E08A0">
            <w:r>
              <w:rPr>
                <w:rStyle w:val="10"/>
                <w:rFonts w:hint="eastAsia"/>
              </w:rPr>
              <w:t>备注：</w:t>
            </w:r>
          </w:p>
        </w:tc>
      </w:tr>
    </w:tbl>
    <w:p w14:paraId="51CFD37D">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42C05B7">
        <w:trPr>
          <w:tblCellSpacing w:w="0" w:type="dxa"/>
        </w:trPr>
        <w:tc>
          <w:tcPr>
            <w:tcW w:w="0" w:type="auto"/>
            <w:vAlign w:val="center"/>
          </w:tcPr>
          <w:p w14:paraId="4C0D45E4">
            <w:r>
              <w:rPr>
                <w:rStyle w:val="10"/>
                <w:rFonts w:hint="eastAsia"/>
              </w:rPr>
              <w:t>登记证号：</w:t>
            </w:r>
            <w:r>
              <w:rPr>
                <w:rFonts w:hint="eastAsia"/>
              </w:rPr>
              <w:t>PD20152383</w:t>
            </w:r>
          </w:p>
        </w:tc>
      </w:tr>
      <w:tr w14:paraId="74A6B0A2">
        <w:trPr>
          <w:tblCellSpacing w:w="0" w:type="dxa"/>
        </w:trPr>
        <w:tc>
          <w:tcPr>
            <w:tcW w:w="0" w:type="auto"/>
            <w:vAlign w:val="center"/>
          </w:tcPr>
          <w:p w14:paraId="474E11E9">
            <w:r>
              <w:rPr>
                <w:rStyle w:val="10"/>
                <w:rFonts w:hint="eastAsia"/>
              </w:rPr>
              <w:t>登记证持有人：</w:t>
            </w:r>
            <w:r>
              <w:rPr>
                <w:rFonts w:hint="eastAsia"/>
              </w:rPr>
              <w:t>山东省联合农药工业有限公司</w:t>
            </w:r>
          </w:p>
        </w:tc>
      </w:tr>
      <w:tr w14:paraId="4E8494E3">
        <w:tblPrEx>
          <w:tblCellMar>
            <w:top w:w="0" w:type="dxa"/>
            <w:left w:w="0" w:type="dxa"/>
            <w:bottom w:w="0" w:type="dxa"/>
            <w:right w:w="0" w:type="dxa"/>
          </w:tblCellMar>
        </w:tblPrEx>
        <w:trPr>
          <w:tblCellSpacing w:w="0" w:type="dxa"/>
        </w:trPr>
        <w:tc>
          <w:tcPr>
            <w:tcW w:w="0" w:type="auto"/>
            <w:vAlign w:val="center"/>
          </w:tcPr>
          <w:p w14:paraId="7504DCC5">
            <w:r>
              <w:rPr>
                <w:rStyle w:val="10"/>
                <w:rFonts w:hint="eastAsia"/>
              </w:rPr>
              <w:t>农药名称：</w:t>
            </w:r>
            <w:r>
              <w:rPr>
                <w:rFonts w:hint="eastAsia"/>
              </w:rPr>
              <w:t>噻虫啉</w:t>
            </w:r>
          </w:p>
        </w:tc>
      </w:tr>
      <w:tr w14:paraId="53C06DF6">
        <w:tblPrEx>
          <w:tblCellMar>
            <w:top w:w="0" w:type="dxa"/>
            <w:left w:w="0" w:type="dxa"/>
            <w:bottom w:w="0" w:type="dxa"/>
            <w:right w:w="0" w:type="dxa"/>
          </w:tblCellMar>
        </w:tblPrEx>
        <w:trPr>
          <w:tblCellSpacing w:w="0" w:type="dxa"/>
        </w:trPr>
        <w:tc>
          <w:tcPr>
            <w:tcW w:w="0" w:type="auto"/>
            <w:vAlign w:val="center"/>
          </w:tcPr>
          <w:p w14:paraId="47EE3DA4">
            <w:r>
              <w:rPr>
                <w:rStyle w:val="10"/>
                <w:rFonts w:hint="eastAsia"/>
              </w:rPr>
              <w:t>剂型：</w:t>
            </w:r>
            <w:r>
              <w:rPr>
                <w:rFonts w:hint="eastAsia"/>
              </w:rPr>
              <w:t>悬浮剂</w:t>
            </w:r>
          </w:p>
        </w:tc>
      </w:tr>
      <w:tr w14:paraId="67035509">
        <w:tblPrEx>
          <w:tblCellMar>
            <w:top w:w="0" w:type="dxa"/>
            <w:left w:w="0" w:type="dxa"/>
            <w:bottom w:w="0" w:type="dxa"/>
            <w:right w:w="0" w:type="dxa"/>
          </w:tblCellMar>
        </w:tblPrEx>
        <w:trPr>
          <w:tblCellSpacing w:w="0" w:type="dxa"/>
        </w:trPr>
        <w:tc>
          <w:tcPr>
            <w:tcW w:w="0" w:type="auto"/>
            <w:vAlign w:val="center"/>
          </w:tcPr>
          <w:p w14:paraId="0B71AB9E">
            <w:r>
              <w:rPr>
                <w:rStyle w:val="10"/>
                <w:rFonts w:hint="eastAsia"/>
              </w:rPr>
              <w:t>毒性及其标识：</w:t>
            </w:r>
            <w:r>
              <w:rPr>
                <w:rFonts w:hint="eastAsia"/>
              </w:rPr>
              <w:t xml:space="preserve"> </w:t>
            </w:r>
            <w:r>
              <w:drawing>
                <wp:inline distT="0" distB="0" distL="0" distR="0">
                  <wp:extent cx="474345" cy="323850"/>
                  <wp:effectExtent l="0" t="0" r="1905"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0F84C176">
        <w:tblPrEx>
          <w:tblCellMar>
            <w:top w:w="0" w:type="dxa"/>
            <w:left w:w="0" w:type="dxa"/>
            <w:bottom w:w="0" w:type="dxa"/>
            <w:right w:w="0" w:type="dxa"/>
          </w:tblCellMar>
        </w:tblPrEx>
        <w:trPr>
          <w:tblCellSpacing w:w="0" w:type="dxa"/>
        </w:trPr>
        <w:tc>
          <w:tcPr>
            <w:tcW w:w="0" w:type="auto"/>
            <w:vAlign w:val="center"/>
          </w:tcPr>
          <w:p w14:paraId="0EE10AE1">
            <w:r>
              <w:rPr>
                <w:rStyle w:val="10"/>
                <w:rFonts w:hint="eastAsia"/>
              </w:rPr>
              <w:t>总有效成分含量：</w:t>
            </w:r>
            <w:r>
              <w:rPr>
                <w:rFonts w:hint="eastAsia"/>
              </w:rPr>
              <w:t>40%</w:t>
            </w:r>
          </w:p>
        </w:tc>
      </w:tr>
      <w:tr w14:paraId="67FE4260">
        <w:tblPrEx>
          <w:tblCellMar>
            <w:top w:w="0" w:type="dxa"/>
            <w:left w:w="0" w:type="dxa"/>
            <w:bottom w:w="0" w:type="dxa"/>
            <w:right w:w="0" w:type="dxa"/>
          </w:tblCellMar>
        </w:tblPrEx>
        <w:trPr>
          <w:tblCellSpacing w:w="0" w:type="dxa"/>
        </w:trPr>
        <w:tc>
          <w:tcPr>
            <w:tcW w:w="0" w:type="auto"/>
            <w:vAlign w:val="center"/>
          </w:tcPr>
          <w:p w14:paraId="06F7E3AE">
            <w:r>
              <w:rPr>
                <w:rFonts w:hint="eastAsia"/>
              </w:rPr>
              <w:t xml:space="preserve">有效成分及其含量： </w:t>
            </w:r>
          </w:p>
          <w:p w14:paraId="2735483E">
            <w:r>
              <w:rPr>
                <w:rFonts w:hint="eastAsia"/>
              </w:rPr>
              <w:t xml:space="preserve">    噻虫啉40%    </w:t>
            </w:r>
          </w:p>
        </w:tc>
      </w:tr>
      <w:tr w14:paraId="3C0924FC">
        <w:tblPrEx>
          <w:tblCellMar>
            <w:top w:w="0" w:type="dxa"/>
            <w:left w:w="0" w:type="dxa"/>
            <w:bottom w:w="0" w:type="dxa"/>
            <w:right w:w="0" w:type="dxa"/>
          </w:tblCellMar>
        </w:tblPrEx>
        <w:trPr>
          <w:tblCellSpacing w:w="0" w:type="dxa"/>
        </w:trPr>
        <w:tc>
          <w:tcPr>
            <w:tcW w:w="0" w:type="auto"/>
            <w:vAlign w:val="center"/>
          </w:tcPr>
          <w:p w14:paraId="37AF038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99DFC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2187631">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7BD4A86">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747808">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A17CE1">
                  <w:r>
                    <w:rPr>
                      <w:rStyle w:val="11"/>
                      <w:rFonts w:hint="eastAsia"/>
                    </w:rPr>
                    <w:t>施用方式</w:t>
                  </w:r>
                </w:p>
              </w:tc>
            </w:tr>
            <w:tr w14:paraId="2C2523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7088D4">
                  <w:r>
                    <w:rPr>
                      <w:rStyle w:val="11"/>
                      <w:rFonts w:hint="eastAsia"/>
                    </w:rPr>
                    <w:t>林木</w:t>
                  </w:r>
                </w:p>
              </w:tc>
              <w:tc>
                <w:tcPr>
                  <w:tcW w:w="0" w:type="auto"/>
                  <w:tcBorders>
                    <w:top w:val="outset" w:color="auto" w:sz="6" w:space="0"/>
                    <w:left w:val="outset" w:color="auto" w:sz="6" w:space="0"/>
                    <w:bottom w:val="outset" w:color="auto" w:sz="6" w:space="0"/>
                    <w:right w:val="outset" w:color="auto" w:sz="6" w:space="0"/>
                  </w:tcBorders>
                  <w:vAlign w:val="center"/>
                </w:tcPr>
                <w:p w14:paraId="16230C5D">
                  <w:r>
                    <w:rPr>
                      <w:rStyle w:val="11"/>
                      <w:rFonts w:hint="eastAsia"/>
                    </w:rPr>
                    <w:t>天牛</w:t>
                  </w:r>
                </w:p>
              </w:tc>
              <w:tc>
                <w:tcPr>
                  <w:tcW w:w="0" w:type="auto"/>
                  <w:tcBorders>
                    <w:top w:val="outset" w:color="auto" w:sz="6" w:space="0"/>
                    <w:left w:val="outset" w:color="auto" w:sz="6" w:space="0"/>
                    <w:bottom w:val="outset" w:color="auto" w:sz="6" w:space="0"/>
                    <w:right w:val="outset" w:color="auto" w:sz="6" w:space="0"/>
                  </w:tcBorders>
                  <w:vAlign w:val="center"/>
                </w:tcPr>
                <w:p w14:paraId="44D307BD">
                  <w:r>
                    <w:rPr>
                      <w:rStyle w:val="11"/>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39E5D54A">
                  <w:r>
                    <w:rPr>
                      <w:rStyle w:val="11"/>
                      <w:rFonts w:hint="eastAsia"/>
                    </w:rPr>
                    <w:t>喷雾</w:t>
                  </w:r>
                </w:p>
              </w:tc>
            </w:tr>
            <w:tr w14:paraId="4507DD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F76E9B">
                  <w:r>
                    <w:rPr>
                      <w:rStyle w:val="11"/>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14B8085">
                  <w:r>
                    <w:rPr>
                      <w:rStyle w:val="11"/>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7D7320CD">
                  <w:r>
                    <w:rPr>
                      <w:rStyle w:val="11"/>
                      <w:rFonts w:hint="eastAsia"/>
                    </w:rPr>
                    <w:t>12-17毫升/亩</w:t>
                  </w:r>
                </w:p>
              </w:tc>
              <w:tc>
                <w:tcPr>
                  <w:tcW w:w="0" w:type="auto"/>
                  <w:tcBorders>
                    <w:top w:val="outset" w:color="auto" w:sz="6" w:space="0"/>
                    <w:left w:val="outset" w:color="auto" w:sz="6" w:space="0"/>
                    <w:bottom w:val="outset" w:color="auto" w:sz="6" w:space="0"/>
                    <w:right w:val="outset" w:color="auto" w:sz="6" w:space="0"/>
                  </w:tcBorders>
                  <w:vAlign w:val="center"/>
                </w:tcPr>
                <w:p w14:paraId="2CA14D49">
                  <w:r>
                    <w:rPr>
                      <w:rStyle w:val="11"/>
                      <w:rFonts w:hint="eastAsia"/>
                    </w:rPr>
                    <w:t>喷雾</w:t>
                  </w:r>
                </w:p>
              </w:tc>
            </w:tr>
          </w:tbl>
          <w:p w14:paraId="1E95462B">
            <w:pPr>
              <w:rPr>
                <w:rFonts w:ascii="Times New Roman" w:hAnsi="Times New Roman" w:cs="Times New Roman"/>
                <w:sz w:val="20"/>
                <w:szCs w:val="20"/>
              </w:rPr>
            </w:pPr>
          </w:p>
        </w:tc>
      </w:tr>
      <w:tr w14:paraId="37FE5726">
        <w:tblPrEx>
          <w:tblCellMar>
            <w:top w:w="0" w:type="dxa"/>
            <w:left w:w="0" w:type="dxa"/>
            <w:bottom w:w="0" w:type="dxa"/>
            <w:right w:w="0" w:type="dxa"/>
          </w:tblCellMar>
        </w:tblPrEx>
        <w:trPr>
          <w:tblCellSpacing w:w="0" w:type="dxa"/>
        </w:trPr>
        <w:tc>
          <w:tcPr>
            <w:tcW w:w="0" w:type="auto"/>
            <w:vAlign w:val="center"/>
          </w:tcPr>
          <w:p w14:paraId="38EF92F6">
            <w:r>
              <w:rPr>
                <w:rStyle w:val="10"/>
                <w:rFonts w:hint="eastAsia"/>
              </w:rPr>
              <w:t>使用技术要求:</w:t>
            </w:r>
            <w:r>
              <w:rPr>
                <w:rFonts w:hint="eastAsia"/>
              </w:rPr>
              <w:br w:type="textWrapping"/>
            </w:r>
            <w:r>
              <w:rPr>
                <w:rStyle w:val="11"/>
                <w:rFonts w:hint="eastAsia"/>
              </w:rPr>
              <w:t>1. 本品应于稻飞虱2～3龄若虫盛期、林木天牛发生始盛期开始施药，喷雾均匀。2. 注意与其他杀虫剂轮用，防止抗药性的出现。3. 大风天或预计1小时内降雨，请勿施药。4. 产品在水稻上使用的安全间隔期为14天，每季最多使用次数为2次。</w:t>
            </w:r>
          </w:p>
        </w:tc>
      </w:tr>
      <w:tr w14:paraId="126755C0">
        <w:tblPrEx>
          <w:tblCellMar>
            <w:top w:w="0" w:type="dxa"/>
            <w:left w:w="0" w:type="dxa"/>
            <w:bottom w:w="0" w:type="dxa"/>
            <w:right w:w="0" w:type="dxa"/>
          </w:tblCellMar>
        </w:tblPrEx>
        <w:trPr>
          <w:tblCellSpacing w:w="0" w:type="dxa"/>
        </w:trPr>
        <w:tc>
          <w:tcPr>
            <w:tcW w:w="0" w:type="auto"/>
            <w:vAlign w:val="center"/>
          </w:tcPr>
          <w:p w14:paraId="2C724B6F">
            <w:r>
              <w:rPr>
                <w:rStyle w:val="10"/>
                <w:rFonts w:hint="eastAsia"/>
              </w:rPr>
              <w:t>产品性能:</w:t>
            </w:r>
            <w:r>
              <w:rPr>
                <w:rFonts w:hint="eastAsia"/>
              </w:rPr>
              <w:br w:type="textWrapping"/>
            </w:r>
            <w:r>
              <w:rPr>
                <w:rStyle w:val="11"/>
                <w:rFonts w:hint="eastAsia"/>
              </w:rPr>
              <w:t>噻虫啉具有较强的内吸、触杀和胃毒作用，作用机理为作用于昆虫神经接合后膜，通过与烟碱乙酰胆碱受体结合，干扰昆虫神经系统正常传导，引起神经通道的阻塞，造成乙酰胆碱的大量积累，从而使昆虫异常兴奋，全身痉挛、麻痹而死，与常规杀虫剂如拟除虫菊酯类、有机磷类和氨基甲酸酯类没有交互抗性，因而可用于抗性治理。本品对水稻稻飞虱、林木天牛有较好的防效。</w:t>
            </w:r>
          </w:p>
        </w:tc>
      </w:tr>
      <w:tr w14:paraId="224C137F">
        <w:tblPrEx>
          <w:tblCellMar>
            <w:top w:w="0" w:type="dxa"/>
            <w:left w:w="0" w:type="dxa"/>
            <w:bottom w:w="0" w:type="dxa"/>
            <w:right w:w="0" w:type="dxa"/>
          </w:tblCellMar>
        </w:tblPrEx>
        <w:trPr>
          <w:tblCellSpacing w:w="0" w:type="dxa"/>
        </w:trPr>
        <w:tc>
          <w:tcPr>
            <w:tcW w:w="0" w:type="auto"/>
            <w:vAlign w:val="center"/>
          </w:tcPr>
          <w:p w14:paraId="51F9DAFE">
            <w:r>
              <w:rPr>
                <w:rStyle w:val="10"/>
                <w:rFonts w:hint="eastAsia"/>
              </w:rPr>
              <w:t>注意事项：</w:t>
            </w:r>
            <w:r>
              <w:rPr>
                <w:rFonts w:hint="eastAsia"/>
              </w:rPr>
              <w:br w:type="textWrapping"/>
            </w:r>
            <w:r>
              <w:rPr>
                <w:rStyle w:val="11"/>
                <w:rFonts w:hint="eastAsia"/>
              </w:rPr>
              <w:t>1 本品对蜜蜂、鱼类低毒，对其他水生生物和家蚕有一定毒性，施药期间应避免对周围蜂群的影响、开花植物花期、蚕室和桑园附近禁用。赤眼蜂等天敌放飞区禁用。鱼或虾蟹套养稻田禁用，施药后的田水不得直接排入水体。建议与其他作用机制不同的杀虫剂轮换使用，延缓抗药性的产生。远离水产养殖区施药，禁止在河塘等水体中清洗施药器具。2. 使用本品时应穿戴防护服和手套，避免吸入药液，施药期间不可吃东西和饮水，施药后应及时洗手和洗脸。3. 孕妇及哺乳期妇女禁止接触此药。4. 用过的容器应妥善处理，不可做他用，也不可随意丢弃。</w:t>
            </w:r>
          </w:p>
        </w:tc>
      </w:tr>
      <w:tr w14:paraId="1709A974">
        <w:tblPrEx>
          <w:tblCellMar>
            <w:top w:w="0" w:type="dxa"/>
            <w:left w:w="0" w:type="dxa"/>
            <w:bottom w:w="0" w:type="dxa"/>
            <w:right w:w="0" w:type="dxa"/>
          </w:tblCellMar>
        </w:tblPrEx>
        <w:trPr>
          <w:tblCellSpacing w:w="0" w:type="dxa"/>
        </w:trPr>
        <w:tc>
          <w:tcPr>
            <w:tcW w:w="0" w:type="auto"/>
            <w:vAlign w:val="center"/>
          </w:tcPr>
          <w:p w14:paraId="41113DC5">
            <w:r>
              <w:rPr>
                <w:rStyle w:val="10"/>
                <w:rFonts w:hint="eastAsia"/>
              </w:rPr>
              <w:t>中毒急救措施：</w:t>
            </w:r>
            <w:r>
              <w:rPr>
                <w:rFonts w:hint="eastAsia"/>
              </w:rPr>
              <w:br w:type="textWrapping"/>
            </w:r>
            <w:r>
              <w:rPr>
                <w:rStyle w:val="11"/>
                <w:rFonts w:hint="eastAsia"/>
              </w:rPr>
              <w:t>对眼有微刺激作用。不慎吸入，应将病人移至空气流通处。不慎接触皮肤或溅入眼睛，应用大量清水冲洗至少15分钟。无特效解毒药，误服立即携此签送医院对症治疗。</w:t>
            </w:r>
          </w:p>
        </w:tc>
      </w:tr>
      <w:tr w14:paraId="087B54B7">
        <w:tblPrEx>
          <w:tblCellMar>
            <w:top w:w="0" w:type="dxa"/>
            <w:left w:w="0" w:type="dxa"/>
            <w:bottom w:w="0" w:type="dxa"/>
            <w:right w:w="0" w:type="dxa"/>
          </w:tblCellMar>
        </w:tblPrEx>
        <w:trPr>
          <w:tblCellSpacing w:w="0" w:type="dxa"/>
        </w:trPr>
        <w:tc>
          <w:tcPr>
            <w:tcW w:w="0" w:type="auto"/>
            <w:vAlign w:val="center"/>
          </w:tcPr>
          <w:p w14:paraId="419214BB">
            <w:r>
              <w:rPr>
                <w:rStyle w:val="10"/>
                <w:rFonts w:hint="eastAsia"/>
              </w:rPr>
              <w:t>储存和运输方法：</w:t>
            </w:r>
            <w:r>
              <w:rPr>
                <w:rFonts w:hint="eastAsia"/>
              </w:rPr>
              <w:br w:type="textWrapping"/>
            </w:r>
            <w:r>
              <w:rPr>
                <w:rStyle w:val="11"/>
                <w:rFonts w:hint="eastAsia"/>
              </w:rPr>
              <w:t>本品应贮存在干燥、阴凉、通风、防雨处，远离火源或热源。置于儿童、无关人员触及不到之处，并加锁。勿与食品、饮料、饲料、粮食等其他商品同贮同运。</w:t>
            </w:r>
          </w:p>
        </w:tc>
      </w:tr>
      <w:tr w14:paraId="78142857">
        <w:tblPrEx>
          <w:tblCellMar>
            <w:top w:w="0" w:type="dxa"/>
            <w:left w:w="0" w:type="dxa"/>
            <w:bottom w:w="0" w:type="dxa"/>
            <w:right w:w="0" w:type="dxa"/>
          </w:tblCellMar>
        </w:tblPrEx>
        <w:trPr>
          <w:tblCellSpacing w:w="0" w:type="dxa"/>
        </w:trPr>
        <w:tc>
          <w:tcPr>
            <w:tcW w:w="0" w:type="auto"/>
            <w:vAlign w:val="center"/>
          </w:tcPr>
          <w:p w14:paraId="13F338DA">
            <w:r>
              <w:rPr>
                <w:rStyle w:val="10"/>
                <w:rFonts w:hint="eastAsia"/>
              </w:rPr>
              <w:t>质量保证期：</w:t>
            </w:r>
            <w:r>
              <w:rPr>
                <w:rStyle w:val="11"/>
                <w:rFonts w:hint="eastAsia"/>
              </w:rPr>
              <w:t>2年</w:t>
            </w:r>
          </w:p>
        </w:tc>
      </w:tr>
      <w:tr w14:paraId="6DB35D09">
        <w:tblPrEx>
          <w:tblCellMar>
            <w:top w:w="0" w:type="dxa"/>
            <w:left w:w="0" w:type="dxa"/>
            <w:bottom w:w="0" w:type="dxa"/>
            <w:right w:w="0" w:type="dxa"/>
          </w:tblCellMar>
        </w:tblPrEx>
        <w:trPr>
          <w:tblCellSpacing w:w="0" w:type="dxa"/>
        </w:trPr>
        <w:tc>
          <w:tcPr>
            <w:tcW w:w="0" w:type="auto"/>
            <w:vAlign w:val="center"/>
          </w:tcPr>
          <w:p w14:paraId="15033EBD">
            <w:r>
              <w:rPr>
                <w:rStyle w:val="10"/>
                <w:rFonts w:hint="eastAsia"/>
              </w:rPr>
              <w:t>备注：</w:t>
            </w:r>
          </w:p>
        </w:tc>
      </w:tr>
    </w:tbl>
    <w:p w14:paraId="321BDD84">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0CE403B">
        <w:tblPrEx>
          <w:tblCellMar>
            <w:top w:w="0" w:type="dxa"/>
            <w:left w:w="0" w:type="dxa"/>
            <w:bottom w:w="0" w:type="dxa"/>
            <w:right w:w="0" w:type="dxa"/>
          </w:tblCellMar>
        </w:tblPrEx>
        <w:trPr>
          <w:tblCellSpacing w:w="0" w:type="dxa"/>
        </w:trPr>
        <w:tc>
          <w:tcPr>
            <w:tcW w:w="0" w:type="auto"/>
            <w:vAlign w:val="center"/>
          </w:tcPr>
          <w:p w14:paraId="41FFC678">
            <w:r>
              <w:rPr>
                <w:rStyle w:val="10"/>
                <w:rFonts w:hint="eastAsia"/>
              </w:rPr>
              <w:t>登记证号：</w:t>
            </w:r>
            <w:r>
              <w:rPr>
                <w:rFonts w:hint="eastAsia"/>
              </w:rPr>
              <w:t>PD20210035</w:t>
            </w:r>
          </w:p>
        </w:tc>
      </w:tr>
      <w:tr w14:paraId="30028791">
        <w:trPr>
          <w:tblCellSpacing w:w="0" w:type="dxa"/>
        </w:trPr>
        <w:tc>
          <w:tcPr>
            <w:tcW w:w="0" w:type="auto"/>
            <w:vAlign w:val="center"/>
          </w:tcPr>
          <w:p w14:paraId="05350925">
            <w:r>
              <w:rPr>
                <w:rStyle w:val="10"/>
                <w:rFonts w:hint="eastAsia"/>
              </w:rPr>
              <w:t>登记证持有人：</w:t>
            </w:r>
            <w:r>
              <w:rPr>
                <w:rFonts w:hint="eastAsia"/>
              </w:rPr>
              <w:t>先正达南通作物保护有限公司</w:t>
            </w:r>
          </w:p>
        </w:tc>
      </w:tr>
      <w:tr w14:paraId="0F0B5B87">
        <w:trPr>
          <w:tblCellSpacing w:w="0" w:type="dxa"/>
        </w:trPr>
        <w:tc>
          <w:tcPr>
            <w:tcW w:w="0" w:type="auto"/>
            <w:vAlign w:val="center"/>
          </w:tcPr>
          <w:p w14:paraId="5495CD47">
            <w:r>
              <w:rPr>
                <w:rStyle w:val="10"/>
                <w:rFonts w:hint="eastAsia"/>
              </w:rPr>
              <w:t>农药名称：</w:t>
            </w:r>
            <w:r>
              <w:rPr>
                <w:rFonts w:hint="eastAsia"/>
              </w:rPr>
              <w:t>氟唑菌酰羟胺</w:t>
            </w:r>
          </w:p>
        </w:tc>
      </w:tr>
      <w:tr w14:paraId="76BD6F9A">
        <w:tblPrEx>
          <w:tblCellMar>
            <w:top w:w="0" w:type="dxa"/>
            <w:left w:w="0" w:type="dxa"/>
            <w:bottom w:w="0" w:type="dxa"/>
            <w:right w:w="0" w:type="dxa"/>
          </w:tblCellMar>
        </w:tblPrEx>
        <w:trPr>
          <w:tblCellSpacing w:w="0" w:type="dxa"/>
        </w:trPr>
        <w:tc>
          <w:tcPr>
            <w:tcW w:w="0" w:type="auto"/>
            <w:vAlign w:val="center"/>
          </w:tcPr>
          <w:p w14:paraId="0CCB51DB">
            <w:r>
              <w:rPr>
                <w:rStyle w:val="10"/>
                <w:rFonts w:hint="eastAsia"/>
              </w:rPr>
              <w:t>剂型：</w:t>
            </w:r>
            <w:r>
              <w:rPr>
                <w:rFonts w:hint="eastAsia"/>
              </w:rPr>
              <w:t>悬浮剂</w:t>
            </w:r>
          </w:p>
        </w:tc>
      </w:tr>
      <w:tr w14:paraId="4C4B1510">
        <w:tblPrEx>
          <w:tblCellMar>
            <w:top w:w="0" w:type="dxa"/>
            <w:left w:w="0" w:type="dxa"/>
            <w:bottom w:w="0" w:type="dxa"/>
            <w:right w:w="0" w:type="dxa"/>
          </w:tblCellMar>
        </w:tblPrEx>
        <w:trPr>
          <w:tblCellSpacing w:w="0" w:type="dxa"/>
        </w:trPr>
        <w:tc>
          <w:tcPr>
            <w:tcW w:w="0" w:type="auto"/>
            <w:vAlign w:val="center"/>
          </w:tcPr>
          <w:p w14:paraId="584BA9A7">
            <w:r>
              <w:rPr>
                <w:rStyle w:val="10"/>
                <w:rFonts w:hint="eastAsia"/>
              </w:rPr>
              <w:t>毒性及其标识：</w:t>
            </w:r>
            <w:r>
              <w:rPr>
                <w:rFonts w:hint="eastAsia"/>
              </w:rPr>
              <w:t xml:space="preserve"> </w:t>
            </w:r>
            <w:r>
              <w:drawing>
                <wp:inline distT="0" distB="0" distL="0" distR="0">
                  <wp:extent cx="474345" cy="323850"/>
                  <wp:effectExtent l="0" t="0" r="1905"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4C5B8E5E">
        <w:tblPrEx>
          <w:tblCellMar>
            <w:top w:w="0" w:type="dxa"/>
            <w:left w:w="0" w:type="dxa"/>
            <w:bottom w:w="0" w:type="dxa"/>
            <w:right w:w="0" w:type="dxa"/>
          </w:tblCellMar>
        </w:tblPrEx>
        <w:trPr>
          <w:tblCellSpacing w:w="0" w:type="dxa"/>
        </w:trPr>
        <w:tc>
          <w:tcPr>
            <w:tcW w:w="0" w:type="auto"/>
            <w:vAlign w:val="center"/>
          </w:tcPr>
          <w:p w14:paraId="0AA22832">
            <w:r>
              <w:rPr>
                <w:rStyle w:val="10"/>
                <w:rFonts w:hint="eastAsia"/>
              </w:rPr>
              <w:t>总有效成分含量：</w:t>
            </w:r>
            <w:r>
              <w:rPr>
                <w:rFonts w:hint="eastAsia"/>
              </w:rPr>
              <w:t>200克/升</w:t>
            </w:r>
          </w:p>
        </w:tc>
      </w:tr>
      <w:tr w14:paraId="31C7AD79">
        <w:trPr>
          <w:tblCellSpacing w:w="0" w:type="dxa"/>
        </w:trPr>
        <w:tc>
          <w:tcPr>
            <w:tcW w:w="0" w:type="auto"/>
            <w:vAlign w:val="center"/>
          </w:tcPr>
          <w:p w14:paraId="334F70C0">
            <w:r>
              <w:rPr>
                <w:rFonts w:hint="eastAsia"/>
              </w:rPr>
              <w:t xml:space="preserve">有效成分及其含量： </w:t>
            </w:r>
          </w:p>
          <w:p w14:paraId="497E36B7">
            <w:r>
              <w:rPr>
                <w:rFonts w:hint="eastAsia"/>
              </w:rPr>
              <w:t xml:space="preserve">    氟唑菌酰羟胺200克/升    </w:t>
            </w:r>
          </w:p>
        </w:tc>
      </w:tr>
      <w:tr w14:paraId="0C068C01">
        <w:tblPrEx>
          <w:tblCellMar>
            <w:top w:w="0" w:type="dxa"/>
            <w:left w:w="0" w:type="dxa"/>
            <w:bottom w:w="0" w:type="dxa"/>
            <w:right w:w="0" w:type="dxa"/>
          </w:tblCellMar>
        </w:tblPrEx>
        <w:trPr>
          <w:tblCellSpacing w:w="0" w:type="dxa"/>
        </w:trPr>
        <w:tc>
          <w:tcPr>
            <w:tcW w:w="0" w:type="auto"/>
            <w:vAlign w:val="center"/>
          </w:tcPr>
          <w:p w14:paraId="37747CD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C4138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AB54787">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5138DF8">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7E0AFFD">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24962E">
                  <w:r>
                    <w:rPr>
                      <w:rStyle w:val="11"/>
                      <w:rFonts w:hint="eastAsia"/>
                    </w:rPr>
                    <w:t>施用方式</w:t>
                  </w:r>
                </w:p>
              </w:tc>
            </w:tr>
            <w:tr w14:paraId="2F48A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844E9E">
                  <w:r>
                    <w:rPr>
                      <w:rStyle w:val="11"/>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4C8C9F9B">
                  <w:r>
                    <w:rPr>
                      <w:rStyle w:val="11"/>
                      <w:rFonts w:hint="eastAsia"/>
                    </w:rPr>
                    <w:t>菌核病</w:t>
                  </w:r>
                </w:p>
              </w:tc>
              <w:tc>
                <w:tcPr>
                  <w:tcW w:w="0" w:type="auto"/>
                  <w:tcBorders>
                    <w:top w:val="outset" w:color="auto" w:sz="6" w:space="0"/>
                    <w:left w:val="outset" w:color="auto" w:sz="6" w:space="0"/>
                    <w:bottom w:val="outset" w:color="auto" w:sz="6" w:space="0"/>
                    <w:right w:val="outset" w:color="auto" w:sz="6" w:space="0"/>
                  </w:tcBorders>
                  <w:vAlign w:val="center"/>
                </w:tcPr>
                <w:p w14:paraId="7E6E7390">
                  <w:r>
                    <w:rPr>
                      <w:rStyle w:val="11"/>
                      <w:rFonts w:hint="eastAsia"/>
                    </w:rPr>
                    <w:t>50-65毫升/亩</w:t>
                  </w:r>
                </w:p>
              </w:tc>
              <w:tc>
                <w:tcPr>
                  <w:tcW w:w="0" w:type="auto"/>
                  <w:tcBorders>
                    <w:top w:val="outset" w:color="auto" w:sz="6" w:space="0"/>
                    <w:left w:val="outset" w:color="auto" w:sz="6" w:space="0"/>
                    <w:bottom w:val="outset" w:color="auto" w:sz="6" w:space="0"/>
                    <w:right w:val="outset" w:color="auto" w:sz="6" w:space="0"/>
                  </w:tcBorders>
                  <w:vAlign w:val="center"/>
                </w:tcPr>
                <w:p w14:paraId="36A66941">
                  <w:r>
                    <w:rPr>
                      <w:rStyle w:val="11"/>
                      <w:rFonts w:hint="eastAsia"/>
                    </w:rPr>
                    <w:t>喷雾</w:t>
                  </w:r>
                </w:p>
              </w:tc>
            </w:tr>
            <w:tr w14:paraId="2F5469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622B2A">
                  <w:r>
                    <w:rPr>
                      <w:rStyle w:val="11"/>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12BC758">
                  <w:r>
                    <w:rPr>
                      <w:rStyle w:val="11"/>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5A782DBD">
                  <w:r>
                    <w:rPr>
                      <w:rStyle w:val="11"/>
                      <w:rFonts w:hint="eastAsia"/>
                    </w:rPr>
                    <w:t>50-65毫升/亩</w:t>
                  </w:r>
                </w:p>
              </w:tc>
              <w:tc>
                <w:tcPr>
                  <w:tcW w:w="0" w:type="auto"/>
                  <w:tcBorders>
                    <w:top w:val="outset" w:color="auto" w:sz="6" w:space="0"/>
                    <w:left w:val="outset" w:color="auto" w:sz="6" w:space="0"/>
                    <w:bottom w:val="outset" w:color="auto" w:sz="6" w:space="0"/>
                    <w:right w:val="outset" w:color="auto" w:sz="6" w:space="0"/>
                  </w:tcBorders>
                  <w:vAlign w:val="center"/>
                </w:tcPr>
                <w:p w14:paraId="4AA55C43">
                  <w:r>
                    <w:rPr>
                      <w:rStyle w:val="11"/>
                      <w:rFonts w:hint="eastAsia"/>
                    </w:rPr>
                    <w:t>喷雾</w:t>
                  </w:r>
                </w:p>
              </w:tc>
            </w:tr>
          </w:tbl>
          <w:p w14:paraId="13766DE5">
            <w:pPr>
              <w:rPr>
                <w:rFonts w:ascii="Times New Roman" w:hAnsi="Times New Roman" w:cs="Times New Roman"/>
                <w:sz w:val="20"/>
                <w:szCs w:val="20"/>
              </w:rPr>
            </w:pPr>
          </w:p>
        </w:tc>
      </w:tr>
      <w:tr w14:paraId="1A58ABEE">
        <w:tblPrEx>
          <w:tblCellMar>
            <w:top w:w="0" w:type="dxa"/>
            <w:left w:w="0" w:type="dxa"/>
            <w:bottom w:w="0" w:type="dxa"/>
            <w:right w:w="0" w:type="dxa"/>
          </w:tblCellMar>
        </w:tblPrEx>
        <w:trPr>
          <w:tblCellSpacing w:w="0" w:type="dxa"/>
        </w:trPr>
        <w:tc>
          <w:tcPr>
            <w:tcW w:w="0" w:type="auto"/>
            <w:vAlign w:val="center"/>
          </w:tcPr>
          <w:p w14:paraId="7A28641D">
            <w:r>
              <w:rPr>
                <w:rStyle w:val="10"/>
                <w:rFonts w:hint="eastAsia"/>
              </w:rPr>
              <w:t>使用技术要求:</w:t>
            </w:r>
            <w:r>
              <w:rPr>
                <w:rFonts w:hint="eastAsia"/>
              </w:rPr>
              <w:br w:type="textWrapping"/>
            </w:r>
            <w:r>
              <w:rPr>
                <w:rStyle w:val="11"/>
                <w:rFonts w:hint="eastAsia"/>
              </w:rPr>
              <w:t>1.氟唑菌酰羟胺为中-高等抗性风险药剂，使用时必须遵从抗性管理措施，严格按照标签推荐的施药时期、施药剂量和次数施药；严格控制同类药剂的施药次数，在整个生长季同类药剂施药次数不超过2次。为取得较好防治效果，应于发病前或初见零星病斑时开始用药。2.使用前需充分摇匀，按推荐剂量兑水稀释，均匀喷雾。3. 防治小麦赤霉病建议在小麦扬花初期喷雾，可间隔7天左右再施药1次，重点喷施穗部。每季作物最多使用2次，安全间隔期为14天。4. 防治油菜菌核病，建议在开花初期、茎杆发病初期喷雾，重点喷施茎杆部。每季作物最多使用1次，安全间隔期为21天。5.大风天或预计施药后1小时内降雨，或在极端温湿度条件下，请勿使用本品。</w:t>
            </w:r>
          </w:p>
        </w:tc>
      </w:tr>
      <w:tr w14:paraId="53BE5BB5">
        <w:tblPrEx>
          <w:tblCellMar>
            <w:top w:w="0" w:type="dxa"/>
            <w:left w:w="0" w:type="dxa"/>
            <w:bottom w:w="0" w:type="dxa"/>
            <w:right w:w="0" w:type="dxa"/>
          </w:tblCellMar>
        </w:tblPrEx>
        <w:trPr>
          <w:tblCellSpacing w:w="0" w:type="dxa"/>
        </w:trPr>
        <w:tc>
          <w:tcPr>
            <w:tcW w:w="0" w:type="auto"/>
            <w:vAlign w:val="center"/>
          </w:tcPr>
          <w:p w14:paraId="5F01F05C">
            <w:r>
              <w:rPr>
                <w:rStyle w:val="10"/>
                <w:rFonts w:hint="eastAsia"/>
              </w:rPr>
              <w:t>产品性能:</w:t>
            </w:r>
            <w:r>
              <w:rPr>
                <w:rFonts w:hint="eastAsia"/>
              </w:rPr>
              <w:br w:type="textWrapping"/>
            </w:r>
            <w:r>
              <w:rPr>
                <w:rStyle w:val="11"/>
                <w:rFonts w:hint="eastAsia"/>
              </w:rPr>
              <w:t>氟唑菌酰羟胺为吡唑羧酰胺类杀菌剂，作用机理为琥珀酸脱氢酶抑制剂（SDHI），属于C2族，第7组化合物。氟唑菌酰羟胺可快速与蜡质层结合，耐雨水冲刷，增加了持效期，能高效防治小麦赤霉病、油菜菌核病。</w:t>
            </w:r>
          </w:p>
        </w:tc>
      </w:tr>
      <w:tr w14:paraId="3C3E8E0D">
        <w:tblPrEx>
          <w:tblCellMar>
            <w:top w:w="0" w:type="dxa"/>
            <w:left w:w="0" w:type="dxa"/>
            <w:bottom w:w="0" w:type="dxa"/>
            <w:right w:w="0" w:type="dxa"/>
          </w:tblCellMar>
        </w:tblPrEx>
        <w:trPr>
          <w:tblCellSpacing w:w="0" w:type="dxa"/>
        </w:trPr>
        <w:tc>
          <w:tcPr>
            <w:tcW w:w="0" w:type="auto"/>
            <w:vAlign w:val="center"/>
          </w:tcPr>
          <w:p w14:paraId="211BC153">
            <w:r>
              <w:rPr>
                <w:rStyle w:val="10"/>
                <w:rFonts w:hint="eastAsia"/>
              </w:rPr>
              <w:t>注意事项：</w:t>
            </w:r>
            <w:r>
              <w:rPr>
                <w:rFonts w:hint="eastAsia"/>
              </w:rPr>
              <w:br w:type="textWrapping"/>
            </w:r>
            <w:r>
              <w:rPr>
                <w:rStyle w:val="11"/>
                <w:rFonts w:hint="eastAsia"/>
              </w:rPr>
              <w:t>1. 请按照农药安全使用准则使用本品。本品对眼睛有刺激性，避免皮肤、眼睛暴露和吸入雾滴。切勿在施药现场抽烟或饮食。在饮水、进食和抽烟前， 应先洗手、洗脸。 2.配药时，应穿长袖衣、长裤，戴防护面罩，丁腈橡胶手套，穿防护靴。 3. 喷药时，应穿长袖衣、长裤和防护靴。 4.施药后，应彻底清洗防护用具，洗澡，并更换和清洗工作服；确保施药衣物同普通衣物分开清洗。 5. 请依照当地法律法规妥善处理农药包装废弃物。配药时应当通过清洗等方式充分利用包装物中的农药，减少残留；农药包装废弃物不得随意丢弃，应收集起来，交回农药经营者或农药包装废弃物回收站（点）处理；空塑料瓶包装废弃物等，可资源化再利用为非餐饮用具、非儿童玩具等的产品，防止危害人体健康；资源化利用外的包装废弃物，应当依法依规进行填埋、焚烧等无害化处置。可咨询县级以上地方人民政府农业农村主管部门、生态环境主管部门的指导处理。6.药液及其废液不得污染各类水域，土壤等环境。本品对鱼类、大型溞等水生生物高毒，严禁在水产养殖区、河塘等水体附近使用，远离水源。勿将药液或空包装弃于水中；严禁在河塘等水域清洗施药器具。 7. 桑园及蚕室附近禁用。 8. 建议与其它作用机理不同的杀菌剂轮换使用。9. 孕妇、哺乳期妇女、儿童、患者、身体有伤口及过敏者避免接触本品。 制造厂敬告用户：用药前请先阅读标签上的安全使用说明，误用产品会导致危险。必须始终按照产品标签说明或接受当地农业技术部门的指导使用本品。</w:t>
            </w:r>
          </w:p>
        </w:tc>
      </w:tr>
      <w:tr w14:paraId="4BB56F07">
        <w:tblPrEx>
          <w:tblCellMar>
            <w:top w:w="0" w:type="dxa"/>
            <w:left w:w="0" w:type="dxa"/>
            <w:bottom w:w="0" w:type="dxa"/>
            <w:right w:w="0" w:type="dxa"/>
          </w:tblCellMar>
        </w:tblPrEx>
        <w:trPr>
          <w:tblCellSpacing w:w="0" w:type="dxa"/>
        </w:trPr>
        <w:tc>
          <w:tcPr>
            <w:tcW w:w="0" w:type="auto"/>
            <w:vAlign w:val="center"/>
          </w:tcPr>
          <w:p w14:paraId="103415D3">
            <w:r>
              <w:rPr>
                <w:rStyle w:val="10"/>
                <w:rFonts w:hint="eastAsia"/>
              </w:rPr>
              <w:t>中毒急救措施：</w:t>
            </w:r>
            <w:r>
              <w:rPr>
                <w:rFonts w:hint="eastAsia"/>
              </w:rPr>
              <w:br w:type="textWrapping"/>
            </w:r>
            <w:r>
              <w:rPr>
                <w:rStyle w:val="11"/>
                <w:rFonts w:hint="eastAsia"/>
              </w:rPr>
              <w:t>中毒症状：按标签推荐方法使用，无中毒症状。 中毒急救： 1.用药时如果感觉不适，立即停止工作，拨打中毒急救热线咨询，并采取急救措施，并携此标签送医就诊，并对症治疗。2.皮肤接触：立即脱掉被污染的衣物，用大量清水冲洗被污染的皮肤，如皮肤刺激感持续，请携带产品标签寻求医生诊治。被污染的衣物再次使用前需同普通衣服分开彻底清洗。3.眼睛溅药：立即用清水冲洗至眼睛和眼睑至少15至20分钟，如果戴有隐形眼镜，将其摘掉后再继续冲洗15-20分钟， 然后尽快寻求医生诊治。4.发生吸入：将吸入者转移到空气新鲜处，立即请医生诊治。 5.误服：请勿引吐，立即携带标签，送医就诊。如果自口服2小时内，且口服剂量为致死剂量，使用医用活性炭洗胃，注意防止胃容物进入呼吸道。如果病人可以吞咽，可以给病人喝水，避免患者脱水。注 意：如果患者无意识，不要给患者喂食任何食物和水。解毒剂：无专用解毒剂，对症治疗。中毒时，请拨打中国疾控中心中毒控制中心咨询热线：400 650 5726</w:t>
            </w:r>
          </w:p>
        </w:tc>
      </w:tr>
      <w:tr w14:paraId="249100E7">
        <w:tblPrEx>
          <w:tblCellMar>
            <w:top w:w="0" w:type="dxa"/>
            <w:left w:w="0" w:type="dxa"/>
            <w:bottom w:w="0" w:type="dxa"/>
            <w:right w:w="0" w:type="dxa"/>
          </w:tblCellMar>
        </w:tblPrEx>
        <w:trPr>
          <w:tblCellSpacing w:w="0" w:type="dxa"/>
        </w:trPr>
        <w:tc>
          <w:tcPr>
            <w:tcW w:w="0" w:type="auto"/>
            <w:vAlign w:val="center"/>
          </w:tcPr>
          <w:p w14:paraId="7F6448F2">
            <w:r>
              <w:rPr>
                <w:rStyle w:val="10"/>
                <w:rFonts w:hint="eastAsia"/>
              </w:rPr>
              <w:t>储存和运输方法：</w:t>
            </w:r>
            <w:r>
              <w:rPr>
                <w:rFonts w:hint="eastAsia"/>
              </w:rPr>
              <w:br w:type="textWrapping"/>
            </w:r>
            <w:r>
              <w:rPr>
                <w:rStyle w:val="11"/>
                <w:rFonts w:hint="eastAsia"/>
              </w:rPr>
              <w:t>1.未用完的制剂应放在原包装内密封保存，稀释后的制剂应放入塑料、钢衬塑料、不锈钢和玻璃纤维容器的容器中储存，并清晰标注；切勿置于饮、食、饲料等其他容器中，并应加锁保存，置于儿童、无关人员和动物接触不到的地方，不能与食品、饮料、粮食、饲料等混合储存。2. 本品应密封贮藏在避光、干燥、通风处。贮藏温度应避免低于-10℃或高于35℃，以免产品变质。3. 产品码放高度不宜超过2米，请勿将产品倒置，以免损坏包装。4. 运输时应注意避光、防高温、雨淋。</w:t>
            </w:r>
          </w:p>
        </w:tc>
      </w:tr>
      <w:tr w14:paraId="055DEC8C">
        <w:tblPrEx>
          <w:tblCellMar>
            <w:top w:w="0" w:type="dxa"/>
            <w:left w:w="0" w:type="dxa"/>
            <w:bottom w:w="0" w:type="dxa"/>
            <w:right w:w="0" w:type="dxa"/>
          </w:tblCellMar>
        </w:tblPrEx>
        <w:trPr>
          <w:tblCellSpacing w:w="0" w:type="dxa"/>
        </w:trPr>
        <w:tc>
          <w:tcPr>
            <w:tcW w:w="0" w:type="auto"/>
            <w:vAlign w:val="center"/>
          </w:tcPr>
          <w:p w14:paraId="694C1E68">
            <w:r>
              <w:rPr>
                <w:rStyle w:val="10"/>
                <w:rFonts w:hint="eastAsia"/>
              </w:rPr>
              <w:t>质量保证期：</w:t>
            </w:r>
            <w:r>
              <w:rPr>
                <w:rStyle w:val="11"/>
                <w:rFonts w:hint="eastAsia"/>
              </w:rPr>
              <w:t>2年</w:t>
            </w:r>
          </w:p>
        </w:tc>
      </w:tr>
      <w:tr w14:paraId="41C0C0E9">
        <w:tblPrEx>
          <w:tblCellMar>
            <w:top w:w="0" w:type="dxa"/>
            <w:left w:w="0" w:type="dxa"/>
            <w:bottom w:w="0" w:type="dxa"/>
            <w:right w:w="0" w:type="dxa"/>
          </w:tblCellMar>
        </w:tblPrEx>
        <w:trPr>
          <w:tblCellSpacing w:w="0" w:type="dxa"/>
        </w:trPr>
        <w:tc>
          <w:tcPr>
            <w:tcW w:w="0" w:type="auto"/>
            <w:vAlign w:val="center"/>
          </w:tcPr>
          <w:p w14:paraId="7B3EC815">
            <w:r>
              <w:rPr>
                <w:rStyle w:val="10"/>
                <w:rFonts w:hint="eastAsia"/>
              </w:rPr>
              <w:t>备注：</w:t>
            </w:r>
          </w:p>
        </w:tc>
      </w:tr>
    </w:tbl>
    <w:p w14:paraId="59076C9D">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904A499">
        <w:trPr>
          <w:tblCellSpacing w:w="0" w:type="dxa"/>
        </w:trPr>
        <w:tc>
          <w:tcPr>
            <w:tcW w:w="0" w:type="auto"/>
            <w:vAlign w:val="center"/>
          </w:tcPr>
          <w:p w14:paraId="01A91AD7">
            <w:r>
              <w:rPr>
                <w:rStyle w:val="10"/>
                <w:rFonts w:hint="eastAsia"/>
              </w:rPr>
              <w:t>登记证号：</w:t>
            </w:r>
            <w:r>
              <w:rPr>
                <w:rFonts w:hint="eastAsia"/>
              </w:rPr>
              <w:t>PD20082784</w:t>
            </w:r>
          </w:p>
        </w:tc>
      </w:tr>
      <w:tr w14:paraId="103535B3">
        <w:tblPrEx>
          <w:tblCellMar>
            <w:top w:w="0" w:type="dxa"/>
            <w:left w:w="0" w:type="dxa"/>
            <w:bottom w:w="0" w:type="dxa"/>
            <w:right w:w="0" w:type="dxa"/>
          </w:tblCellMar>
        </w:tblPrEx>
        <w:trPr>
          <w:tblCellSpacing w:w="0" w:type="dxa"/>
        </w:trPr>
        <w:tc>
          <w:tcPr>
            <w:tcW w:w="0" w:type="auto"/>
            <w:vAlign w:val="center"/>
          </w:tcPr>
          <w:p w14:paraId="3CB1EE40">
            <w:r>
              <w:rPr>
                <w:rStyle w:val="10"/>
                <w:rFonts w:hint="eastAsia"/>
              </w:rPr>
              <w:t>登记证持有人：</w:t>
            </w:r>
            <w:r>
              <w:rPr>
                <w:rFonts w:hint="eastAsia"/>
              </w:rPr>
              <w:t>顺毅股份有限公司</w:t>
            </w:r>
          </w:p>
        </w:tc>
      </w:tr>
      <w:tr w14:paraId="107F89AD">
        <w:tblPrEx>
          <w:tblCellMar>
            <w:top w:w="0" w:type="dxa"/>
            <w:left w:w="0" w:type="dxa"/>
            <w:bottom w:w="0" w:type="dxa"/>
            <w:right w:w="0" w:type="dxa"/>
          </w:tblCellMar>
        </w:tblPrEx>
        <w:trPr>
          <w:tblCellSpacing w:w="0" w:type="dxa"/>
        </w:trPr>
        <w:tc>
          <w:tcPr>
            <w:tcW w:w="0" w:type="auto"/>
            <w:vAlign w:val="center"/>
          </w:tcPr>
          <w:p w14:paraId="0ECDE6D4">
            <w:r>
              <w:rPr>
                <w:rStyle w:val="10"/>
                <w:rFonts w:hint="eastAsia"/>
              </w:rPr>
              <w:t>农药名称：</w:t>
            </w:r>
            <w:r>
              <w:rPr>
                <w:rFonts w:hint="eastAsia"/>
              </w:rPr>
              <w:t>精噁唑禾草灵</w:t>
            </w:r>
          </w:p>
        </w:tc>
      </w:tr>
      <w:tr w14:paraId="065686FF">
        <w:tblPrEx>
          <w:tblCellMar>
            <w:top w:w="0" w:type="dxa"/>
            <w:left w:w="0" w:type="dxa"/>
            <w:bottom w:w="0" w:type="dxa"/>
            <w:right w:w="0" w:type="dxa"/>
          </w:tblCellMar>
        </w:tblPrEx>
        <w:trPr>
          <w:tblCellSpacing w:w="0" w:type="dxa"/>
        </w:trPr>
        <w:tc>
          <w:tcPr>
            <w:tcW w:w="0" w:type="auto"/>
            <w:vAlign w:val="center"/>
          </w:tcPr>
          <w:p w14:paraId="79D70E08">
            <w:r>
              <w:rPr>
                <w:rStyle w:val="10"/>
                <w:rFonts w:hint="eastAsia"/>
              </w:rPr>
              <w:t>剂型：</w:t>
            </w:r>
            <w:r>
              <w:rPr>
                <w:rFonts w:hint="eastAsia"/>
              </w:rPr>
              <w:t>乳油</w:t>
            </w:r>
          </w:p>
        </w:tc>
      </w:tr>
      <w:tr w14:paraId="538A730E">
        <w:tblPrEx>
          <w:tblCellMar>
            <w:top w:w="0" w:type="dxa"/>
            <w:left w:w="0" w:type="dxa"/>
            <w:bottom w:w="0" w:type="dxa"/>
            <w:right w:w="0" w:type="dxa"/>
          </w:tblCellMar>
        </w:tblPrEx>
        <w:trPr>
          <w:tblCellSpacing w:w="0" w:type="dxa"/>
        </w:trPr>
        <w:tc>
          <w:tcPr>
            <w:tcW w:w="0" w:type="auto"/>
            <w:vAlign w:val="center"/>
          </w:tcPr>
          <w:p w14:paraId="5779A6EA">
            <w:r>
              <w:rPr>
                <w:rStyle w:val="10"/>
                <w:rFonts w:hint="eastAsia"/>
              </w:rPr>
              <w:t>毒性及其标识：</w:t>
            </w:r>
            <w:r>
              <w:rPr>
                <w:rFonts w:hint="eastAsia"/>
              </w:rPr>
              <w:t xml:space="preserve"> </w:t>
            </w:r>
            <w:r>
              <w:drawing>
                <wp:inline distT="0" distB="0" distL="0" distR="0">
                  <wp:extent cx="474345" cy="323850"/>
                  <wp:effectExtent l="0" t="0" r="1905"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27B37ED9">
        <w:tblPrEx>
          <w:tblCellMar>
            <w:top w:w="0" w:type="dxa"/>
            <w:left w:w="0" w:type="dxa"/>
            <w:bottom w:w="0" w:type="dxa"/>
            <w:right w:w="0" w:type="dxa"/>
          </w:tblCellMar>
        </w:tblPrEx>
        <w:trPr>
          <w:tblCellSpacing w:w="0" w:type="dxa"/>
        </w:trPr>
        <w:tc>
          <w:tcPr>
            <w:tcW w:w="0" w:type="auto"/>
            <w:vAlign w:val="center"/>
          </w:tcPr>
          <w:p w14:paraId="274A97A6">
            <w:r>
              <w:rPr>
                <w:rStyle w:val="10"/>
                <w:rFonts w:hint="eastAsia"/>
              </w:rPr>
              <w:t>总有效成分含量：</w:t>
            </w:r>
            <w:r>
              <w:rPr>
                <w:rFonts w:hint="eastAsia"/>
              </w:rPr>
              <w:t>100克/升</w:t>
            </w:r>
          </w:p>
        </w:tc>
      </w:tr>
      <w:tr w14:paraId="0198E9CC">
        <w:tblPrEx>
          <w:tblCellMar>
            <w:top w:w="0" w:type="dxa"/>
            <w:left w:w="0" w:type="dxa"/>
            <w:bottom w:w="0" w:type="dxa"/>
            <w:right w:w="0" w:type="dxa"/>
          </w:tblCellMar>
        </w:tblPrEx>
        <w:trPr>
          <w:tblCellSpacing w:w="0" w:type="dxa"/>
        </w:trPr>
        <w:tc>
          <w:tcPr>
            <w:tcW w:w="0" w:type="auto"/>
            <w:vAlign w:val="center"/>
          </w:tcPr>
          <w:p w14:paraId="7D76C126">
            <w:r>
              <w:rPr>
                <w:rFonts w:hint="eastAsia"/>
              </w:rPr>
              <w:t xml:space="preserve">有效成分及其含量： </w:t>
            </w:r>
          </w:p>
          <w:p w14:paraId="707F376F">
            <w:r>
              <w:rPr>
                <w:rFonts w:hint="eastAsia"/>
              </w:rPr>
              <w:t xml:space="preserve">    精噁唑禾草灵100克/升    </w:t>
            </w:r>
          </w:p>
        </w:tc>
      </w:tr>
      <w:tr w14:paraId="087E59A8">
        <w:tblPrEx>
          <w:tblCellMar>
            <w:top w:w="0" w:type="dxa"/>
            <w:left w:w="0" w:type="dxa"/>
            <w:bottom w:w="0" w:type="dxa"/>
            <w:right w:w="0" w:type="dxa"/>
          </w:tblCellMar>
        </w:tblPrEx>
        <w:trPr>
          <w:tblCellSpacing w:w="0" w:type="dxa"/>
        </w:trPr>
        <w:tc>
          <w:tcPr>
            <w:tcW w:w="0" w:type="auto"/>
            <w:vAlign w:val="center"/>
          </w:tcPr>
          <w:p w14:paraId="5C8AC62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F03A9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79A940">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D35A1A">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828169">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EBA1643">
                  <w:r>
                    <w:rPr>
                      <w:rStyle w:val="11"/>
                      <w:rFonts w:hint="eastAsia"/>
                    </w:rPr>
                    <w:t>施用方式</w:t>
                  </w:r>
                </w:p>
              </w:tc>
            </w:tr>
            <w:tr w14:paraId="3696F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FFAC51">
                  <w:r>
                    <w:rPr>
                      <w:rStyle w:val="11"/>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625ACF2B">
                  <w:r>
                    <w:rPr>
                      <w:rStyle w:val="11"/>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F2E12A5">
                  <w:r>
                    <w:rPr>
                      <w:rStyle w:val="11"/>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5818C73D">
                  <w:r>
                    <w:rPr>
                      <w:rStyle w:val="11"/>
                      <w:rFonts w:hint="eastAsia"/>
                    </w:rPr>
                    <w:t>喷雾</w:t>
                  </w:r>
                </w:p>
              </w:tc>
            </w:tr>
          </w:tbl>
          <w:p w14:paraId="469E5E77">
            <w:pPr>
              <w:rPr>
                <w:rFonts w:ascii="Times New Roman" w:hAnsi="Times New Roman" w:cs="Times New Roman"/>
                <w:sz w:val="20"/>
                <w:szCs w:val="20"/>
              </w:rPr>
            </w:pPr>
          </w:p>
        </w:tc>
      </w:tr>
      <w:tr w14:paraId="36707F45">
        <w:tblPrEx>
          <w:tblCellMar>
            <w:top w:w="0" w:type="dxa"/>
            <w:left w:w="0" w:type="dxa"/>
            <w:bottom w:w="0" w:type="dxa"/>
            <w:right w:w="0" w:type="dxa"/>
          </w:tblCellMar>
        </w:tblPrEx>
        <w:trPr>
          <w:tblCellSpacing w:w="0" w:type="dxa"/>
        </w:trPr>
        <w:tc>
          <w:tcPr>
            <w:tcW w:w="0" w:type="auto"/>
            <w:vAlign w:val="center"/>
          </w:tcPr>
          <w:p w14:paraId="2CA29BE0">
            <w:r>
              <w:rPr>
                <w:rStyle w:val="10"/>
                <w:rFonts w:hint="eastAsia"/>
              </w:rPr>
              <w:t>使用技术要求:</w:t>
            </w:r>
            <w:r>
              <w:rPr>
                <w:rFonts w:hint="eastAsia"/>
              </w:rPr>
              <w:br w:type="textWrapping"/>
            </w:r>
            <w:r>
              <w:rPr>
                <w:rStyle w:val="11"/>
                <w:rFonts w:hint="eastAsia"/>
              </w:rPr>
              <w:t>1.小麦起身拨节期以前，禾本科杂草2叶至分蘖末期期间刚出齐苗时施用最佳； 2.本剂含安全剂吡唑解草酯，用于麦田防除禾本科杂草，对小麦安全，在小麦上每季最多使用1次； 3.科学使用下，对当茬作物以及后茬作物无不良影响； 4.大风天或预计1小时内降雨，请勿施药。</w:t>
            </w:r>
          </w:p>
        </w:tc>
      </w:tr>
      <w:tr w14:paraId="15A1C8C2">
        <w:tblPrEx>
          <w:tblCellMar>
            <w:top w:w="0" w:type="dxa"/>
            <w:left w:w="0" w:type="dxa"/>
            <w:bottom w:w="0" w:type="dxa"/>
            <w:right w:w="0" w:type="dxa"/>
          </w:tblCellMar>
        </w:tblPrEx>
        <w:trPr>
          <w:tblCellSpacing w:w="0" w:type="dxa"/>
        </w:trPr>
        <w:tc>
          <w:tcPr>
            <w:tcW w:w="0" w:type="auto"/>
            <w:vAlign w:val="center"/>
          </w:tcPr>
          <w:p w14:paraId="3A92AAC7">
            <w:r>
              <w:rPr>
                <w:rStyle w:val="10"/>
                <w:rFonts w:hint="eastAsia"/>
              </w:rPr>
              <w:t>产品性能:</w:t>
            </w:r>
            <w:r>
              <w:rPr>
                <w:rFonts w:hint="eastAsia"/>
              </w:rPr>
              <w:br w:type="textWrapping"/>
            </w:r>
            <w:r>
              <w:rPr>
                <w:rStyle w:val="11"/>
                <w:rFonts w:hint="eastAsia"/>
              </w:rPr>
              <w:t>本品是芳氧苯氧基丙酸类内吸传导选择性苗后茎叶除草剂，具有杀草谱广、施药期宽、可混性强等特点。对冬小麦田中一年生禾本科杂草有良好的防治效果。</w:t>
            </w:r>
          </w:p>
        </w:tc>
      </w:tr>
      <w:tr w14:paraId="741506C7">
        <w:tblPrEx>
          <w:tblCellMar>
            <w:top w:w="0" w:type="dxa"/>
            <w:left w:w="0" w:type="dxa"/>
            <w:bottom w:w="0" w:type="dxa"/>
            <w:right w:w="0" w:type="dxa"/>
          </w:tblCellMar>
        </w:tblPrEx>
        <w:trPr>
          <w:tblCellSpacing w:w="0" w:type="dxa"/>
        </w:trPr>
        <w:tc>
          <w:tcPr>
            <w:tcW w:w="0" w:type="auto"/>
            <w:vAlign w:val="center"/>
          </w:tcPr>
          <w:p w14:paraId="1FE2EB18">
            <w:r>
              <w:rPr>
                <w:rStyle w:val="10"/>
                <w:rFonts w:hint="eastAsia"/>
              </w:rPr>
              <w:t>注意事项：</w:t>
            </w:r>
            <w:r>
              <w:rPr>
                <w:rFonts w:hint="eastAsia"/>
              </w:rPr>
              <w:br w:type="textWrapping"/>
            </w:r>
            <w:r>
              <w:rPr>
                <w:rStyle w:val="11"/>
                <w:rFonts w:hint="eastAsia"/>
              </w:rPr>
              <w:t>1.合理使用对冬小麦安全(但不能用于大麦、燕麦、玉米、高粱等作物)。 2.按照农药田间操作规程施药，开启包装物时沿包装袋缺口小心撕开或沿瓶口小心拧开；喷雾时力求均匀周到，不宜与和苯达松、2甲4氯、百草敌等混用； 3.若在施药田块需防除阔叶杂草，应与这些除草剂间隔7天使用； 4.尽量避免与药剂接触； 5.施药用具用毕后应妥善处理，不可做他用，不可随意丢弃，远离水产养殖区、河塘等水体中清洗施药器具，防止药液污染水源地； 6.使用本品时应穿戴防护服、口罩和手套等，避免吸入药液，施药期间不可吃东西和饮水；施药后应及时洗手和洗脸。 7.孕妇、哺乳期妇女及过敏者禁用，使用时有任何不良症状，请及时就医。</w:t>
            </w:r>
          </w:p>
        </w:tc>
      </w:tr>
      <w:tr w14:paraId="634DB98F">
        <w:tblPrEx>
          <w:tblCellMar>
            <w:top w:w="0" w:type="dxa"/>
            <w:left w:w="0" w:type="dxa"/>
            <w:bottom w:w="0" w:type="dxa"/>
            <w:right w:w="0" w:type="dxa"/>
          </w:tblCellMar>
        </w:tblPrEx>
        <w:trPr>
          <w:tblCellSpacing w:w="0" w:type="dxa"/>
        </w:trPr>
        <w:tc>
          <w:tcPr>
            <w:tcW w:w="0" w:type="auto"/>
            <w:vAlign w:val="center"/>
          </w:tcPr>
          <w:p w14:paraId="4C0E17BA">
            <w:r>
              <w:rPr>
                <w:rStyle w:val="10"/>
                <w:rFonts w:hint="eastAsia"/>
              </w:rPr>
              <w:t>中毒急救措施：</w:t>
            </w:r>
            <w:r>
              <w:rPr>
                <w:rFonts w:hint="eastAsia"/>
              </w:rPr>
              <w:br w:type="textWrapping"/>
            </w:r>
            <w:r>
              <w:rPr>
                <w:rStyle w:val="11"/>
                <w:rFonts w:hint="eastAsia"/>
              </w:rPr>
              <w:t>如皮肤、眼睛有溅入，应即用大量清水冲洗；施药时勿抽烟或取食；如误服，请携带本标签就医，先服200毫升液体石蜡，然后用约4公升水洗胃，最后服活性炭及硫酸钠，不要引吐。</w:t>
            </w:r>
          </w:p>
        </w:tc>
      </w:tr>
      <w:tr w14:paraId="17D1AA5D">
        <w:tblPrEx>
          <w:tblCellMar>
            <w:top w:w="0" w:type="dxa"/>
            <w:left w:w="0" w:type="dxa"/>
            <w:bottom w:w="0" w:type="dxa"/>
            <w:right w:w="0" w:type="dxa"/>
          </w:tblCellMar>
        </w:tblPrEx>
        <w:trPr>
          <w:tblCellSpacing w:w="0" w:type="dxa"/>
        </w:trPr>
        <w:tc>
          <w:tcPr>
            <w:tcW w:w="0" w:type="auto"/>
            <w:vAlign w:val="center"/>
          </w:tcPr>
          <w:p w14:paraId="08A8ED26">
            <w:r>
              <w:rPr>
                <w:rStyle w:val="10"/>
                <w:rFonts w:hint="eastAsia"/>
              </w:rPr>
              <w:t>储存和运输方法：</w:t>
            </w:r>
            <w:r>
              <w:rPr>
                <w:rFonts w:hint="eastAsia"/>
              </w:rPr>
              <w:br w:type="textWrapping"/>
            </w:r>
            <w:r>
              <w:rPr>
                <w:rStyle w:val="11"/>
                <w:rFonts w:hint="eastAsia"/>
              </w:rPr>
              <w:t>本品易燃，在储存和运输时请远离火源，装卸时轻拿轻放，切勿倒置。运输时要确保不倾倒、不泄露、不损坏，防止高温、雨淋，不得与食物、种子、饲料等混运。应储存于阴凉、干燥、通风的库房中。置于儿童接触不到的地方，并加锁保存。不能与食品、饮料、粮食、饲料等混合储存。</w:t>
            </w:r>
          </w:p>
        </w:tc>
      </w:tr>
      <w:tr w14:paraId="4FA956F9">
        <w:tblPrEx>
          <w:tblCellMar>
            <w:top w:w="0" w:type="dxa"/>
            <w:left w:w="0" w:type="dxa"/>
            <w:bottom w:w="0" w:type="dxa"/>
            <w:right w:w="0" w:type="dxa"/>
          </w:tblCellMar>
        </w:tblPrEx>
        <w:trPr>
          <w:tblCellSpacing w:w="0" w:type="dxa"/>
        </w:trPr>
        <w:tc>
          <w:tcPr>
            <w:tcW w:w="0" w:type="auto"/>
            <w:vAlign w:val="center"/>
          </w:tcPr>
          <w:p w14:paraId="488A5B98">
            <w:r>
              <w:rPr>
                <w:rStyle w:val="10"/>
                <w:rFonts w:hint="eastAsia"/>
              </w:rPr>
              <w:t>质量保证期：</w:t>
            </w:r>
            <w:r>
              <w:rPr>
                <w:rStyle w:val="11"/>
                <w:rFonts w:hint="eastAsia"/>
              </w:rPr>
              <w:t>2年</w:t>
            </w:r>
          </w:p>
        </w:tc>
      </w:tr>
      <w:tr w14:paraId="43F21C6F">
        <w:tblPrEx>
          <w:tblCellMar>
            <w:top w:w="0" w:type="dxa"/>
            <w:left w:w="0" w:type="dxa"/>
            <w:bottom w:w="0" w:type="dxa"/>
            <w:right w:w="0" w:type="dxa"/>
          </w:tblCellMar>
        </w:tblPrEx>
        <w:trPr>
          <w:tblCellSpacing w:w="0" w:type="dxa"/>
        </w:trPr>
        <w:tc>
          <w:tcPr>
            <w:tcW w:w="0" w:type="auto"/>
            <w:vAlign w:val="center"/>
          </w:tcPr>
          <w:p w14:paraId="7C0D6CC8">
            <w:r>
              <w:rPr>
                <w:rStyle w:val="10"/>
                <w:rFonts w:hint="eastAsia"/>
              </w:rPr>
              <w:t>备注：</w:t>
            </w:r>
          </w:p>
        </w:tc>
      </w:tr>
    </w:tbl>
    <w:p w14:paraId="157B5013">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514E03D">
        <w:tblPrEx>
          <w:tblCellMar>
            <w:top w:w="0" w:type="dxa"/>
            <w:left w:w="0" w:type="dxa"/>
            <w:bottom w:w="0" w:type="dxa"/>
            <w:right w:w="0" w:type="dxa"/>
          </w:tblCellMar>
        </w:tblPrEx>
        <w:trPr>
          <w:tblCellSpacing w:w="0" w:type="dxa"/>
        </w:trPr>
        <w:tc>
          <w:tcPr>
            <w:tcW w:w="0" w:type="auto"/>
            <w:vAlign w:val="center"/>
          </w:tcPr>
          <w:p w14:paraId="098CE849">
            <w:r>
              <w:rPr>
                <w:rStyle w:val="10"/>
                <w:rFonts w:hint="eastAsia"/>
              </w:rPr>
              <w:t>登记证号：</w:t>
            </w:r>
            <w:r>
              <w:rPr>
                <w:rFonts w:hint="eastAsia"/>
              </w:rPr>
              <w:t>PD20150707</w:t>
            </w:r>
          </w:p>
        </w:tc>
      </w:tr>
      <w:tr w14:paraId="2888339F">
        <w:tblPrEx>
          <w:tblCellMar>
            <w:top w:w="0" w:type="dxa"/>
            <w:left w:w="0" w:type="dxa"/>
            <w:bottom w:w="0" w:type="dxa"/>
            <w:right w:w="0" w:type="dxa"/>
          </w:tblCellMar>
        </w:tblPrEx>
        <w:trPr>
          <w:tblCellSpacing w:w="0" w:type="dxa"/>
        </w:trPr>
        <w:tc>
          <w:tcPr>
            <w:tcW w:w="0" w:type="auto"/>
            <w:vAlign w:val="center"/>
          </w:tcPr>
          <w:p w14:paraId="62518D71">
            <w:r>
              <w:rPr>
                <w:rStyle w:val="10"/>
                <w:rFonts w:hint="eastAsia"/>
              </w:rPr>
              <w:t>登记证持有人：</w:t>
            </w:r>
            <w:r>
              <w:rPr>
                <w:rFonts w:hint="eastAsia"/>
              </w:rPr>
              <w:t>先正达南通作物保护有限公司</w:t>
            </w:r>
          </w:p>
        </w:tc>
      </w:tr>
      <w:tr w14:paraId="3B134694">
        <w:tblPrEx>
          <w:tblCellMar>
            <w:top w:w="0" w:type="dxa"/>
            <w:left w:w="0" w:type="dxa"/>
            <w:bottom w:w="0" w:type="dxa"/>
            <w:right w:w="0" w:type="dxa"/>
          </w:tblCellMar>
        </w:tblPrEx>
        <w:trPr>
          <w:tblCellSpacing w:w="0" w:type="dxa"/>
        </w:trPr>
        <w:tc>
          <w:tcPr>
            <w:tcW w:w="0" w:type="auto"/>
            <w:vAlign w:val="center"/>
          </w:tcPr>
          <w:p w14:paraId="3F9D5061">
            <w:r>
              <w:rPr>
                <w:rStyle w:val="10"/>
                <w:rFonts w:hint="eastAsia"/>
              </w:rPr>
              <w:t>农药名称：</w:t>
            </w:r>
            <w:r>
              <w:rPr>
                <w:rFonts w:hint="eastAsia"/>
              </w:rPr>
              <w:t>苯甲·嘧菌酯</w:t>
            </w:r>
          </w:p>
        </w:tc>
      </w:tr>
      <w:tr w14:paraId="6A31ECD8">
        <w:tblPrEx>
          <w:tblCellMar>
            <w:top w:w="0" w:type="dxa"/>
            <w:left w:w="0" w:type="dxa"/>
            <w:bottom w:w="0" w:type="dxa"/>
            <w:right w:w="0" w:type="dxa"/>
          </w:tblCellMar>
        </w:tblPrEx>
        <w:trPr>
          <w:tblCellSpacing w:w="0" w:type="dxa"/>
        </w:trPr>
        <w:tc>
          <w:tcPr>
            <w:tcW w:w="0" w:type="auto"/>
            <w:vAlign w:val="center"/>
          </w:tcPr>
          <w:p w14:paraId="4CB57A3F">
            <w:r>
              <w:rPr>
                <w:rStyle w:val="10"/>
                <w:rFonts w:hint="eastAsia"/>
              </w:rPr>
              <w:t>剂型：</w:t>
            </w:r>
            <w:r>
              <w:rPr>
                <w:rFonts w:hint="eastAsia"/>
              </w:rPr>
              <w:t>悬浮剂</w:t>
            </w:r>
          </w:p>
        </w:tc>
      </w:tr>
      <w:tr w14:paraId="367EF5D8">
        <w:tblPrEx>
          <w:tblCellMar>
            <w:top w:w="0" w:type="dxa"/>
            <w:left w:w="0" w:type="dxa"/>
            <w:bottom w:w="0" w:type="dxa"/>
            <w:right w:w="0" w:type="dxa"/>
          </w:tblCellMar>
        </w:tblPrEx>
        <w:trPr>
          <w:tblCellSpacing w:w="0" w:type="dxa"/>
        </w:trPr>
        <w:tc>
          <w:tcPr>
            <w:tcW w:w="0" w:type="auto"/>
            <w:vAlign w:val="center"/>
          </w:tcPr>
          <w:p w14:paraId="718918D7">
            <w:r>
              <w:rPr>
                <w:rStyle w:val="10"/>
                <w:rFonts w:hint="eastAsia"/>
              </w:rPr>
              <w:t>毒性及其标识：</w:t>
            </w:r>
            <w:r>
              <w:rPr>
                <w:rFonts w:hint="eastAsia"/>
              </w:rPr>
              <w:t xml:space="preserve"> </w:t>
            </w:r>
            <w:r>
              <w:drawing>
                <wp:inline distT="0" distB="0" distL="0" distR="0">
                  <wp:extent cx="474345" cy="323850"/>
                  <wp:effectExtent l="0" t="0" r="1905"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27E68C3F">
        <w:tblPrEx>
          <w:tblCellMar>
            <w:top w:w="0" w:type="dxa"/>
            <w:left w:w="0" w:type="dxa"/>
            <w:bottom w:w="0" w:type="dxa"/>
            <w:right w:w="0" w:type="dxa"/>
          </w:tblCellMar>
        </w:tblPrEx>
        <w:trPr>
          <w:tblCellSpacing w:w="0" w:type="dxa"/>
        </w:trPr>
        <w:tc>
          <w:tcPr>
            <w:tcW w:w="0" w:type="auto"/>
            <w:vAlign w:val="center"/>
          </w:tcPr>
          <w:p w14:paraId="4BAA0E25">
            <w:r>
              <w:rPr>
                <w:rStyle w:val="10"/>
                <w:rFonts w:hint="eastAsia"/>
              </w:rPr>
              <w:t>总有效成分含量：</w:t>
            </w:r>
            <w:r>
              <w:rPr>
                <w:rFonts w:hint="eastAsia"/>
              </w:rPr>
              <w:t>325克/升</w:t>
            </w:r>
          </w:p>
        </w:tc>
      </w:tr>
      <w:tr w14:paraId="1ADAFCC0">
        <w:tblPrEx>
          <w:tblCellMar>
            <w:top w:w="0" w:type="dxa"/>
            <w:left w:w="0" w:type="dxa"/>
            <w:bottom w:w="0" w:type="dxa"/>
            <w:right w:w="0" w:type="dxa"/>
          </w:tblCellMar>
        </w:tblPrEx>
        <w:trPr>
          <w:tblCellSpacing w:w="0" w:type="dxa"/>
        </w:trPr>
        <w:tc>
          <w:tcPr>
            <w:tcW w:w="0" w:type="auto"/>
            <w:vAlign w:val="center"/>
          </w:tcPr>
          <w:p w14:paraId="194B43FF">
            <w:r>
              <w:rPr>
                <w:rFonts w:hint="eastAsia"/>
              </w:rPr>
              <w:t xml:space="preserve">有效成分及其含量： </w:t>
            </w:r>
          </w:p>
          <w:p w14:paraId="09404D05">
            <w:r>
              <w:rPr>
                <w:rFonts w:hint="eastAsia"/>
              </w:rPr>
              <w:t xml:space="preserve">    嘧菌酯200克/升    苯醚甲环唑125克/升    </w:t>
            </w:r>
          </w:p>
        </w:tc>
      </w:tr>
      <w:tr w14:paraId="192BF114">
        <w:tblPrEx>
          <w:tblCellMar>
            <w:top w:w="0" w:type="dxa"/>
            <w:left w:w="0" w:type="dxa"/>
            <w:bottom w:w="0" w:type="dxa"/>
            <w:right w:w="0" w:type="dxa"/>
          </w:tblCellMar>
        </w:tblPrEx>
        <w:trPr>
          <w:tblCellSpacing w:w="0" w:type="dxa"/>
        </w:trPr>
        <w:tc>
          <w:tcPr>
            <w:tcW w:w="0" w:type="auto"/>
            <w:vAlign w:val="center"/>
          </w:tcPr>
          <w:p w14:paraId="02F7FAA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30C72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629551">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5D69D17">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485919">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DDCD69">
                  <w:r>
                    <w:rPr>
                      <w:rStyle w:val="11"/>
                      <w:rFonts w:hint="eastAsia"/>
                    </w:rPr>
                    <w:t>施用方式</w:t>
                  </w:r>
                </w:p>
              </w:tc>
            </w:tr>
            <w:tr w14:paraId="5B8933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04BEB2">
                  <w:r>
                    <w:rPr>
                      <w:rStyle w:val="11"/>
                      <w:rFonts w:hint="eastAsia"/>
                    </w:rPr>
                    <w:t>大蒜</w:t>
                  </w:r>
                </w:p>
              </w:tc>
              <w:tc>
                <w:tcPr>
                  <w:tcW w:w="0" w:type="auto"/>
                  <w:tcBorders>
                    <w:top w:val="outset" w:color="auto" w:sz="6" w:space="0"/>
                    <w:left w:val="outset" w:color="auto" w:sz="6" w:space="0"/>
                    <w:bottom w:val="outset" w:color="auto" w:sz="6" w:space="0"/>
                    <w:right w:val="outset" w:color="auto" w:sz="6" w:space="0"/>
                  </w:tcBorders>
                  <w:vAlign w:val="center"/>
                </w:tcPr>
                <w:p w14:paraId="7B7D9DB1">
                  <w:r>
                    <w:rPr>
                      <w:rStyle w:val="11"/>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356EE735">
                  <w:r>
                    <w:rPr>
                      <w:rStyle w:val="11"/>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247962E2">
                  <w:r>
                    <w:rPr>
                      <w:rStyle w:val="11"/>
                      <w:rFonts w:hint="eastAsia"/>
                    </w:rPr>
                    <w:t>喷雾</w:t>
                  </w:r>
                </w:p>
              </w:tc>
            </w:tr>
            <w:tr w14:paraId="7C7F8D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0E8DDF">
                  <w:r>
                    <w:rPr>
                      <w:rStyle w:val="11"/>
                      <w:rFonts w:hint="eastAsia"/>
                    </w:rPr>
                    <w:t>姜</w:t>
                  </w:r>
                </w:p>
              </w:tc>
              <w:tc>
                <w:tcPr>
                  <w:tcW w:w="0" w:type="auto"/>
                  <w:tcBorders>
                    <w:top w:val="outset" w:color="auto" w:sz="6" w:space="0"/>
                    <w:left w:val="outset" w:color="auto" w:sz="6" w:space="0"/>
                    <w:bottom w:val="outset" w:color="auto" w:sz="6" w:space="0"/>
                    <w:right w:val="outset" w:color="auto" w:sz="6" w:space="0"/>
                  </w:tcBorders>
                  <w:vAlign w:val="center"/>
                </w:tcPr>
                <w:p w14:paraId="3F82225A">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54DEB520">
                  <w:r>
                    <w:rPr>
                      <w:rStyle w:val="11"/>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640FEC9F">
                  <w:r>
                    <w:rPr>
                      <w:rStyle w:val="11"/>
                      <w:rFonts w:hint="eastAsia"/>
                    </w:rPr>
                    <w:t>喷雾</w:t>
                  </w:r>
                </w:p>
              </w:tc>
            </w:tr>
            <w:tr w14:paraId="3360A0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FA84F4">
                  <w:r>
                    <w:rPr>
                      <w:rStyle w:val="11"/>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2C95EC35">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67A1E8DE">
                  <w:r>
                    <w:rPr>
                      <w:rStyle w:val="11"/>
                      <w:rFonts w:hint="eastAsia"/>
                    </w:rPr>
                    <w:t>20-50毫升/亩</w:t>
                  </w:r>
                </w:p>
              </w:tc>
              <w:tc>
                <w:tcPr>
                  <w:tcW w:w="0" w:type="auto"/>
                  <w:tcBorders>
                    <w:top w:val="outset" w:color="auto" w:sz="6" w:space="0"/>
                    <w:left w:val="outset" w:color="auto" w:sz="6" w:space="0"/>
                    <w:bottom w:val="outset" w:color="auto" w:sz="6" w:space="0"/>
                    <w:right w:val="outset" w:color="auto" w:sz="6" w:space="0"/>
                  </w:tcBorders>
                  <w:vAlign w:val="center"/>
                </w:tcPr>
                <w:p w14:paraId="3DB2D604">
                  <w:r>
                    <w:rPr>
                      <w:rStyle w:val="11"/>
                      <w:rFonts w:hint="eastAsia"/>
                    </w:rPr>
                    <w:t>喷雾</w:t>
                  </w:r>
                </w:p>
              </w:tc>
            </w:tr>
            <w:tr w14:paraId="3002F3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B72E64">
                  <w:r>
                    <w:rPr>
                      <w:rStyle w:val="11"/>
                      <w:rFonts w:hint="eastAsia"/>
                    </w:rPr>
                    <w:t>柑橘</w:t>
                  </w:r>
                </w:p>
              </w:tc>
              <w:tc>
                <w:tcPr>
                  <w:tcW w:w="0" w:type="auto"/>
                  <w:tcBorders>
                    <w:top w:val="outset" w:color="auto" w:sz="6" w:space="0"/>
                    <w:left w:val="outset" w:color="auto" w:sz="6" w:space="0"/>
                    <w:bottom w:val="outset" w:color="auto" w:sz="6" w:space="0"/>
                    <w:right w:val="outset" w:color="auto" w:sz="6" w:space="0"/>
                  </w:tcBorders>
                  <w:vAlign w:val="center"/>
                </w:tcPr>
                <w:p w14:paraId="1D32A93C">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476E1FD5">
                  <w:r>
                    <w:rPr>
                      <w:rStyle w:val="11"/>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4A8E06F">
                  <w:r>
                    <w:rPr>
                      <w:rStyle w:val="11"/>
                      <w:rFonts w:hint="eastAsia"/>
                    </w:rPr>
                    <w:t>喷雾</w:t>
                  </w:r>
                </w:p>
              </w:tc>
            </w:tr>
            <w:tr w14:paraId="3208E9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569EBF">
                  <w:r>
                    <w:rPr>
                      <w:rStyle w:val="11"/>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3CBEF32E">
                  <w:r>
                    <w:rPr>
                      <w:rStyle w:val="11"/>
                      <w:rFonts w:hint="eastAsia"/>
                    </w:rPr>
                    <w:t>蔓枯病</w:t>
                  </w:r>
                </w:p>
              </w:tc>
              <w:tc>
                <w:tcPr>
                  <w:tcW w:w="0" w:type="auto"/>
                  <w:tcBorders>
                    <w:top w:val="outset" w:color="auto" w:sz="6" w:space="0"/>
                    <w:left w:val="outset" w:color="auto" w:sz="6" w:space="0"/>
                    <w:bottom w:val="outset" w:color="auto" w:sz="6" w:space="0"/>
                    <w:right w:val="outset" w:color="auto" w:sz="6" w:space="0"/>
                  </w:tcBorders>
                  <w:vAlign w:val="center"/>
                </w:tcPr>
                <w:p w14:paraId="6C17B275">
                  <w:r>
                    <w:rPr>
                      <w:rStyle w:val="11"/>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64D91393">
                  <w:r>
                    <w:rPr>
                      <w:rStyle w:val="11"/>
                      <w:rFonts w:hint="eastAsia"/>
                    </w:rPr>
                    <w:t>喷雾</w:t>
                  </w:r>
                </w:p>
              </w:tc>
            </w:tr>
            <w:tr w14:paraId="4E7026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1051F6">
                  <w:r>
                    <w:rPr>
                      <w:rStyle w:val="11"/>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3BE2AF8F">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537A1D5">
                  <w:r>
                    <w:rPr>
                      <w:rStyle w:val="11"/>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D3845D3">
                  <w:r>
                    <w:rPr>
                      <w:rStyle w:val="11"/>
                      <w:rFonts w:hint="eastAsia"/>
                    </w:rPr>
                    <w:t>喷雾</w:t>
                  </w:r>
                </w:p>
              </w:tc>
            </w:tr>
            <w:tr w14:paraId="36166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F9A93C">
                  <w:r>
                    <w:rPr>
                      <w:rStyle w:val="11"/>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13E89F98">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49F3FD1">
                  <w:r>
                    <w:rPr>
                      <w:rStyle w:val="11"/>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7D6E0DEB">
                  <w:r>
                    <w:rPr>
                      <w:rStyle w:val="11"/>
                      <w:rFonts w:hint="eastAsia"/>
                    </w:rPr>
                    <w:t>喷雾</w:t>
                  </w:r>
                </w:p>
              </w:tc>
            </w:tr>
            <w:tr w14:paraId="0300D4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B0FE782">
                  <w:r>
                    <w:rPr>
                      <w:rStyle w:val="11"/>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1B5A7B59">
                  <w:r>
                    <w:rPr>
                      <w:rStyle w:val="11"/>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2F988FDC">
                  <w:r>
                    <w:rPr>
                      <w:rStyle w:val="11"/>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2FF4B2EB">
                  <w:r>
                    <w:rPr>
                      <w:rStyle w:val="11"/>
                      <w:rFonts w:hint="eastAsia"/>
                    </w:rPr>
                    <w:t>喷雾</w:t>
                  </w:r>
                </w:p>
              </w:tc>
            </w:tr>
            <w:tr w14:paraId="18E5F6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0B7E7E">
                  <w:r>
                    <w:rPr>
                      <w:rStyle w:val="11"/>
                      <w:rFonts w:hint="eastAsia"/>
                    </w:rPr>
                    <w:t>桃树</w:t>
                  </w:r>
                </w:p>
              </w:tc>
              <w:tc>
                <w:tcPr>
                  <w:tcW w:w="0" w:type="auto"/>
                  <w:tcBorders>
                    <w:top w:val="outset" w:color="auto" w:sz="6" w:space="0"/>
                    <w:left w:val="outset" w:color="auto" w:sz="6" w:space="0"/>
                    <w:bottom w:val="outset" w:color="auto" w:sz="6" w:space="0"/>
                    <w:right w:val="outset" w:color="auto" w:sz="6" w:space="0"/>
                  </w:tcBorders>
                  <w:vAlign w:val="center"/>
                </w:tcPr>
                <w:p w14:paraId="7C71CA93">
                  <w:r>
                    <w:rPr>
                      <w:rStyle w:val="11"/>
                      <w:rFonts w:hint="eastAsia"/>
                    </w:rPr>
                    <w:t>褐斑穿孔病</w:t>
                  </w:r>
                </w:p>
              </w:tc>
              <w:tc>
                <w:tcPr>
                  <w:tcW w:w="0" w:type="auto"/>
                  <w:tcBorders>
                    <w:top w:val="outset" w:color="auto" w:sz="6" w:space="0"/>
                    <w:left w:val="outset" w:color="auto" w:sz="6" w:space="0"/>
                    <w:bottom w:val="outset" w:color="auto" w:sz="6" w:space="0"/>
                    <w:right w:val="outset" w:color="auto" w:sz="6" w:space="0"/>
                  </w:tcBorders>
                  <w:vAlign w:val="center"/>
                </w:tcPr>
                <w:p w14:paraId="27C3CD12">
                  <w:r>
                    <w:rPr>
                      <w:rStyle w:val="11"/>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518D0B0">
                  <w:r>
                    <w:rPr>
                      <w:rStyle w:val="11"/>
                      <w:rFonts w:hint="eastAsia"/>
                    </w:rPr>
                    <w:t>喷雾</w:t>
                  </w:r>
                </w:p>
              </w:tc>
            </w:tr>
            <w:tr w14:paraId="224031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8262C8">
                  <w:r>
                    <w:rPr>
                      <w:rStyle w:val="11"/>
                      <w:rFonts w:hint="eastAsia"/>
                    </w:rPr>
                    <w:t>芒果</w:t>
                  </w:r>
                </w:p>
              </w:tc>
              <w:tc>
                <w:tcPr>
                  <w:tcW w:w="0" w:type="auto"/>
                  <w:tcBorders>
                    <w:top w:val="outset" w:color="auto" w:sz="6" w:space="0"/>
                    <w:left w:val="outset" w:color="auto" w:sz="6" w:space="0"/>
                    <w:bottom w:val="outset" w:color="auto" w:sz="6" w:space="0"/>
                    <w:right w:val="outset" w:color="auto" w:sz="6" w:space="0"/>
                  </w:tcBorders>
                  <w:vAlign w:val="center"/>
                </w:tcPr>
                <w:p w14:paraId="3ED33862">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B33A8CA">
                  <w:r>
                    <w:rPr>
                      <w:rStyle w:val="11"/>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4CD5AEA">
                  <w:r>
                    <w:rPr>
                      <w:rStyle w:val="11"/>
                      <w:rFonts w:hint="eastAsia"/>
                    </w:rPr>
                    <w:t>喷雾</w:t>
                  </w:r>
                </w:p>
              </w:tc>
            </w:tr>
            <w:tr w14:paraId="7FDC52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215444">
                  <w:r>
                    <w:rPr>
                      <w:rStyle w:val="11"/>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01F1A767">
                  <w:r>
                    <w:rPr>
                      <w:rStyle w:val="11"/>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1B525AE3">
                  <w:r>
                    <w:rPr>
                      <w:rStyle w:val="11"/>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49D2E612">
                  <w:r>
                    <w:rPr>
                      <w:rStyle w:val="11"/>
                      <w:rFonts w:hint="eastAsia"/>
                    </w:rPr>
                    <w:t>喷雾</w:t>
                  </w:r>
                </w:p>
              </w:tc>
            </w:tr>
            <w:tr w14:paraId="028B17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1D9F4B">
                  <w:r>
                    <w:rPr>
                      <w:rStyle w:val="11"/>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018190BE">
                  <w:r>
                    <w:rPr>
                      <w:rStyle w:val="11"/>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6A42F705">
                  <w:r>
                    <w:rPr>
                      <w:rStyle w:val="11"/>
                      <w:rFonts w:hint="eastAsia"/>
                    </w:rPr>
                    <w:t>35-50毫升/亩</w:t>
                  </w:r>
                </w:p>
              </w:tc>
              <w:tc>
                <w:tcPr>
                  <w:tcW w:w="0" w:type="auto"/>
                  <w:tcBorders>
                    <w:top w:val="outset" w:color="auto" w:sz="6" w:space="0"/>
                    <w:left w:val="outset" w:color="auto" w:sz="6" w:space="0"/>
                    <w:bottom w:val="outset" w:color="auto" w:sz="6" w:space="0"/>
                    <w:right w:val="outset" w:color="auto" w:sz="6" w:space="0"/>
                  </w:tcBorders>
                  <w:vAlign w:val="center"/>
                </w:tcPr>
                <w:p w14:paraId="2BFF4BF6">
                  <w:r>
                    <w:rPr>
                      <w:rStyle w:val="11"/>
                      <w:rFonts w:hint="eastAsia"/>
                    </w:rPr>
                    <w:t>喷雾</w:t>
                  </w:r>
                </w:p>
              </w:tc>
            </w:tr>
            <w:tr w14:paraId="32AB8D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1EFB23">
                  <w:r>
                    <w:rPr>
                      <w:rStyle w:val="11"/>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5902FB5">
                  <w:r>
                    <w:rPr>
                      <w:rStyle w:val="11"/>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70D55D79">
                  <w:r>
                    <w:rPr>
                      <w:rStyle w:val="11"/>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7C2C63E4">
                  <w:r>
                    <w:rPr>
                      <w:rStyle w:val="11"/>
                      <w:rFonts w:hint="eastAsia"/>
                    </w:rPr>
                    <w:t>喷雾</w:t>
                  </w:r>
                </w:p>
              </w:tc>
            </w:tr>
            <w:tr w14:paraId="15A0AA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057A5A">
                  <w:r>
                    <w:rPr>
                      <w:rStyle w:val="11"/>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30B0C32">
                  <w:r>
                    <w:rPr>
                      <w:rStyle w:val="11"/>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2AA8199D">
                  <w:r>
                    <w:rPr>
                      <w:rStyle w:val="11"/>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7946C0C4">
                  <w:r>
                    <w:rPr>
                      <w:rStyle w:val="11"/>
                      <w:rFonts w:hint="eastAsia"/>
                    </w:rPr>
                    <w:t>喷雾</w:t>
                  </w:r>
                </w:p>
              </w:tc>
            </w:tr>
            <w:tr w14:paraId="4591BD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08652E">
                  <w:r>
                    <w:rPr>
                      <w:rStyle w:val="11"/>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43C8118B">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632258D3">
                  <w:r>
                    <w:rPr>
                      <w:rStyle w:val="11"/>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67D10851">
                  <w:r>
                    <w:rPr>
                      <w:rStyle w:val="11"/>
                      <w:rFonts w:hint="eastAsia"/>
                    </w:rPr>
                    <w:t>喷雾</w:t>
                  </w:r>
                </w:p>
              </w:tc>
            </w:tr>
            <w:tr w14:paraId="696C22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B9A1CC">
                  <w:r>
                    <w:rPr>
                      <w:rStyle w:val="11"/>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41E4BAC">
                  <w:r>
                    <w:rPr>
                      <w:rStyle w:val="11"/>
                      <w:rFonts w:hint="eastAsia"/>
                    </w:rPr>
                    <w:t>黑痣病</w:t>
                  </w:r>
                </w:p>
              </w:tc>
              <w:tc>
                <w:tcPr>
                  <w:tcW w:w="0" w:type="auto"/>
                  <w:tcBorders>
                    <w:top w:val="outset" w:color="auto" w:sz="6" w:space="0"/>
                    <w:left w:val="outset" w:color="auto" w:sz="6" w:space="0"/>
                    <w:bottom w:val="outset" w:color="auto" w:sz="6" w:space="0"/>
                    <w:right w:val="outset" w:color="auto" w:sz="6" w:space="0"/>
                  </w:tcBorders>
                  <w:vAlign w:val="center"/>
                </w:tcPr>
                <w:p w14:paraId="37B5F9DE">
                  <w:r>
                    <w:rPr>
                      <w:rStyle w:val="11"/>
                      <w:rFonts w:hint="eastAsia"/>
                    </w:rPr>
                    <w:t>70-110毫升/亩</w:t>
                  </w:r>
                </w:p>
              </w:tc>
              <w:tc>
                <w:tcPr>
                  <w:tcW w:w="0" w:type="auto"/>
                  <w:tcBorders>
                    <w:top w:val="outset" w:color="auto" w:sz="6" w:space="0"/>
                    <w:left w:val="outset" w:color="auto" w:sz="6" w:space="0"/>
                    <w:bottom w:val="outset" w:color="auto" w:sz="6" w:space="0"/>
                    <w:right w:val="outset" w:color="auto" w:sz="6" w:space="0"/>
                  </w:tcBorders>
                  <w:vAlign w:val="center"/>
                </w:tcPr>
                <w:p w14:paraId="61476B91">
                  <w:r>
                    <w:rPr>
                      <w:rStyle w:val="11"/>
                      <w:rFonts w:hint="eastAsia"/>
                    </w:rPr>
                    <w:t>沟施喷洒种薯</w:t>
                  </w:r>
                </w:p>
              </w:tc>
            </w:tr>
          </w:tbl>
          <w:p w14:paraId="0905D578">
            <w:pPr>
              <w:rPr>
                <w:rFonts w:ascii="Times New Roman" w:hAnsi="Times New Roman" w:cs="Times New Roman"/>
                <w:sz w:val="20"/>
                <w:szCs w:val="20"/>
              </w:rPr>
            </w:pPr>
          </w:p>
        </w:tc>
      </w:tr>
      <w:tr w14:paraId="65470298">
        <w:tblPrEx>
          <w:tblCellMar>
            <w:top w:w="0" w:type="dxa"/>
            <w:left w:w="0" w:type="dxa"/>
            <w:bottom w:w="0" w:type="dxa"/>
            <w:right w:w="0" w:type="dxa"/>
          </w:tblCellMar>
        </w:tblPrEx>
        <w:trPr>
          <w:tblCellSpacing w:w="0" w:type="dxa"/>
        </w:trPr>
        <w:tc>
          <w:tcPr>
            <w:tcW w:w="0" w:type="auto"/>
            <w:vAlign w:val="center"/>
          </w:tcPr>
          <w:p w14:paraId="1F638E68">
            <w:r>
              <w:rPr>
                <w:rStyle w:val="10"/>
                <w:rFonts w:hint="eastAsia"/>
              </w:rPr>
              <w:t>使用技术要求:</w:t>
            </w:r>
            <w:r>
              <w:rPr>
                <w:rFonts w:hint="eastAsia"/>
              </w:rPr>
              <w:br w:type="textWrapping"/>
            </w:r>
            <w:r>
              <w:rPr>
                <w:rStyle w:val="11"/>
                <w:rFonts w:hint="eastAsia"/>
              </w:rPr>
              <w:t>1. 避免与乳油类农药或助剂桶混使用。 2. 某些苹果树品种对本品敏感，切勿使用；对邻近苹果树的作物喷施时，应避免药剂雾滴漂移。 3. 大风天或预计药后1小时内降雨，或在极端温湿度条件下及作物长势很弱时，请勿使用本品。 4. 为保护作物产量免受病害损失，尽量于病害发生前或刚见零星病斑时开始用药。 5. 使用前需充分摇匀，按推荐剂量，兑水叶面均匀喷雾。根据天气条件和病情发展，间隔7-14天再用药。 6. 喷液量：根据作物生育阶段和种植密度，西瓜一般30-50升/亩，香蕉一般45-75升/亩。 7. 防治西瓜炭疽病和蔓枯病，一季作物最多施用3次，安全间隔期14天。 8. 防治香蕉叶斑病，一季作物最多施用3次，安全间隔期42天。 9. 防治辣椒炭疽病，一季作物最多施用3次，安全间隔期7天。 10. 防治花生叶斑病，一季作物最多施用2次，安全间隔期20天。 11.防治柑橘炭疽病，一季作物最多施用3次，安全间隔期30天。 12.防治葡萄炭疽病，一季作物最多施用3次，安全间隔期14天。 13.防治芒果炭疽病，一季作物最多施用3次，安全间隔期21天。 14.防治豇豆炭疽病，一季作物最多施用3次，安全间隔期7天。 15.防治姜炭疽病，一季作物最多施用3次，安全间隔期14天。 16.防治桃树褐斑穿孔病，一季作物最多施用3次，安全间隔期14天。 17.防治梨黑星病，一季作物最多施用3次，安全间隔期14天。 18.防治水稻稻瘟病、纹枯病，一季作物最多施用2次，安全间隔期21天。 19. 防治马铃薯黑痣病，一季作物最多施用1次。 20. 防治大蒜锈病，一季最多施用2次，施药间隔10天，安全间隔期14天。</w:t>
            </w:r>
          </w:p>
        </w:tc>
      </w:tr>
      <w:tr w14:paraId="284C3635">
        <w:tblPrEx>
          <w:tblCellMar>
            <w:top w:w="0" w:type="dxa"/>
            <w:left w:w="0" w:type="dxa"/>
            <w:bottom w:w="0" w:type="dxa"/>
            <w:right w:w="0" w:type="dxa"/>
          </w:tblCellMar>
        </w:tblPrEx>
        <w:trPr>
          <w:tblCellSpacing w:w="0" w:type="dxa"/>
        </w:trPr>
        <w:tc>
          <w:tcPr>
            <w:tcW w:w="0" w:type="auto"/>
            <w:vAlign w:val="center"/>
          </w:tcPr>
          <w:p w14:paraId="0FCDA454">
            <w:r>
              <w:rPr>
                <w:rStyle w:val="10"/>
                <w:rFonts w:hint="eastAsia"/>
              </w:rPr>
              <w:t>产品性能:</w:t>
            </w:r>
            <w:r>
              <w:rPr>
                <w:rFonts w:hint="eastAsia"/>
              </w:rPr>
              <w:br w:type="textWrapping"/>
            </w:r>
            <w:r>
              <w:rPr>
                <w:rStyle w:val="11"/>
                <w:rFonts w:hint="eastAsia"/>
              </w:rPr>
              <w:t>本品为内吸性杀菌剂。按推荐剂量使用，对西瓜蔓枯病和炭疽病，香蕉叶斑病、花生叶斑病、辣椒、姜、柑橘、葡萄、芒果、豇豆等炭疽病，水稻稻瘟病、纹枯病，以及桃树褐斑穿孔病、梨黑星病、大蒜锈病和马铃薯黑痣病等有较好的防效。</w:t>
            </w:r>
          </w:p>
        </w:tc>
      </w:tr>
      <w:tr w14:paraId="7DAABDA3">
        <w:tblPrEx>
          <w:tblCellMar>
            <w:top w:w="0" w:type="dxa"/>
            <w:left w:w="0" w:type="dxa"/>
            <w:bottom w:w="0" w:type="dxa"/>
            <w:right w:w="0" w:type="dxa"/>
          </w:tblCellMar>
        </w:tblPrEx>
        <w:trPr>
          <w:tblCellSpacing w:w="0" w:type="dxa"/>
        </w:trPr>
        <w:tc>
          <w:tcPr>
            <w:tcW w:w="0" w:type="auto"/>
            <w:vAlign w:val="center"/>
          </w:tcPr>
          <w:p w14:paraId="2151BB07">
            <w:r>
              <w:rPr>
                <w:rStyle w:val="10"/>
                <w:rFonts w:hint="eastAsia"/>
              </w:rPr>
              <w:t>注意事项：</w:t>
            </w:r>
            <w:r>
              <w:rPr>
                <w:rFonts w:hint="eastAsia"/>
              </w:rPr>
              <w:br w:type="textWrapping"/>
            </w:r>
            <w:r>
              <w:rPr>
                <w:rStyle w:val="11"/>
                <w:rFonts w:hint="eastAsia"/>
              </w:rPr>
              <w:t>1. 请按照农药安全使用准则使用本品。避免药液接触皮肤、眼睛和污染衣物，避免吸入雾滴。切勿在施药现场抽烟或饮食。在饮水、进食和抽烟前，应先洗手、洗脸。 2. 配药时，应戴丁腈橡胶手套、防护面罩，穿长袖衣、长裤和防护靴。 3. 喷药时，应穿长袖衣、长裤和防护靴；喷施高大的作物时，请佩戴宽边帽、防护面罩和丁腈橡胶手套。 4. 施药后，彻底清洗防护用具，洗澡，并更换和清洗工作服，并确保同普通衣物分开清洗。 5. 请依照当地法律法规妥善处理农药包装废弃物。配药时应当通过清洗等方式充分利用包装物中的农药，减少残留；农药包装废弃物不得随意丢弃，应收集起来，交回农药经营者或农药包装废弃物回收站（点）处理；空塑料瓶包装废弃物等，可资源化再利用为非餐饮用具、儿童玩具等的产品，防止危害人体健康；资源化利用外的包装废弃物，应当依法依规进行填埋、焚烧等无害化处置。可咨询县级以上地方人民政府农业农村主管部门、生态环境主管部门的指导处理。 6. 本品对鱼类等水生生物有毒，严禁在鱼蟹等水产养殖的稻田使用。稻田施药后，不得将稻田水排入江河、湖泊、水渠以及鱼虾蟹等水产养殖水塘。药液及其废液不得污染各类水域、土壤等环境。勿将药液或空包装弃于水中或在河塘中洗涤喷雾器械，避免影响鱼类和污染水源。 7. 本品对家蚕有毒，禁止在蚕室及桑园附近施药。 8. 孕妇、哺乳期妇女、儿童、患者、身体有伤口及过敏者避免接触本品。 制造厂敬告用户：严格按照推荐方法使用、操作和贮藏本品。使用时应接受当地农业技术部门的指导。</w:t>
            </w:r>
          </w:p>
        </w:tc>
      </w:tr>
      <w:tr w14:paraId="65848A41">
        <w:tblPrEx>
          <w:tblCellMar>
            <w:top w:w="0" w:type="dxa"/>
            <w:left w:w="0" w:type="dxa"/>
            <w:bottom w:w="0" w:type="dxa"/>
            <w:right w:w="0" w:type="dxa"/>
          </w:tblCellMar>
        </w:tblPrEx>
        <w:trPr>
          <w:tblCellSpacing w:w="0" w:type="dxa"/>
        </w:trPr>
        <w:tc>
          <w:tcPr>
            <w:tcW w:w="0" w:type="auto"/>
            <w:vAlign w:val="center"/>
          </w:tcPr>
          <w:p w14:paraId="690C5323">
            <w:r>
              <w:rPr>
                <w:rStyle w:val="10"/>
                <w:rFonts w:hint="eastAsia"/>
              </w:rPr>
              <w:t>中毒急救措施：</w:t>
            </w:r>
            <w:r>
              <w:rPr>
                <w:rFonts w:hint="eastAsia"/>
              </w:rPr>
              <w:br w:type="textWrapping"/>
            </w:r>
            <w:r>
              <w:rPr>
                <w:rStyle w:val="11"/>
                <w:rFonts w:hint="eastAsia"/>
              </w:rPr>
              <w:t>中毒症状：按照标签推荐方法使用，无中毒症状。 中毒急救： 1. 用药时如果感觉不适，立即停止工作，采取急救措施，并携此标签送医就诊。 2. 皮肤接触：立即脱掉被污染的衣物，用大量清水冲洗被污染的皮肤，再用肥皂清洗，然后用清水冲净；如皮肤刺激感持续，请携带产品标签寻求医生诊治。 被污染的衣物再次使用前需同普通衣服分开彻底清洗。 3. 眼睛溅药：立即用清水冲洗至少15-20分钟，如果戴有隐形眼镜，将其摘掉后再继续冲洗15-20分钟， 然后尽快寻求医生诊治。 4. 发生吸入：立即将吸入者转移到空气新鲜处，注意保暖和休息，立即请医生诊治。 5. 误服：请勿引吐，立即携带标签，送医就诊。紧急医疗措施：如果自口服2小时内，且口服剂量为致死剂量，使用医用活性炭洗胃，注意防止胃容物进入呼吸道。 解毒剂：无专用解毒剂，对症治疗。 中毒时，请拨打中国疾控中心中毒控制中心咨询热线： 400 650 5726。</w:t>
            </w:r>
          </w:p>
        </w:tc>
      </w:tr>
      <w:tr w14:paraId="1286E5D0">
        <w:tblPrEx>
          <w:tblCellMar>
            <w:top w:w="0" w:type="dxa"/>
            <w:left w:w="0" w:type="dxa"/>
            <w:bottom w:w="0" w:type="dxa"/>
            <w:right w:w="0" w:type="dxa"/>
          </w:tblCellMar>
        </w:tblPrEx>
        <w:trPr>
          <w:tblCellSpacing w:w="0" w:type="dxa"/>
        </w:trPr>
        <w:tc>
          <w:tcPr>
            <w:tcW w:w="0" w:type="auto"/>
            <w:vAlign w:val="center"/>
          </w:tcPr>
          <w:p w14:paraId="5F1F13B0">
            <w:r>
              <w:rPr>
                <w:rStyle w:val="10"/>
                <w:rFonts w:hint="eastAsia"/>
              </w:rPr>
              <w:t>储存和运输方法：</w:t>
            </w:r>
            <w:r>
              <w:rPr>
                <w:rFonts w:hint="eastAsia"/>
              </w:rPr>
              <w:br w:type="textWrapping"/>
            </w:r>
            <w:r>
              <w:rPr>
                <w:rStyle w:val="11"/>
                <w:rFonts w:hint="eastAsia"/>
              </w:rPr>
              <w:t>1. 本品应加锁保存，未用完的制剂应放在原包装内密封保存，切勿置于饮、食、饲料等其他容器中，勿让儿童、无关人员和动物接触。勿与食物、饮料、粮食和动物饲料在一起存放或运输。 2. 本品应贮藏在避光、干燥、通风处。运输时应注意避光、防高温、雨淋。 3. 贮藏温度应避免低于-10℃或高于35℃，避免产品变质。 4. 产品码放高度不宜超过2米，勿将产品倒置，以免损坏包装。</w:t>
            </w:r>
          </w:p>
        </w:tc>
      </w:tr>
      <w:tr w14:paraId="1B797F57">
        <w:tblPrEx>
          <w:tblCellMar>
            <w:top w:w="0" w:type="dxa"/>
            <w:left w:w="0" w:type="dxa"/>
            <w:bottom w:w="0" w:type="dxa"/>
            <w:right w:w="0" w:type="dxa"/>
          </w:tblCellMar>
        </w:tblPrEx>
        <w:trPr>
          <w:tblCellSpacing w:w="0" w:type="dxa"/>
        </w:trPr>
        <w:tc>
          <w:tcPr>
            <w:tcW w:w="0" w:type="auto"/>
            <w:vAlign w:val="center"/>
          </w:tcPr>
          <w:p w14:paraId="749EC305">
            <w:r>
              <w:rPr>
                <w:rStyle w:val="10"/>
                <w:rFonts w:hint="eastAsia"/>
              </w:rPr>
              <w:t>质量保证期：</w:t>
            </w:r>
            <w:r>
              <w:rPr>
                <w:rStyle w:val="11"/>
                <w:rFonts w:hint="eastAsia"/>
              </w:rPr>
              <w:t>2年</w:t>
            </w:r>
          </w:p>
        </w:tc>
      </w:tr>
      <w:tr w14:paraId="339E2703">
        <w:tblPrEx>
          <w:tblCellMar>
            <w:top w:w="0" w:type="dxa"/>
            <w:left w:w="0" w:type="dxa"/>
            <w:bottom w:w="0" w:type="dxa"/>
            <w:right w:w="0" w:type="dxa"/>
          </w:tblCellMar>
        </w:tblPrEx>
        <w:trPr>
          <w:tblCellSpacing w:w="0" w:type="dxa"/>
        </w:trPr>
        <w:tc>
          <w:tcPr>
            <w:tcW w:w="0" w:type="auto"/>
            <w:vAlign w:val="center"/>
          </w:tcPr>
          <w:p w14:paraId="6B8348FD">
            <w:r>
              <w:rPr>
                <w:rStyle w:val="10"/>
                <w:rFonts w:hint="eastAsia"/>
              </w:rPr>
              <w:t>备注：</w:t>
            </w:r>
          </w:p>
        </w:tc>
      </w:tr>
    </w:tbl>
    <w:p w14:paraId="49531106">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26411E2">
        <w:tblPrEx>
          <w:tblCellMar>
            <w:top w:w="0" w:type="dxa"/>
            <w:left w:w="0" w:type="dxa"/>
            <w:bottom w:w="0" w:type="dxa"/>
            <w:right w:w="0" w:type="dxa"/>
          </w:tblCellMar>
        </w:tblPrEx>
        <w:trPr>
          <w:tblCellSpacing w:w="0" w:type="dxa"/>
        </w:trPr>
        <w:tc>
          <w:tcPr>
            <w:tcW w:w="0" w:type="auto"/>
            <w:vAlign w:val="center"/>
          </w:tcPr>
          <w:p w14:paraId="38E23A4E">
            <w:r>
              <w:rPr>
                <w:rStyle w:val="10"/>
                <w:rFonts w:hint="eastAsia"/>
              </w:rPr>
              <w:t>登记证号：</w:t>
            </w:r>
            <w:r>
              <w:rPr>
                <w:rFonts w:hint="eastAsia"/>
              </w:rPr>
              <w:t>PD20130858</w:t>
            </w:r>
          </w:p>
        </w:tc>
      </w:tr>
      <w:tr w14:paraId="2C72A0BE">
        <w:tblPrEx>
          <w:tblCellMar>
            <w:top w:w="0" w:type="dxa"/>
            <w:left w:w="0" w:type="dxa"/>
            <w:bottom w:w="0" w:type="dxa"/>
            <w:right w:w="0" w:type="dxa"/>
          </w:tblCellMar>
        </w:tblPrEx>
        <w:trPr>
          <w:tblCellSpacing w:w="0" w:type="dxa"/>
        </w:trPr>
        <w:tc>
          <w:tcPr>
            <w:tcW w:w="0" w:type="auto"/>
            <w:vAlign w:val="center"/>
          </w:tcPr>
          <w:p w14:paraId="03B00128">
            <w:r>
              <w:rPr>
                <w:rStyle w:val="10"/>
                <w:rFonts w:hint="eastAsia"/>
              </w:rPr>
              <w:t>登记证持有人：</w:t>
            </w:r>
            <w:r>
              <w:rPr>
                <w:rFonts w:hint="eastAsia"/>
              </w:rPr>
              <w:t>山东滨农科技有限公司</w:t>
            </w:r>
          </w:p>
        </w:tc>
      </w:tr>
      <w:tr w14:paraId="4719845B">
        <w:tblPrEx>
          <w:tblCellMar>
            <w:top w:w="0" w:type="dxa"/>
            <w:left w:w="0" w:type="dxa"/>
            <w:bottom w:w="0" w:type="dxa"/>
            <w:right w:w="0" w:type="dxa"/>
          </w:tblCellMar>
        </w:tblPrEx>
        <w:trPr>
          <w:tblCellSpacing w:w="0" w:type="dxa"/>
        </w:trPr>
        <w:tc>
          <w:tcPr>
            <w:tcW w:w="0" w:type="auto"/>
            <w:vAlign w:val="center"/>
          </w:tcPr>
          <w:p w14:paraId="7828DBC8">
            <w:r>
              <w:rPr>
                <w:rStyle w:val="10"/>
                <w:rFonts w:hint="eastAsia"/>
              </w:rPr>
              <w:t>农药名称：</w:t>
            </w:r>
            <w:r>
              <w:rPr>
                <w:rFonts w:hint="eastAsia"/>
              </w:rPr>
              <w:t>异噁·异丙甲</w:t>
            </w:r>
          </w:p>
        </w:tc>
      </w:tr>
      <w:tr w14:paraId="328C1CEA">
        <w:tblPrEx>
          <w:tblCellMar>
            <w:top w:w="0" w:type="dxa"/>
            <w:left w:w="0" w:type="dxa"/>
            <w:bottom w:w="0" w:type="dxa"/>
            <w:right w:w="0" w:type="dxa"/>
          </w:tblCellMar>
        </w:tblPrEx>
        <w:trPr>
          <w:tblCellSpacing w:w="0" w:type="dxa"/>
        </w:trPr>
        <w:tc>
          <w:tcPr>
            <w:tcW w:w="0" w:type="auto"/>
            <w:vAlign w:val="center"/>
          </w:tcPr>
          <w:p w14:paraId="58421F72">
            <w:r>
              <w:rPr>
                <w:rStyle w:val="10"/>
                <w:rFonts w:hint="eastAsia"/>
              </w:rPr>
              <w:t>剂型：</w:t>
            </w:r>
            <w:r>
              <w:rPr>
                <w:rFonts w:hint="eastAsia"/>
              </w:rPr>
              <w:t>乳油</w:t>
            </w:r>
          </w:p>
        </w:tc>
      </w:tr>
      <w:tr w14:paraId="3892F930">
        <w:tblPrEx>
          <w:tblCellMar>
            <w:top w:w="0" w:type="dxa"/>
            <w:left w:w="0" w:type="dxa"/>
            <w:bottom w:w="0" w:type="dxa"/>
            <w:right w:w="0" w:type="dxa"/>
          </w:tblCellMar>
        </w:tblPrEx>
        <w:trPr>
          <w:tblCellSpacing w:w="0" w:type="dxa"/>
        </w:trPr>
        <w:tc>
          <w:tcPr>
            <w:tcW w:w="0" w:type="auto"/>
            <w:vAlign w:val="center"/>
          </w:tcPr>
          <w:p w14:paraId="7B47C304">
            <w:r>
              <w:rPr>
                <w:rStyle w:val="10"/>
                <w:rFonts w:hint="eastAsia"/>
              </w:rPr>
              <w:t>毒性及其标识：</w:t>
            </w:r>
            <w:r>
              <w:rPr>
                <w:rFonts w:hint="eastAsia"/>
              </w:rPr>
              <w:t xml:space="preserve"> </w:t>
            </w:r>
            <w:r>
              <w:drawing>
                <wp:inline distT="0" distB="0" distL="0" distR="0">
                  <wp:extent cx="474345" cy="323850"/>
                  <wp:effectExtent l="0" t="0" r="1905"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2D50DF29">
        <w:tblPrEx>
          <w:tblCellMar>
            <w:top w:w="0" w:type="dxa"/>
            <w:left w:w="0" w:type="dxa"/>
            <w:bottom w:w="0" w:type="dxa"/>
            <w:right w:w="0" w:type="dxa"/>
          </w:tblCellMar>
        </w:tblPrEx>
        <w:trPr>
          <w:tblCellSpacing w:w="0" w:type="dxa"/>
        </w:trPr>
        <w:tc>
          <w:tcPr>
            <w:tcW w:w="0" w:type="auto"/>
            <w:vAlign w:val="center"/>
          </w:tcPr>
          <w:p w14:paraId="4169F9FC">
            <w:r>
              <w:rPr>
                <w:rStyle w:val="10"/>
                <w:rFonts w:hint="eastAsia"/>
              </w:rPr>
              <w:t>总有效成分含量：</w:t>
            </w:r>
            <w:r>
              <w:rPr>
                <w:rFonts w:hint="eastAsia"/>
              </w:rPr>
              <w:t>80%</w:t>
            </w:r>
          </w:p>
        </w:tc>
      </w:tr>
      <w:tr w14:paraId="35410512">
        <w:tblPrEx>
          <w:tblCellMar>
            <w:top w:w="0" w:type="dxa"/>
            <w:left w:w="0" w:type="dxa"/>
            <w:bottom w:w="0" w:type="dxa"/>
            <w:right w:w="0" w:type="dxa"/>
          </w:tblCellMar>
        </w:tblPrEx>
        <w:trPr>
          <w:tblCellSpacing w:w="0" w:type="dxa"/>
        </w:trPr>
        <w:tc>
          <w:tcPr>
            <w:tcW w:w="0" w:type="auto"/>
            <w:vAlign w:val="center"/>
          </w:tcPr>
          <w:p w14:paraId="5480165A">
            <w:r>
              <w:rPr>
                <w:rFonts w:hint="eastAsia"/>
              </w:rPr>
              <w:t xml:space="preserve">有效成分及其含量： </w:t>
            </w:r>
          </w:p>
          <w:p w14:paraId="1DAC5F82">
            <w:r>
              <w:rPr>
                <w:rFonts w:hint="eastAsia"/>
              </w:rPr>
              <w:t xml:space="preserve">    异噁草松16%    异丙甲草胺64%    </w:t>
            </w:r>
          </w:p>
        </w:tc>
      </w:tr>
      <w:tr w14:paraId="1671A1D2">
        <w:tblPrEx>
          <w:tblCellMar>
            <w:top w:w="0" w:type="dxa"/>
            <w:left w:w="0" w:type="dxa"/>
            <w:bottom w:w="0" w:type="dxa"/>
            <w:right w:w="0" w:type="dxa"/>
          </w:tblCellMar>
        </w:tblPrEx>
        <w:trPr>
          <w:tblCellSpacing w:w="0" w:type="dxa"/>
        </w:trPr>
        <w:tc>
          <w:tcPr>
            <w:tcW w:w="0" w:type="auto"/>
            <w:vAlign w:val="center"/>
          </w:tcPr>
          <w:p w14:paraId="248DC14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62D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6BDA32">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4926C71">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7AFEBB">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C1F702E">
                  <w:r>
                    <w:rPr>
                      <w:rStyle w:val="11"/>
                      <w:rFonts w:hint="eastAsia"/>
                    </w:rPr>
                    <w:t>施用方式</w:t>
                  </w:r>
                </w:p>
              </w:tc>
            </w:tr>
            <w:tr w14:paraId="2D85A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0B56CE">
                  <w:r>
                    <w:rPr>
                      <w:rStyle w:val="11"/>
                      <w:rFonts w:hint="eastAsia"/>
                    </w:rPr>
                    <w:t>烟草田</w:t>
                  </w:r>
                </w:p>
              </w:tc>
              <w:tc>
                <w:tcPr>
                  <w:tcW w:w="0" w:type="auto"/>
                  <w:tcBorders>
                    <w:top w:val="outset" w:color="auto" w:sz="6" w:space="0"/>
                    <w:left w:val="outset" w:color="auto" w:sz="6" w:space="0"/>
                    <w:bottom w:val="outset" w:color="auto" w:sz="6" w:space="0"/>
                    <w:right w:val="outset" w:color="auto" w:sz="6" w:space="0"/>
                  </w:tcBorders>
                  <w:vAlign w:val="center"/>
                </w:tcPr>
                <w:p w14:paraId="3889CCC7">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C238E5A">
                  <w:r>
                    <w:rPr>
                      <w:rStyle w:val="11"/>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01845C68">
                  <w:r>
                    <w:rPr>
                      <w:rStyle w:val="11"/>
                      <w:rFonts w:hint="eastAsia"/>
                    </w:rPr>
                    <w:t>土壤喷雾</w:t>
                  </w:r>
                </w:p>
              </w:tc>
            </w:tr>
            <w:tr w14:paraId="5F6F5C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02E1176">
                  <w:r>
                    <w:rPr>
                      <w:rStyle w:val="11"/>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0818F0BE">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6D87498">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1D04E553">
                  <w:r>
                    <w:rPr>
                      <w:rStyle w:val="11"/>
                      <w:rFonts w:hint="eastAsia"/>
                    </w:rPr>
                    <w:t>土壤喷雾</w:t>
                  </w:r>
                </w:p>
              </w:tc>
            </w:tr>
            <w:tr w14:paraId="61C788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723B5B">
                  <w:r>
                    <w:rPr>
                      <w:rStyle w:val="11"/>
                      <w:rFonts w:hint="eastAsia"/>
                    </w:rPr>
                    <w:t>马铃薯田</w:t>
                  </w:r>
                </w:p>
              </w:tc>
              <w:tc>
                <w:tcPr>
                  <w:tcW w:w="0" w:type="auto"/>
                  <w:tcBorders>
                    <w:top w:val="outset" w:color="auto" w:sz="6" w:space="0"/>
                    <w:left w:val="outset" w:color="auto" w:sz="6" w:space="0"/>
                    <w:bottom w:val="outset" w:color="auto" w:sz="6" w:space="0"/>
                    <w:right w:val="outset" w:color="auto" w:sz="6" w:space="0"/>
                  </w:tcBorders>
                  <w:vAlign w:val="center"/>
                </w:tcPr>
                <w:p w14:paraId="4057E56E">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9473732">
                  <w:r>
                    <w:rPr>
                      <w:rStyle w:val="11"/>
                      <w:rFonts w:hint="eastAsia"/>
                    </w:rPr>
                    <w:t>80-140毫升/亩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60E3A1FA">
                  <w:r>
                    <w:rPr>
                      <w:rStyle w:val="11"/>
                      <w:rFonts w:hint="eastAsia"/>
                    </w:rPr>
                    <w:t>土壤喷雾</w:t>
                  </w:r>
                </w:p>
              </w:tc>
            </w:tr>
          </w:tbl>
          <w:p w14:paraId="5E85DA54">
            <w:pPr>
              <w:rPr>
                <w:rFonts w:ascii="Times New Roman" w:hAnsi="Times New Roman" w:cs="Times New Roman"/>
                <w:sz w:val="20"/>
                <w:szCs w:val="20"/>
              </w:rPr>
            </w:pPr>
          </w:p>
        </w:tc>
      </w:tr>
      <w:tr w14:paraId="36ACAD6E">
        <w:tblPrEx>
          <w:tblCellMar>
            <w:top w:w="0" w:type="dxa"/>
            <w:left w:w="0" w:type="dxa"/>
            <w:bottom w:w="0" w:type="dxa"/>
            <w:right w:w="0" w:type="dxa"/>
          </w:tblCellMar>
        </w:tblPrEx>
        <w:trPr>
          <w:tblCellSpacing w:w="0" w:type="dxa"/>
        </w:trPr>
        <w:tc>
          <w:tcPr>
            <w:tcW w:w="0" w:type="auto"/>
            <w:vAlign w:val="center"/>
          </w:tcPr>
          <w:p w14:paraId="194722DD">
            <w:r>
              <w:rPr>
                <w:rStyle w:val="10"/>
                <w:rFonts w:hint="eastAsia"/>
              </w:rPr>
              <w:t>使用技术要求:</w:t>
            </w:r>
            <w:r>
              <w:rPr>
                <w:rFonts w:hint="eastAsia"/>
              </w:rPr>
              <w:br w:type="textWrapping"/>
            </w:r>
            <w:r>
              <w:rPr>
                <w:rStyle w:val="11"/>
                <w:rFonts w:hint="eastAsia"/>
              </w:rPr>
              <w:t>1、施药时间应在无风或微风晴天上午10时前或傍晚，土壤均匀喷雾。 2、用前充分摇匀，先制母液，再二次兑水稀释后，均匀喷雾。每季作物使用1次。 3、注意合理安排后茬作物避免药害。</w:t>
            </w:r>
          </w:p>
        </w:tc>
      </w:tr>
      <w:tr w14:paraId="0ED908E2">
        <w:tblPrEx>
          <w:tblCellMar>
            <w:top w:w="0" w:type="dxa"/>
            <w:left w:w="0" w:type="dxa"/>
            <w:bottom w:w="0" w:type="dxa"/>
            <w:right w:w="0" w:type="dxa"/>
          </w:tblCellMar>
        </w:tblPrEx>
        <w:trPr>
          <w:tblCellSpacing w:w="0" w:type="dxa"/>
        </w:trPr>
        <w:tc>
          <w:tcPr>
            <w:tcW w:w="0" w:type="auto"/>
            <w:vAlign w:val="center"/>
          </w:tcPr>
          <w:p w14:paraId="3B9A49C9">
            <w:r>
              <w:rPr>
                <w:rStyle w:val="10"/>
                <w:rFonts w:hint="eastAsia"/>
              </w:rPr>
              <w:t>产品性能:</w:t>
            </w:r>
            <w:r>
              <w:rPr>
                <w:rFonts w:hint="eastAsia"/>
              </w:rPr>
              <w:br w:type="textWrapping"/>
            </w:r>
            <w:r>
              <w:rPr>
                <w:rStyle w:val="11"/>
                <w:rFonts w:hint="eastAsia"/>
              </w:rPr>
              <w:t>本品是二元复配除草剂，其中异丙甲草胺不烧根，不伤苗；二元复配后减少了异噁草松的用量，具有不同作用的杀草机制，能有效防除烟草、春大豆、马铃薯田多种一年生杂草。</w:t>
            </w:r>
          </w:p>
        </w:tc>
      </w:tr>
      <w:tr w14:paraId="76797EDC">
        <w:tblPrEx>
          <w:tblCellMar>
            <w:top w:w="0" w:type="dxa"/>
            <w:left w:w="0" w:type="dxa"/>
            <w:bottom w:w="0" w:type="dxa"/>
            <w:right w:w="0" w:type="dxa"/>
          </w:tblCellMar>
        </w:tblPrEx>
        <w:trPr>
          <w:tblCellSpacing w:w="0" w:type="dxa"/>
        </w:trPr>
        <w:tc>
          <w:tcPr>
            <w:tcW w:w="0" w:type="auto"/>
            <w:vAlign w:val="center"/>
          </w:tcPr>
          <w:p w14:paraId="7945E3F9">
            <w:r>
              <w:rPr>
                <w:rStyle w:val="10"/>
                <w:rFonts w:hint="eastAsia"/>
              </w:rPr>
              <w:t>注意事项：</w:t>
            </w:r>
            <w:r>
              <w:rPr>
                <w:rFonts w:hint="eastAsia"/>
              </w:rPr>
              <w:br w:type="textWrapping"/>
            </w:r>
            <w:r>
              <w:rPr>
                <w:rStyle w:val="11"/>
                <w:rFonts w:hint="eastAsia"/>
              </w:rPr>
              <w:t>1、使用前必须充分摇匀，精耕细作，土地平整，土块细腻，以免加剧施药不均匀性。 2、大风天不可施用，以防药液飘移，施药时应做到喷头高度、喷雾压力及行走速度一致，尽量做到喷药均匀。 3、按本品推荐方法使用，次年春季后茬可以种植大豆、玉米、春小麦等。甜菜、水稻、亚麻、向日葵、谷子、西瓜、高粱等对本品敏感，种植前应进行安全性试验，或在当地技术部门指导下种植。 4、使用本品时应穿戴长衣、长裤、帽子、口罩、手套等，避免吸入药液；施药期间不可吃东西、饮水等；施药后应及时洗手、洗脸等。 5、清洗施药器具的废水不能排入河流、池塘等水源。废弃物应妥善处理，不可做他用，也不可随意丢弃。水产养殖区、河塘等水体附近禁用。禁止在河塘等水体清洗施药器具。赤眼蜂等天敌昆虫放飞区禁用。 6、孕妇及哺乳期妇女应避免接触本品。</w:t>
            </w:r>
          </w:p>
        </w:tc>
      </w:tr>
      <w:tr w14:paraId="14D84443">
        <w:tblPrEx>
          <w:tblCellMar>
            <w:top w:w="0" w:type="dxa"/>
            <w:left w:w="0" w:type="dxa"/>
            <w:bottom w:w="0" w:type="dxa"/>
            <w:right w:w="0" w:type="dxa"/>
          </w:tblCellMar>
        </w:tblPrEx>
        <w:trPr>
          <w:tblCellSpacing w:w="0" w:type="dxa"/>
        </w:trPr>
        <w:tc>
          <w:tcPr>
            <w:tcW w:w="0" w:type="auto"/>
            <w:vAlign w:val="center"/>
          </w:tcPr>
          <w:p w14:paraId="6DD7D91E">
            <w:r>
              <w:rPr>
                <w:rStyle w:val="10"/>
                <w:rFonts w:hint="eastAsia"/>
              </w:rPr>
              <w:t>中毒急救措施：</w:t>
            </w:r>
            <w:r>
              <w:rPr>
                <w:rFonts w:hint="eastAsia"/>
              </w:rPr>
              <w:br w:type="textWrapping"/>
            </w:r>
            <w:r>
              <w:rPr>
                <w:rStyle w:val="11"/>
                <w:rFonts w:hint="eastAsia"/>
              </w:rPr>
              <w:t>1、中毒症状：本品对皮肤和眼睛有刺激作用。药液接触眼睛会使角膜暂时不透明，肺部有异常反应。 2、皮肤接触：立即脱掉被污染的衣物，用肥皂和大量清水彻底清洗受污染的皮肤。 3、眼睛溅药：立即将眼睑翻开，用清水冲洗至少15分钟，再请医生诊治。4、不慎吸入：立即将吸入者转移到空气新鲜处，请医生诊治。 5、如误服，应携带此标签去医院治疗。无特效解毒剂，对症治疗。</w:t>
            </w:r>
          </w:p>
        </w:tc>
      </w:tr>
      <w:tr w14:paraId="3E56073C">
        <w:tblPrEx>
          <w:tblCellMar>
            <w:top w:w="0" w:type="dxa"/>
            <w:left w:w="0" w:type="dxa"/>
            <w:bottom w:w="0" w:type="dxa"/>
            <w:right w:w="0" w:type="dxa"/>
          </w:tblCellMar>
        </w:tblPrEx>
        <w:trPr>
          <w:tblCellSpacing w:w="0" w:type="dxa"/>
        </w:trPr>
        <w:tc>
          <w:tcPr>
            <w:tcW w:w="0" w:type="auto"/>
            <w:vAlign w:val="center"/>
          </w:tcPr>
          <w:p w14:paraId="6D9B7BF1">
            <w:r>
              <w:rPr>
                <w:rStyle w:val="10"/>
                <w:rFonts w:hint="eastAsia"/>
              </w:rPr>
              <w:t>储存和运输方法：</w:t>
            </w:r>
            <w:r>
              <w:rPr>
                <w:rFonts w:hint="eastAsia"/>
              </w:rPr>
              <w:br w:type="textWrapping"/>
            </w:r>
            <w:r>
              <w:rPr>
                <w:rStyle w:val="11"/>
                <w:rFonts w:hint="eastAsia"/>
              </w:rPr>
              <w:t>本品应贮存在干燥、阴凉、通风、防雨处，远离火源或热源。置于儿童触及不到之处，并加锁。不能与食品、饮料、粮食、饲料等物品同贮同运。</w:t>
            </w:r>
          </w:p>
        </w:tc>
      </w:tr>
      <w:tr w14:paraId="7D9229EE">
        <w:tblPrEx>
          <w:tblCellMar>
            <w:top w:w="0" w:type="dxa"/>
            <w:left w:w="0" w:type="dxa"/>
            <w:bottom w:w="0" w:type="dxa"/>
            <w:right w:w="0" w:type="dxa"/>
          </w:tblCellMar>
        </w:tblPrEx>
        <w:trPr>
          <w:tblCellSpacing w:w="0" w:type="dxa"/>
        </w:trPr>
        <w:tc>
          <w:tcPr>
            <w:tcW w:w="0" w:type="auto"/>
            <w:vAlign w:val="center"/>
          </w:tcPr>
          <w:p w14:paraId="736BE1AA">
            <w:r>
              <w:rPr>
                <w:rStyle w:val="10"/>
                <w:rFonts w:hint="eastAsia"/>
              </w:rPr>
              <w:t>质量保证期：</w:t>
            </w:r>
            <w:r>
              <w:rPr>
                <w:rStyle w:val="11"/>
                <w:rFonts w:hint="eastAsia"/>
              </w:rPr>
              <w:t>2年</w:t>
            </w:r>
          </w:p>
        </w:tc>
      </w:tr>
      <w:tr w14:paraId="6E0FBF31">
        <w:tblPrEx>
          <w:tblCellMar>
            <w:top w:w="0" w:type="dxa"/>
            <w:left w:w="0" w:type="dxa"/>
            <w:bottom w:w="0" w:type="dxa"/>
            <w:right w:w="0" w:type="dxa"/>
          </w:tblCellMar>
        </w:tblPrEx>
        <w:trPr>
          <w:tblCellSpacing w:w="0" w:type="dxa"/>
        </w:trPr>
        <w:tc>
          <w:tcPr>
            <w:tcW w:w="0" w:type="auto"/>
            <w:vAlign w:val="center"/>
          </w:tcPr>
          <w:p w14:paraId="6932AFDB">
            <w:r>
              <w:rPr>
                <w:rStyle w:val="10"/>
                <w:rFonts w:hint="eastAsia"/>
              </w:rPr>
              <w:t>备注：</w:t>
            </w:r>
          </w:p>
        </w:tc>
      </w:tr>
    </w:tbl>
    <w:p w14:paraId="4BCCCB26">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3AD27C3">
        <w:trPr>
          <w:tblCellSpacing w:w="0" w:type="dxa"/>
        </w:trPr>
        <w:tc>
          <w:tcPr>
            <w:tcW w:w="0" w:type="auto"/>
            <w:vAlign w:val="center"/>
          </w:tcPr>
          <w:p w14:paraId="552C9CF6">
            <w:r>
              <w:rPr>
                <w:rStyle w:val="10"/>
                <w:rFonts w:hint="eastAsia"/>
              </w:rPr>
              <w:t>登记证号：</w:t>
            </w:r>
            <w:r>
              <w:rPr>
                <w:rFonts w:hint="eastAsia"/>
              </w:rPr>
              <w:t>WP20170100</w:t>
            </w:r>
          </w:p>
        </w:tc>
      </w:tr>
      <w:tr w14:paraId="6B79AA9B">
        <w:tblPrEx>
          <w:tblCellMar>
            <w:top w:w="0" w:type="dxa"/>
            <w:left w:w="0" w:type="dxa"/>
            <w:bottom w:w="0" w:type="dxa"/>
            <w:right w:w="0" w:type="dxa"/>
          </w:tblCellMar>
        </w:tblPrEx>
        <w:trPr>
          <w:tblCellSpacing w:w="0" w:type="dxa"/>
        </w:trPr>
        <w:tc>
          <w:tcPr>
            <w:tcW w:w="0" w:type="auto"/>
            <w:vAlign w:val="center"/>
          </w:tcPr>
          <w:p w14:paraId="71300523">
            <w:r>
              <w:rPr>
                <w:rStyle w:val="10"/>
                <w:rFonts w:hint="eastAsia"/>
              </w:rPr>
              <w:t>登记证持有人：</w:t>
            </w:r>
            <w:r>
              <w:rPr>
                <w:rFonts w:hint="eastAsia"/>
              </w:rPr>
              <w:t>福建腾峰日化有限公司</w:t>
            </w:r>
          </w:p>
        </w:tc>
      </w:tr>
      <w:tr w14:paraId="71019EC8">
        <w:tblPrEx>
          <w:tblCellMar>
            <w:top w:w="0" w:type="dxa"/>
            <w:left w:w="0" w:type="dxa"/>
            <w:bottom w:w="0" w:type="dxa"/>
            <w:right w:w="0" w:type="dxa"/>
          </w:tblCellMar>
        </w:tblPrEx>
        <w:trPr>
          <w:tblCellSpacing w:w="0" w:type="dxa"/>
        </w:trPr>
        <w:tc>
          <w:tcPr>
            <w:tcW w:w="0" w:type="auto"/>
            <w:vAlign w:val="center"/>
          </w:tcPr>
          <w:p w14:paraId="1161DF43">
            <w:r>
              <w:rPr>
                <w:rStyle w:val="10"/>
                <w:rFonts w:hint="eastAsia"/>
              </w:rPr>
              <w:t>农药名称：</w:t>
            </w:r>
            <w:r>
              <w:rPr>
                <w:rFonts w:hint="eastAsia"/>
              </w:rPr>
              <w:t>电热蚊香液</w:t>
            </w:r>
          </w:p>
        </w:tc>
      </w:tr>
      <w:tr w14:paraId="56B38480">
        <w:tblPrEx>
          <w:tblCellMar>
            <w:top w:w="0" w:type="dxa"/>
            <w:left w:w="0" w:type="dxa"/>
            <w:bottom w:w="0" w:type="dxa"/>
            <w:right w:w="0" w:type="dxa"/>
          </w:tblCellMar>
        </w:tblPrEx>
        <w:trPr>
          <w:tblCellSpacing w:w="0" w:type="dxa"/>
        </w:trPr>
        <w:tc>
          <w:tcPr>
            <w:tcW w:w="0" w:type="auto"/>
            <w:vAlign w:val="center"/>
          </w:tcPr>
          <w:p w14:paraId="04AFD512">
            <w:r>
              <w:rPr>
                <w:rStyle w:val="10"/>
                <w:rFonts w:hint="eastAsia"/>
              </w:rPr>
              <w:t>剂型：</w:t>
            </w:r>
            <w:r>
              <w:rPr>
                <w:rFonts w:hint="eastAsia"/>
              </w:rPr>
              <w:t>电热蚊香液</w:t>
            </w:r>
          </w:p>
        </w:tc>
      </w:tr>
      <w:tr w14:paraId="49DAA430">
        <w:tblPrEx>
          <w:tblCellMar>
            <w:top w:w="0" w:type="dxa"/>
            <w:left w:w="0" w:type="dxa"/>
            <w:bottom w:w="0" w:type="dxa"/>
            <w:right w:w="0" w:type="dxa"/>
          </w:tblCellMar>
        </w:tblPrEx>
        <w:trPr>
          <w:tblCellSpacing w:w="0" w:type="dxa"/>
        </w:trPr>
        <w:tc>
          <w:tcPr>
            <w:tcW w:w="0" w:type="auto"/>
            <w:vAlign w:val="center"/>
          </w:tcPr>
          <w:p w14:paraId="1CF63F09">
            <w:r>
              <w:rPr>
                <w:rStyle w:val="10"/>
                <w:rFonts w:hint="eastAsia"/>
              </w:rPr>
              <w:t>毒性及其标识：</w:t>
            </w:r>
            <w:r>
              <w:rPr>
                <w:rFonts w:hint="eastAsia"/>
              </w:rPr>
              <w:t xml:space="preserve"> 微毒 </w:t>
            </w:r>
          </w:p>
        </w:tc>
      </w:tr>
      <w:tr w14:paraId="4B3BF031">
        <w:tblPrEx>
          <w:tblCellMar>
            <w:top w:w="0" w:type="dxa"/>
            <w:left w:w="0" w:type="dxa"/>
            <w:bottom w:w="0" w:type="dxa"/>
            <w:right w:w="0" w:type="dxa"/>
          </w:tblCellMar>
        </w:tblPrEx>
        <w:trPr>
          <w:tblCellSpacing w:w="0" w:type="dxa"/>
        </w:trPr>
        <w:tc>
          <w:tcPr>
            <w:tcW w:w="0" w:type="auto"/>
            <w:vAlign w:val="center"/>
          </w:tcPr>
          <w:p w14:paraId="0081324C">
            <w:r>
              <w:rPr>
                <w:rStyle w:val="10"/>
                <w:rFonts w:hint="eastAsia"/>
              </w:rPr>
              <w:t>总有效成分含量：</w:t>
            </w:r>
            <w:r>
              <w:rPr>
                <w:rFonts w:hint="eastAsia"/>
              </w:rPr>
              <w:t>0.6%</w:t>
            </w:r>
          </w:p>
        </w:tc>
      </w:tr>
      <w:tr w14:paraId="41826F62">
        <w:tblPrEx>
          <w:tblCellMar>
            <w:top w:w="0" w:type="dxa"/>
            <w:left w:w="0" w:type="dxa"/>
            <w:bottom w:w="0" w:type="dxa"/>
            <w:right w:w="0" w:type="dxa"/>
          </w:tblCellMar>
        </w:tblPrEx>
        <w:trPr>
          <w:tblCellSpacing w:w="0" w:type="dxa"/>
        </w:trPr>
        <w:tc>
          <w:tcPr>
            <w:tcW w:w="0" w:type="auto"/>
            <w:vAlign w:val="center"/>
          </w:tcPr>
          <w:p w14:paraId="1E0DA367">
            <w:r>
              <w:rPr>
                <w:rFonts w:hint="eastAsia"/>
              </w:rPr>
              <w:t xml:space="preserve">有效成分及其含量： </w:t>
            </w:r>
          </w:p>
          <w:p w14:paraId="0D053050">
            <w:r>
              <w:rPr>
                <w:rFonts w:hint="eastAsia"/>
              </w:rPr>
              <w:t xml:space="preserve">    氯氟醚菊酯0.6%    </w:t>
            </w:r>
          </w:p>
        </w:tc>
      </w:tr>
      <w:tr w14:paraId="1B835502">
        <w:tblPrEx>
          <w:tblCellMar>
            <w:top w:w="0" w:type="dxa"/>
            <w:left w:w="0" w:type="dxa"/>
            <w:bottom w:w="0" w:type="dxa"/>
            <w:right w:w="0" w:type="dxa"/>
          </w:tblCellMar>
        </w:tblPrEx>
        <w:trPr>
          <w:tblCellSpacing w:w="0" w:type="dxa"/>
        </w:trPr>
        <w:tc>
          <w:tcPr>
            <w:tcW w:w="0" w:type="auto"/>
            <w:vAlign w:val="center"/>
          </w:tcPr>
          <w:p w14:paraId="01D1D89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C8F3D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9AD2488">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DB15DC2">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0E7B08">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A67C4F5">
                  <w:r>
                    <w:rPr>
                      <w:rStyle w:val="11"/>
                      <w:rFonts w:hint="eastAsia"/>
                    </w:rPr>
                    <w:t>施用方式</w:t>
                  </w:r>
                </w:p>
              </w:tc>
            </w:tr>
            <w:tr w14:paraId="1EAC18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3DDA6B">
                  <w:r>
                    <w:rPr>
                      <w:rStyle w:val="11"/>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926D246">
                  <w:r>
                    <w:rPr>
                      <w:rStyle w:val="11"/>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40D38A45">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0D83037F">
                  <w:r>
                    <w:rPr>
                      <w:rStyle w:val="11"/>
                      <w:rFonts w:hint="eastAsia"/>
                    </w:rPr>
                    <w:t>电热加温</w:t>
                  </w:r>
                </w:p>
              </w:tc>
            </w:tr>
          </w:tbl>
          <w:p w14:paraId="70B2E68D">
            <w:pPr>
              <w:rPr>
                <w:rFonts w:ascii="Times New Roman" w:hAnsi="Times New Roman" w:cs="Times New Roman"/>
                <w:sz w:val="20"/>
                <w:szCs w:val="20"/>
              </w:rPr>
            </w:pPr>
          </w:p>
        </w:tc>
      </w:tr>
      <w:tr w14:paraId="28899508">
        <w:tblPrEx>
          <w:tblCellMar>
            <w:top w:w="0" w:type="dxa"/>
            <w:left w:w="0" w:type="dxa"/>
            <w:bottom w:w="0" w:type="dxa"/>
            <w:right w:w="0" w:type="dxa"/>
          </w:tblCellMar>
        </w:tblPrEx>
        <w:trPr>
          <w:tblCellSpacing w:w="0" w:type="dxa"/>
        </w:trPr>
        <w:tc>
          <w:tcPr>
            <w:tcW w:w="0" w:type="auto"/>
            <w:vAlign w:val="center"/>
          </w:tcPr>
          <w:p w14:paraId="4ED12D93">
            <w:r>
              <w:rPr>
                <w:rStyle w:val="10"/>
                <w:rFonts w:hint="eastAsia"/>
              </w:rPr>
              <w:t>使用技术要求:</w:t>
            </w:r>
            <w:r>
              <w:rPr>
                <w:rFonts w:hint="eastAsia"/>
              </w:rPr>
              <w:br w:type="textWrapping"/>
            </w:r>
            <w:r>
              <w:rPr>
                <w:rStyle w:val="11"/>
                <w:rFonts w:hint="eastAsia"/>
              </w:rPr>
              <w:t>使用时药力散发均匀,无须每天添加或更换。使用方便。是现代家居驱蚊之良品之一。 1、旋开电热蚊香液的瓶盖； 2、将蚊香液装入驱蚊器内； 3、将驱蚊器插上电源，指示灯亮即表示正常工作； 4、用毕切断电源；</w:t>
            </w:r>
          </w:p>
        </w:tc>
      </w:tr>
      <w:tr w14:paraId="650F1853">
        <w:tblPrEx>
          <w:tblCellMar>
            <w:top w:w="0" w:type="dxa"/>
            <w:left w:w="0" w:type="dxa"/>
            <w:bottom w:w="0" w:type="dxa"/>
            <w:right w:w="0" w:type="dxa"/>
          </w:tblCellMar>
        </w:tblPrEx>
        <w:trPr>
          <w:tblCellSpacing w:w="0" w:type="dxa"/>
        </w:trPr>
        <w:tc>
          <w:tcPr>
            <w:tcW w:w="0" w:type="auto"/>
            <w:vAlign w:val="center"/>
          </w:tcPr>
          <w:p w14:paraId="14F2191E">
            <w:r>
              <w:rPr>
                <w:rStyle w:val="10"/>
                <w:rFonts w:hint="eastAsia"/>
              </w:rPr>
              <w:t>产品性能:</w:t>
            </w:r>
            <w:r>
              <w:rPr>
                <w:rFonts w:hint="eastAsia"/>
              </w:rPr>
              <w:br w:type="textWrapping"/>
            </w:r>
            <w:r>
              <w:rPr>
                <w:rStyle w:val="11"/>
                <w:rFonts w:hint="eastAsia"/>
              </w:rPr>
              <w:t>本产品以拟除虫菊酯配制而成，能有效驱蚊，使用简便，为家居驱蚊的理想用品之一。</w:t>
            </w:r>
          </w:p>
        </w:tc>
      </w:tr>
      <w:tr w14:paraId="468B7232">
        <w:tblPrEx>
          <w:tblCellMar>
            <w:top w:w="0" w:type="dxa"/>
            <w:left w:w="0" w:type="dxa"/>
            <w:bottom w:w="0" w:type="dxa"/>
            <w:right w:w="0" w:type="dxa"/>
          </w:tblCellMar>
        </w:tblPrEx>
        <w:trPr>
          <w:tblCellSpacing w:w="0" w:type="dxa"/>
        </w:trPr>
        <w:tc>
          <w:tcPr>
            <w:tcW w:w="0" w:type="auto"/>
            <w:vAlign w:val="center"/>
          </w:tcPr>
          <w:p w14:paraId="00FE4604">
            <w:r>
              <w:rPr>
                <w:rStyle w:val="10"/>
                <w:rFonts w:hint="eastAsia"/>
              </w:rPr>
              <w:t>注意事项：</w:t>
            </w:r>
            <w:r>
              <w:rPr>
                <w:rFonts w:hint="eastAsia"/>
              </w:rPr>
              <w:br w:type="textWrapping"/>
            </w:r>
            <w:r>
              <w:rPr>
                <w:rStyle w:val="11"/>
                <w:rFonts w:hint="eastAsia"/>
              </w:rPr>
              <w:t>置于儿童接触不到的地方。使用时注意通风；注意用电及防火安全；本品对鱼、蚕有毒，蚕室及其附近禁用；用后洗手。过敏者禁用；使用中有任何不良反应请及时就医。</w:t>
            </w:r>
          </w:p>
        </w:tc>
      </w:tr>
      <w:tr w14:paraId="3A33B232">
        <w:tblPrEx>
          <w:tblCellMar>
            <w:top w:w="0" w:type="dxa"/>
            <w:left w:w="0" w:type="dxa"/>
            <w:bottom w:w="0" w:type="dxa"/>
            <w:right w:w="0" w:type="dxa"/>
          </w:tblCellMar>
        </w:tblPrEx>
        <w:trPr>
          <w:tblCellSpacing w:w="0" w:type="dxa"/>
        </w:trPr>
        <w:tc>
          <w:tcPr>
            <w:tcW w:w="0" w:type="auto"/>
            <w:vAlign w:val="center"/>
          </w:tcPr>
          <w:p w14:paraId="200BAF25">
            <w:r>
              <w:rPr>
                <w:rStyle w:val="10"/>
                <w:rFonts w:hint="eastAsia"/>
              </w:rPr>
              <w:t>中毒急救措施：</w:t>
            </w:r>
            <w:r>
              <w:rPr>
                <w:rFonts w:hint="eastAsia"/>
              </w:rPr>
              <w:br w:type="textWrapping"/>
            </w:r>
            <w:r>
              <w:rPr>
                <w:rStyle w:val="11"/>
                <w:rFonts w:hint="eastAsia"/>
              </w:rPr>
              <w:t>中毒和急救措施，若有误服，则应立即携带标签将病人送医院诊治。不慎吸入，应将病人移至空气流通处。如接触药液或溅入眼睛后应即用清水冲洗15分钟以上。</w:t>
            </w:r>
          </w:p>
        </w:tc>
      </w:tr>
      <w:tr w14:paraId="6511D1FC">
        <w:tblPrEx>
          <w:tblCellMar>
            <w:top w:w="0" w:type="dxa"/>
            <w:left w:w="0" w:type="dxa"/>
            <w:bottom w:w="0" w:type="dxa"/>
            <w:right w:w="0" w:type="dxa"/>
          </w:tblCellMar>
        </w:tblPrEx>
        <w:trPr>
          <w:tblCellSpacing w:w="0" w:type="dxa"/>
        </w:trPr>
        <w:tc>
          <w:tcPr>
            <w:tcW w:w="0" w:type="auto"/>
            <w:vAlign w:val="center"/>
          </w:tcPr>
          <w:p w14:paraId="0875770C">
            <w:r>
              <w:rPr>
                <w:rStyle w:val="10"/>
                <w:rFonts w:hint="eastAsia"/>
              </w:rPr>
              <w:t>储存和运输方法：</w:t>
            </w:r>
            <w:r>
              <w:rPr>
                <w:rFonts w:hint="eastAsia"/>
              </w:rPr>
              <w:br w:type="textWrapping"/>
            </w:r>
            <w:r>
              <w:rPr>
                <w:rStyle w:val="11"/>
                <w:rFonts w:hint="eastAsia"/>
              </w:rPr>
              <w:t>1、置于儿童接触不到的阴凉干燥处，勿与食品、种子、饮料、粮食、饲料及易燃易爆品等同贮同运。2、搬运时要轻取轻放，防止剧烈震动、日晒、雨淋和重压。3、远离火源或热源。</w:t>
            </w:r>
          </w:p>
        </w:tc>
      </w:tr>
      <w:tr w14:paraId="436284A6">
        <w:tblPrEx>
          <w:tblCellMar>
            <w:top w:w="0" w:type="dxa"/>
            <w:left w:w="0" w:type="dxa"/>
            <w:bottom w:w="0" w:type="dxa"/>
            <w:right w:w="0" w:type="dxa"/>
          </w:tblCellMar>
        </w:tblPrEx>
        <w:trPr>
          <w:tblCellSpacing w:w="0" w:type="dxa"/>
        </w:trPr>
        <w:tc>
          <w:tcPr>
            <w:tcW w:w="0" w:type="auto"/>
            <w:vAlign w:val="center"/>
          </w:tcPr>
          <w:p w14:paraId="0D0B47CC">
            <w:r>
              <w:rPr>
                <w:rStyle w:val="10"/>
                <w:rFonts w:hint="eastAsia"/>
              </w:rPr>
              <w:t>质量保证期：</w:t>
            </w:r>
            <w:r>
              <w:rPr>
                <w:rStyle w:val="11"/>
                <w:rFonts w:hint="eastAsia"/>
              </w:rPr>
              <w:t>3年</w:t>
            </w:r>
          </w:p>
        </w:tc>
      </w:tr>
      <w:tr w14:paraId="47CAB9CC">
        <w:tblPrEx>
          <w:tblCellMar>
            <w:top w:w="0" w:type="dxa"/>
            <w:left w:w="0" w:type="dxa"/>
            <w:bottom w:w="0" w:type="dxa"/>
            <w:right w:w="0" w:type="dxa"/>
          </w:tblCellMar>
        </w:tblPrEx>
        <w:trPr>
          <w:tblCellSpacing w:w="0" w:type="dxa"/>
        </w:trPr>
        <w:tc>
          <w:tcPr>
            <w:tcW w:w="0" w:type="auto"/>
            <w:vAlign w:val="center"/>
          </w:tcPr>
          <w:p w14:paraId="6448AF06">
            <w:r>
              <w:rPr>
                <w:rStyle w:val="10"/>
                <w:rFonts w:hint="eastAsia"/>
              </w:rPr>
              <w:t>备注：</w:t>
            </w:r>
          </w:p>
        </w:tc>
      </w:tr>
    </w:tbl>
    <w:p w14:paraId="07CFC2D4">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0266D9">
        <w:tblPrEx>
          <w:tblCellMar>
            <w:top w:w="0" w:type="dxa"/>
            <w:left w:w="0" w:type="dxa"/>
            <w:bottom w:w="0" w:type="dxa"/>
            <w:right w:w="0" w:type="dxa"/>
          </w:tblCellMar>
        </w:tblPrEx>
        <w:trPr>
          <w:tblCellSpacing w:w="0" w:type="dxa"/>
        </w:trPr>
        <w:tc>
          <w:tcPr>
            <w:tcW w:w="0" w:type="auto"/>
            <w:vAlign w:val="center"/>
          </w:tcPr>
          <w:p w14:paraId="1F9F774D">
            <w:r>
              <w:rPr>
                <w:rStyle w:val="10"/>
                <w:rFonts w:hint="eastAsia"/>
              </w:rPr>
              <w:t>登记证号：</w:t>
            </w:r>
            <w:r>
              <w:rPr>
                <w:rFonts w:hint="eastAsia"/>
              </w:rPr>
              <w:t>WP20170041</w:t>
            </w:r>
          </w:p>
        </w:tc>
      </w:tr>
      <w:tr w14:paraId="3BA65D64">
        <w:trPr>
          <w:tblCellSpacing w:w="0" w:type="dxa"/>
        </w:trPr>
        <w:tc>
          <w:tcPr>
            <w:tcW w:w="0" w:type="auto"/>
            <w:vAlign w:val="center"/>
          </w:tcPr>
          <w:p w14:paraId="7E514F1B">
            <w:r>
              <w:rPr>
                <w:rStyle w:val="10"/>
                <w:rFonts w:hint="eastAsia"/>
              </w:rPr>
              <w:t>登记证持有人：</w:t>
            </w:r>
            <w:r>
              <w:rPr>
                <w:rFonts w:hint="eastAsia"/>
              </w:rPr>
              <w:t>东阳市康家日用品有限公司</w:t>
            </w:r>
          </w:p>
        </w:tc>
      </w:tr>
      <w:tr w14:paraId="0F454603">
        <w:trPr>
          <w:tblCellSpacing w:w="0" w:type="dxa"/>
        </w:trPr>
        <w:tc>
          <w:tcPr>
            <w:tcW w:w="0" w:type="auto"/>
            <w:vAlign w:val="center"/>
          </w:tcPr>
          <w:p w14:paraId="6247D488">
            <w:r>
              <w:rPr>
                <w:rStyle w:val="10"/>
                <w:rFonts w:hint="eastAsia"/>
              </w:rPr>
              <w:t>农药名称：</w:t>
            </w:r>
            <w:r>
              <w:rPr>
                <w:rFonts w:hint="eastAsia"/>
              </w:rPr>
              <w:t>驱蚊液</w:t>
            </w:r>
          </w:p>
        </w:tc>
      </w:tr>
      <w:tr w14:paraId="7798832B">
        <w:tblPrEx>
          <w:tblCellMar>
            <w:top w:w="0" w:type="dxa"/>
            <w:left w:w="0" w:type="dxa"/>
            <w:bottom w:w="0" w:type="dxa"/>
            <w:right w:w="0" w:type="dxa"/>
          </w:tblCellMar>
        </w:tblPrEx>
        <w:trPr>
          <w:tblCellSpacing w:w="0" w:type="dxa"/>
        </w:trPr>
        <w:tc>
          <w:tcPr>
            <w:tcW w:w="0" w:type="auto"/>
            <w:vAlign w:val="center"/>
          </w:tcPr>
          <w:p w14:paraId="45FB6202">
            <w:r>
              <w:rPr>
                <w:rStyle w:val="10"/>
                <w:rFonts w:hint="eastAsia"/>
              </w:rPr>
              <w:t>剂型：</w:t>
            </w:r>
            <w:r>
              <w:rPr>
                <w:rFonts w:hint="eastAsia"/>
              </w:rPr>
              <w:t>驱蚊液</w:t>
            </w:r>
          </w:p>
        </w:tc>
      </w:tr>
      <w:tr w14:paraId="697CBF32">
        <w:tblPrEx>
          <w:tblCellMar>
            <w:top w:w="0" w:type="dxa"/>
            <w:left w:w="0" w:type="dxa"/>
            <w:bottom w:w="0" w:type="dxa"/>
            <w:right w:w="0" w:type="dxa"/>
          </w:tblCellMar>
        </w:tblPrEx>
        <w:trPr>
          <w:tblCellSpacing w:w="0" w:type="dxa"/>
        </w:trPr>
        <w:tc>
          <w:tcPr>
            <w:tcW w:w="0" w:type="auto"/>
            <w:vAlign w:val="center"/>
          </w:tcPr>
          <w:p w14:paraId="08361CF6">
            <w:r>
              <w:rPr>
                <w:rStyle w:val="10"/>
                <w:rFonts w:hint="eastAsia"/>
              </w:rPr>
              <w:t>毒性及其标识：</w:t>
            </w:r>
            <w:r>
              <w:rPr>
                <w:rFonts w:hint="eastAsia"/>
              </w:rPr>
              <w:t xml:space="preserve"> </w:t>
            </w:r>
            <w:r>
              <w:drawing>
                <wp:inline distT="0" distB="0" distL="0" distR="0">
                  <wp:extent cx="474345" cy="323850"/>
                  <wp:effectExtent l="0" t="0" r="1905"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1E34A7E1">
        <w:tblPrEx>
          <w:tblCellMar>
            <w:top w:w="0" w:type="dxa"/>
            <w:left w:w="0" w:type="dxa"/>
            <w:bottom w:w="0" w:type="dxa"/>
            <w:right w:w="0" w:type="dxa"/>
          </w:tblCellMar>
        </w:tblPrEx>
        <w:trPr>
          <w:tblCellSpacing w:w="0" w:type="dxa"/>
        </w:trPr>
        <w:tc>
          <w:tcPr>
            <w:tcW w:w="0" w:type="auto"/>
            <w:vAlign w:val="center"/>
          </w:tcPr>
          <w:p w14:paraId="5E9F359B">
            <w:r>
              <w:rPr>
                <w:rStyle w:val="10"/>
                <w:rFonts w:hint="eastAsia"/>
              </w:rPr>
              <w:t>总有效成分含量：</w:t>
            </w:r>
            <w:r>
              <w:rPr>
                <w:rFonts w:hint="eastAsia"/>
              </w:rPr>
              <w:t>20%</w:t>
            </w:r>
          </w:p>
        </w:tc>
      </w:tr>
      <w:tr w14:paraId="7D7F7D00">
        <w:tblPrEx>
          <w:tblCellMar>
            <w:top w:w="0" w:type="dxa"/>
            <w:left w:w="0" w:type="dxa"/>
            <w:bottom w:w="0" w:type="dxa"/>
            <w:right w:w="0" w:type="dxa"/>
          </w:tblCellMar>
        </w:tblPrEx>
        <w:trPr>
          <w:tblCellSpacing w:w="0" w:type="dxa"/>
        </w:trPr>
        <w:tc>
          <w:tcPr>
            <w:tcW w:w="0" w:type="auto"/>
            <w:vAlign w:val="center"/>
          </w:tcPr>
          <w:p w14:paraId="72EFFF5B">
            <w:r>
              <w:rPr>
                <w:rFonts w:hint="eastAsia"/>
              </w:rPr>
              <w:t xml:space="preserve">有效成分及其含量： </w:t>
            </w:r>
          </w:p>
          <w:p w14:paraId="47F95D43">
            <w:r>
              <w:rPr>
                <w:rFonts w:hint="eastAsia"/>
              </w:rPr>
              <w:t xml:space="preserve">    羟哌酯20%    </w:t>
            </w:r>
          </w:p>
        </w:tc>
      </w:tr>
      <w:tr w14:paraId="10EDD870">
        <w:tblPrEx>
          <w:tblCellMar>
            <w:top w:w="0" w:type="dxa"/>
            <w:left w:w="0" w:type="dxa"/>
            <w:bottom w:w="0" w:type="dxa"/>
            <w:right w:w="0" w:type="dxa"/>
          </w:tblCellMar>
        </w:tblPrEx>
        <w:trPr>
          <w:tblCellSpacing w:w="0" w:type="dxa"/>
        </w:trPr>
        <w:tc>
          <w:tcPr>
            <w:tcW w:w="0" w:type="auto"/>
            <w:vAlign w:val="center"/>
          </w:tcPr>
          <w:p w14:paraId="198F134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95E4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980C161">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333F1B5">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CA64E7">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F07D2DF">
                  <w:r>
                    <w:rPr>
                      <w:rStyle w:val="11"/>
                      <w:rFonts w:hint="eastAsia"/>
                    </w:rPr>
                    <w:t>施用方式</w:t>
                  </w:r>
                </w:p>
              </w:tc>
            </w:tr>
            <w:tr w14:paraId="6C6C2B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B098CB">
                  <w:r>
                    <w:rPr>
                      <w:rStyle w:val="11"/>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60C18DE4">
                  <w:r>
                    <w:rPr>
                      <w:rStyle w:val="11"/>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59BE8B8">
                  <w:r>
                    <w:rPr>
                      <w:rStyle w:val="11"/>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2E080469">
                  <w:r>
                    <w:rPr>
                      <w:rStyle w:val="11"/>
                      <w:rFonts w:hint="eastAsia"/>
                    </w:rPr>
                    <w:t>涂抹</w:t>
                  </w:r>
                </w:p>
              </w:tc>
            </w:tr>
          </w:tbl>
          <w:p w14:paraId="11E545B2">
            <w:pPr>
              <w:rPr>
                <w:rFonts w:ascii="Times New Roman" w:hAnsi="Times New Roman" w:cs="Times New Roman"/>
                <w:sz w:val="20"/>
                <w:szCs w:val="20"/>
              </w:rPr>
            </w:pPr>
          </w:p>
        </w:tc>
      </w:tr>
      <w:tr w14:paraId="55544C1F">
        <w:tblPrEx>
          <w:tblCellMar>
            <w:top w:w="0" w:type="dxa"/>
            <w:left w:w="0" w:type="dxa"/>
            <w:bottom w:w="0" w:type="dxa"/>
            <w:right w:w="0" w:type="dxa"/>
          </w:tblCellMar>
        </w:tblPrEx>
        <w:trPr>
          <w:tblCellSpacing w:w="0" w:type="dxa"/>
        </w:trPr>
        <w:tc>
          <w:tcPr>
            <w:tcW w:w="0" w:type="auto"/>
            <w:vAlign w:val="center"/>
          </w:tcPr>
          <w:p w14:paraId="12AF5C3C">
            <w:r>
              <w:rPr>
                <w:rStyle w:val="10"/>
                <w:rFonts w:hint="eastAsia"/>
              </w:rPr>
              <w:t>使用技术要求:</w:t>
            </w:r>
            <w:r>
              <w:rPr>
                <w:rFonts w:hint="eastAsia"/>
              </w:rPr>
              <w:br w:type="textWrapping"/>
            </w:r>
            <w:r>
              <w:rPr>
                <w:rStyle w:val="11"/>
                <w:rFonts w:hint="eastAsia"/>
              </w:rPr>
              <w:t>使用时，直接涂抹于皮肤暴露部分即可有效趋避蚊子叮咬。</w:t>
            </w:r>
          </w:p>
        </w:tc>
      </w:tr>
      <w:tr w14:paraId="58216B13">
        <w:tblPrEx>
          <w:tblCellMar>
            <w:top w:w="0" w:type="dxa"/>
            <w:left w:w="0" w:type="dxa"/>
            <w:bottom w:w="0" w:type="dxa"/>
            <w:right w:w="0" w:type="dxa"/>
          </w:tblCellMar>
        </w:tblPrEx>
        <w:trPr>
          <w:tblCellSpacing w:w="0" w:type="dxa"/>
        </w:trPr>
        <w:tc>
          <w:tcPr>
            <w:tcW w:w="0" w:type="auto"/>
            <w:vAlign w:val="center"/>
          </w:tcPr>
          <w:p w14:paraId="67286336">
            <w:r>
              <w:rPr>
                <w:rStyle w:val="10"/>
                <w:rFonts w:hint="eastAsia"/>
              </w:rPr>
              <w:t>产品性能:</w:t>
            </w:r>
            <w:r>
              <w:rPr>
                <w:rFonts w:hint="eastAsia"/>
              </w:rPr>
              <w:br w:type="textWrapping"/>
            </w:r>
            <w:r>
              <w:rPr>
                <w:rStyle w:val="11"/>
                <w:rFonts w:hint="eastAsia"/>
              </w:rPr>
              <w:t>本品含羟哌酯成分，是一种新型的昆虫驱避剂，对蚊具有良好的驱避效果。</w:t>
            </w:r>
          </w:p>
        </w:tc>
      </w:tr>
      <w:tr w14:paraId="00F32F75">
        <w:tblPrEx>
          <w:tblCellMar>
            <w:top w:w="0" w:type="dxa"/>
            <w:left w:w="0" w:type="dxa"/>
            <w:bottom w:w="0" w:type="dxa"/>
            <w:right w:w="0" w:type="dxa"/>
          </w:tblCellMar>
        </w:tblPrEx>
        <w:trPr>
          <w:tblCellSpacing w:w="0" w:type="dxa"/>
        </w:trPr>
        <w:tc>
          <w:tcPr>
            <w:tcW w:w="0" w:type="auto"/>
            <w:vAlign w:val="center"/>
          </w:tcPr>
          <w:p w14:paraId="118BC350">
            <w:r>
              <w:rPr>
                <w:rStyle w:val="10"/>
                <w:rFonts w:hint="eastAsia"/>
              </w:rPr>
              <w:t>注意事项：</w:t>
            </w:r>
            <w:r>
              <w:rPr>
                <w:rFonts w:hint="eastAsia"/>
              </w:rPr>
              <w:br w:type="textWrapping"/>
            </w:r>
            <w:r>
              <w:rPr>
                <w:rStyle w:val="11"/>
                <w:rFonts w:hint="eastAsia"/>
              </w:rPr>
              <w:t>本品为外用、忌食。六个月以下婴儿及孕妇禁用。有皮炎及皮肤破损，或对其过敏者禁用。避免施用于眼部、唇部等处。对眼有一定刺激性，使用时需注意防护。置于婴幼儿触及不到的地方。使用中有任何不良反应请及时就医。</w:t>
            </w:r>
          </w:p>
        </w:tc>
      </w:tr>
      <w:tr w14:paraId="59DA16A0">
        <w:trPr>
          <w:tblCellSpacing w:w="0" w:type="dxa"/>
        </w:trPr>
        <w:tc>
          <w:tcPr>
            <w:tcW w:w="0" w:type="auto"/>
            <w:vAlign w:val="center"/>
          </w:tcPr>
          <w:p w14:paraId="01601215">
            <w:r>
              <w:rPr>
                <w:rStyle w:val="10"/>
                <w:rFonts w:hint="eastAsia"/>
              </w:rPr>
              <w:t>中毒急救措施：</w:t>
            </w:r>
            <w:r>
              <w:rPr>
                <w:rFonts w:hint="eastAsia"/>
              </w:rPr>
              <w:br w:type="textWrapping"/>
            </w:r>
            <w:r>
              <w:rPr>
                <w:rStyle w:val="11"/>
                <w:rFonts w:hint="eastAsia"/>
              </w:rPr>
              <w:t>本品无特殊解毒剂。如有不适，清洗涂抹处并及时就医。</w:t>
            </w:r>
          </w:p>
        </w:tc>
      </w:tr>
      <w:tr w14:paraId="1E990E90">
        <w:tblPrEx>
          <w:tblCellMar>
            <w:top w:w="0" w:type="dxa"/>
            <w:left w:w="0" w:type="dxa"/>
            <w:bottom w:w="0" w:type="dxa"/>
            <w:right w:w="0" w:type="dxa"/>
          </w:tblCellMar>
        </w:tblPrEx>
        <w:trPr>
          <w:tblCellSpacing w:w="0" w:type="dxa"/>
        </w:trPr>
        <w:tc>
          <w:tcPr>
            <w:tcW w:w="0" w:type="auto"/>
            <w:vAlign w:val="center"/>
          </w:tcPr>
          <w:p w14:paraId="7F271A19">
            <w:r>
              <w:rPr>
                <w:rStyle w:val="10"/>
                <w:rFonts w:hint="eastAsia"/>
              </w:rPr>
              <w:t>储存和运输方法：</w:t>
            </w:r>
            <w:r>
              <w:rPr>
                <w:rFonts w:hint="eastAsia"/>
              </w:rPr>
              <w:br w:type="textWrapping"/>
            </w:r>
            <w:r>
              <w:rPr>
                <w:rStyle w:val="11"/>
                <w:rFonts w:hint="eastAsia"/>
              </w:rPr>
              <w:t>本品应贮存在干燥、阴凉、通风、防雨处，远离火源或热源，置于儿童不易接触到的地方，不能与食品、饮料、种子、粮食等同贮同运。</w:t>
            </w:r>
          </w:p>
        </w:tc>
      </w:tr>
      <w:tr w14:paraId="16CA240C">
        <w:tblPrEx>
          <w:tblCellMar>
            <w:top w:w="0" w:type="dxa"/>
            <w:left w:w="0" w:type="dxa"/>
            <w:bottom w:w="0" w:type="dxa"/>
            <w:right w:w="0" w:type="dxa"/>
          </w:tblCellMar>
        </w:tblPrEx>
        <w:trPr>
          <w:tblCellSpacing w:w="0" w:type="dxa"/>
        </w:trPr>
        <w:tc>
          <w:tcPr>
            <w:tcW w:w="0" w:type="auto"/>
            <w:vAlign w:val="center"/>
          </w:tcPr>
          <w:p w14:paraId="67BA68A0">
            <w:r>
              <w:rPr>
                <w:rStyle w:val="10"/>
                <w:rFonts w:hint="eastAsia"/>
              </w:rPr>
              <w:t>质量保证期：</w:t>
            </w:r>
            <w:r>
              <w:rPr>
                <w:rStyle w:val="11"/>
                <w:rFonts w:hint="eastAsia"/>
              </w:rPr>
              <w:t>2年</w:t>
            </w:r>
          </w:p>
        </w:tc>
      </w:tr>
      <w:tr w14:paraId="0296ABB0">
        <w:trPr>
          <w:tblCellSpacing w:w="0" w:type="dxa"/>
        </w:trPr>
        <w:tc>
          <w:tcPr>
            <w:tcW w:w="0" w:type="auto"/>
            <w:vAlign w:val="center"/>
          </w:tcPr>
          <w:p w14:paraId="51CCDD85">
            <w:r>
              <w:rPr>
                <w:rStyle w:val="10"/>
                <w:rFonts w:hint="eastAsia"/>
              </w:rPr>
              <w:t>备注：</w:t>
            </w:r>
          </w:p>
        </w:tc>
      </w:tr>
    </w:tbl>
    <w:p w14:paraId="4598017D">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C16D771">
        <w:tblPrEx>
          <w:tblCellMar>
            <w:top w:w="0" w:type="dxa"/>
            <w:left w:w="0" w:type="dxa"/>
            <w:bottom w:w="0" w:type="dxa"/>
            <w:right w:w="0" w:type="dxa"/>
          </w:tblCellMar>
        </w:tblPrEx>
        <w:trPr>
          <w:tblCellSpacing w:w="0" w:type="dxa"/>
        </w:trPr>
        <w:tc>
          <w:tcPr>
            <w:tcW w:w="0" w:type="auto"/>
            <w:vAlign w:val="center"/>
          </w:tcPr>
          <w:p w14:paraId="5C91BC29">
            <w:r>
              <w:rPr>
                <w:rStyle w:val="10"/>
                <w:rFonts w:hint="eastAsia"/>
              </w:rPr>
              <w:t>登记证号：</w:t>
            </w:r>
            <w:r>
              <w:rPr>
                <w:rFonts w:hint="eastAsia"/>
              </w:rPr>
              <w:t>PD20101948</w:t>
            </w:r>
          </w:p>
        </w:tc>
      </w:tr>
      <w:tr w14:paraId="70182A39">
        <w:tblPrEx>
          <w:tblCellMar>
            <w:top w:w="0" w:type="dxa"/>
            <w:left w:w="0" w:type="dxa"/>
            <w:bottom w:w="0" w:type="dxa"/>
            <w:right w:w="0" w:type="dxa"/>
          </w:tblCellMar>
        </w:tblPrEx>
        <w:trPr>
          <w:tblCellSpacing w:w="0" w:type="dxa"/>
        </w:trPr>
        <w:tc>
          <w:tcPr>
            <w:tcW w:w="0" w:type="auto"/>
            <w:vAlign w:val="center"/>
          </w:tcPr>
          <w:p w14:paraId="50FEF4C9">
            <w:r>
              <w:rPr>
                <w:rStyle w:val="10"/>
                <w:rFonts w:hint="eastAsia"/>
              </w:rPr>
              <w:t>登记证持有人：</w:t>
            </w:r>
            <w:r>
              <w:rPr>
                <w:rFonts w:hint="eastAsia"/>
              </w:rPr>
              <w:t>山东华阳农药化工集团有限公司</w:t>
            </w:r>
          </w:p>
        </w:tc>
      </w:tr>
      <w:tr w14:paraId="32BB3ADF">
        <w:trPr>
          <w:tblCellSpacing w:w="0" w:type="dxa"/>
        </w:trPr>
        <w:tc>
          <w:tcPr>
            <w:tcW w:w="0" w:type="auto"/>
            <w:vAlign w:val="center"/>
          </w:tcPr>
          <w:p w14:paraId="46319901">
            <w:r>
              <w:rPr>
                <w:rStyle w:val="10"/>
                <w:rFonts w:hint="eastAsia"/>
              </w:rPr>
              <w:t>农药名称：</w:t>
            </w:r>
            <w:r>
              <w:rPr>
                <w:rFonts w:hint="eastAsia"/>
              </w:rPr>
              <w:t>乙酰甲胺磷</w:t>
            </w:r>
          </w:p>
        </w:tc>
      </w:tr>
      <w:tr w14:paraId="0A27255A">
        <w:tblPrEx>
          <w:tblCellMar>
            <w:top w:w="0" w:type="dxa"/>
            <w:left w:w="0" w:type="dxa"/>
            <w:bottom w:w="0" w:type="dxa"/>
            <w:right w:w="0" w:type="dxa"/>
          </w:tblCellMar>
        </w:tblPrEx>
        <w:trPr>
          <w:tblCellSpacing w:w="0" w:type="dxa"/>
        </w:trPr>
        <w:tc>
          <w:tcPr>
            <w:tcW w:w="0" w:type="auto"/>
            <w:vAlign w:val="center"/>
          </w:tcPr>
          <w:p w14:paraId="69417359">
            <w:r>
              <w:rPr>
                <w:rStyle w:val="10"/>
                <w:rFonts w:hint="eastAsia"/>
              </w:rPr>
              <w:t>剂型：</w:t>
            </w:r>
            <w:r>
              <w:rPr>
                <w:rFonts w:hint="eastAsia"/>
              </w:rPr>
              <w:t>乳油</w:t>
            </w:r>
          </w:p>
        </w:tc>
      </w:tr>
      <w:tr w14:paraId="6751BF3B">
        <w:tblPrEx>
          <w:tblCellMar>
            <w:top w:w="0" w:type="dxa"/>
            <w:left w:w="0" w:type="dxa"/>
            <w:bottom w:w="0" w:type="dxa"/>
            <w:right w:w="0" w:type="dxa"/>
          </w:tblCellMar>
        </w:tblPrEx>
        <w:trPr>
          <w:tblCellSpacing w:w="0" w:type="dxa"/>
        </w:trPr>
        <w:tc>
          <w:tcPr>
            <w:tcW w:w="0" w:type="auto"/>
            <w:vAlign w:val="center"/>
          </w:tcPr>
          <w:p w14:paraId="5C1E3C35">
            <w:r>
              <w:rPr>
                <w:rStyle w:val="10"/>
                <w:rFonts w:hint="eastAsia"/>
              </w:rPr>
              <w:t>毒性及其标识：</w:t>
            </w:r>
            <w:r>
              <w:rPr>
                <w:rFonts w:hint="eastAsia"/>
              </w:rPr>
              <w:t xml:space="preserve"> </w:t>
            </w:r>
            <w:r>
              <w:drawing>
                <wp:inline distT="0" distB="0" distL="0" distR="0">
                  <wp:extent cx="474345" cy="323850"/>
                  <wp:effectExtent l="0" t="0" r="1905" b="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56784F66">
        <w:tblPrEx>
          <w:tblCellMar>
            <w:top w:w="0" w:type="dxa"/>
            <w:left w:w="0" w:type="dxa"/>
            <w:bottom w:w="0" w:type="dxa"/>
            <w:right w:w="0" w:type="dxa"/>
          </w:tblCellMar>
        </w:tblPrEx>
        <w:trPr>
          <w:tblCellSpacing w:w="0" w:type="dxa"/>
        </w:trPr>
        <w:tc>
          <w:tcPr>
            <w:tcW w:w="0" w:type="auto"/>
            <w:vAlign w:val="center"/>
          </w:tcPr>
          <w:p w14:paraId="0C839200">
            <w:r>
              <w:rPr>
                <w:rStyle w:val="10"/>
                <w:rFonts w:hint="eastAsia"/>
              </w:rPr>
              <w:t>总有效成分含量：</w:t>
            </w:r>
            <w:r>
              <w:rPr>
                <w:rFonts w:hint="eastAsia"/>
              </w:rPr>
              <w:t>30%</w:t>
            </w:r>
          </w:p>
        </w:tc>
      </w:tr>
      <w:tr w14:paraId="5D1A1682">
        <w:tblPrEx>
          <w:tblCellMar>
            <w:top w:w="0" w:type="dxa"/>
            <w:left w:w="0" w:type="dxa"/>
            <w:bottom w:w="0" w:type="dxa"/>
            <w:right w:w="0" w:type="dxa"/>
          </w:tblCellMar>
        </w:tblPrEx>
        <w:trPr>
          <w:tblCellSpacing w:w="0" w:type="dxa"/>
        </w:trPr>
        <w:tc>
          <w:tcPr>
            <w:tcW w:w="0" w:type="auto"/>
            <w:vAlign w:val="center"/>
          </w:tcPr>
          <w:p w14:paraId="70CA389E">
            <w:r>
              <w:rPr>
                <w:rFonts w:hint="eastAsia"/>
              </w:rPr>
              <w:t xml:space="preserve">有效成分及其含量： </w:t>
            </w:r>
          </w:p>
          <w:p w14:paraId="52C02521">
            <w:r>
              <w:rPr>
                <w:rFonts w:hint="eastAsia"/>
              </w:rPr>
              <w:t xml:space="preserve">    乙酰甲胺磷30%    </w:t>
            </w:r>
          </w:p>
        </w:tc>
      </w:tr>
      <w:tr w14:paraId="41A2C668">
        <w:tblPrEx>
          <w:tblCellMar>
            <w:top w:w="0" w:type="dxa"/>
            <w:left w:w="0" w:type="dxa"/>
            <w:bottom w:w="0" w:type="dxa"/>
            <w:right w:w="0" w:type="dxa"/>
          </w:tblCellMar>
        </w:tblPrEx>
        <w:trPr>
          <w:tblCellSpacing w:w="0" w:type="dxa"/>
        </w:trPr>
        <w:tc>
          <w:tcPr>
            <w:tcW w:w="0" w:type="auto"/>
            <w:vAlign w:val="center"/>
          </w:tcPr>
          <w:p w14:paraId="7322E5C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9AC6C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12CEFD">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2B3100">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EE04AF8">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E025FA">
                  <w:r>
                    <w:rPr>
                      <w:rStyle w:val="11"/>
                      <w:rFonts w:hint="eastAsia"/>
                    </w:rPr>
                    <w:t>施用方式</w:t>
                  </w:r>
                </w:p>
              </w:tc>
            </w:tr>
            <w:tr w14:paraId="306CF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7575F5">
                  <w:r>
                    <w:rPr>
                      <w:rStyle w:val="11"/>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7967D0DD">
                  <w:r>
                    <w:rPr>
                      <w:rStyle w:val="11"/>
                      <w:rFonts w:hint="eastAsia"/>
                    </w:rPr>
                    <w:t>棉铃虫</w:t>
                  </w:r>
                </w:p>
              </w:tc>
              <w:tc>
                <w:tcPr>
                  <w:tcW w:w="0" w:type="auto"/>
                  <w:tcBorders>
                    <w:top w:val="outset" w:color="auto" w:sz="6" w:space="0"/>
                    <w:left w:val="outset" w:color="auto" w:sz="6" w:space="0"/>
                    <w:bottom w:val="outset" w:color="auto" w:sz="6" w:space="0"/>
                    <w:right w:val="outset" w:color="auto" w:sz="6" w:space="0"/>
                  </w:tcBorders>
                  <w:vAlign w:val="center"/>
                </w:tcPr>
                <w:p w14:paraId="69CCDBAD">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09914E94">
                  <w:r>
                    <w:rPr>
                      <w:rStyle w:val="11"/>
                      <w:rFonts w:hint="eastAsia"/>
                    </w:rPr>
                    <w:t>喷雾</w:t>
                  </w:r>
                </w:p>
              </w:tc>
            </w:tr>
            <w:tr w14:paraId="3B6063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23670C">
                  <w:r>
                    <w:rPr>
                      <w:rStyle w:val="11"/>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567DAE7">
                  <w:r>
                    <w:rPr>
                      <w:rStyle w:val="11"/>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A12990B">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4FFD9082">
                  <w:r>
                    <w:rPr>
                      <w:rStyle w:val="11"/>
                      <w:rFonts w:hint="eastAsia"/>
                    </w:rPr>
                    <w:t>喷雾</w:t>
                  </w:r>
                </w:p>
              </w:tc>
            </w:tr>
            <w:tr w14:paraId="2D959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FA0607">
                  <w:r>
                    <w:rPr>
                      <w:rStyle w:val="11"/>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3CBC8BB0">
                  <w:r>
                    <w:rPr>
                      <w:rStyle w:val="11"/>
                      <w:rFonts w:hint="eastAsia"/>
                    </w:rPr>
                    <w:t>烟青虫</w:t>
                  </w:r>
                </w:p>
              </w:tc>
              <w:tc>
                <w:tcPr>
                  <w:tcW w:w="0" w:type="auto"/>
                  <w:tcBorders>
                    <w:top w:val="outset" w:color="auto" w:sz="6" w:space="0"/>
                    <w:left w:val="outset" w:color="auto" w:sz="6" w:space="0"/>
                    <w:bottom w:val="outset" w:color="auto" w:sz="6" w:space="0"/>
                    <w:right w:val="outset" w:color="auto" w:sz="6" w:space="0"/>
                  </w:tcBorders>
                  <w:vAlign w:val="center"/>
                </w:tcPr>
                <w:p w14:paraId="334D32B8">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10EA45E0">
                  <w:r>
                    <w:rPr>
                      <w:rStyle w:val="11"/>
                      <w:rFonts w:hint="eastAsia"/>
                    </w:rPr>
                    <w:t>喷雾</w:t>
                  </w:r>
                </w:p>
              </w:tc>
            </w:tr>
            <w:tr w14:paraId="4FECF2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EA843D">
                  <w:r>
                    <w:rPr>
                      <w:rStyle w:val="11"/>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4F34299">
                  <w:r>
                    <w:rPr>
                      <w:rStyle w:val="11"/>
                      <w:rFonts w:hint="eastAsia"/>
                    </w:rPr>
                    <w:t>叶蝉</w:t>
                  </w:r>
                </w:p>
              </w:tc>
              <w:tc>
                <w:tcPr>
                  <w:tcW w:w="0" w:type="auto"/>
                  <w:tcBorders>
                    <w:top w:val="outset" w:color="auto" w:sz="6" w:space="0"/>
                    <w:left w:val="outset" w:color="auto" w:sz="6" w:space="0"/>
                    <w:bottom w:val="outset" w:color="auto" w:sz="6" w:space="0"/>
                    <w:right w:val="outset" w:color="auto" w:sz="6" w:space="0"/>
                  </w:tcBorders>
                  <w:vAlign w:val="center"/>
                </w:tcPr>
                <w:p w14:paraId="518F23B2">
                  <w:r>
                    <w:rPr>
                      <w:rStyle w:val="11"/>
                      <w:rFonts w:hint="eastAsia"/>
                    </w:rPr>
                    <w:t>175-225毫升/亩</w:t>
                  </w:r>
                </w:p>
              </w:tc>
              <w:tc>
                <w:tcPr>
                  <w:tcW w:w="0" w:type="auto"/>
                  <w:tcBorders>
                    <w:top w:val="outset" w:color="auto" w:sz="6" w:space="0"/>
                    <w:left w:val="outset" w:color="auto" w:sz="6" w:space="0"/>
                    <w:bottom w:val="outset" w:color="auto" w:sz="6" w:space="0"/>
                    <w:right w:val="outset" w:color="auto" w:sz="6" w:space="0"/>
                  </w:tcBorders>
                  <w:vAlign w:val="center"/>
                </w:tcPr>
                <w:p w14:paraId="378E231C">
                  <w:r>
                    <w:rPr>
                      <w:rStyle w:val="11"/>
                      <w:rFonts w:hint="eastAsia"/>
                    </w:rPr>
                    <w:t>喷雾</w:t>
                  </w:r>
                </w:p>
              </w:tc>
            </w:tr>
            <w:tr w14:paraId="734FD7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0BE00A">
                  <w:r>
                    <w:rPr>
                      <w:rStyle w:val="11"/>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52CE3FB">
                  <w:r>
                    <w:rPr>
                      <w:rStyle w:val="11"/>
                      <w:rFonts w:hint="eastAsia"/>
                    </w:rPr>
                    <w:t>粘虫</w:t>
                  </w:r>
                </w:p>
              </w:tc>
              <w:tc>
                <w:tcPr>
                  <w:tcW w:w="0" w:type="auto"/>
                  <w:tcBorders>
                    <w:top w:val="outset" w:color="auto" w:sz="6" w:space="0"/>
                    <w:left w:val="outset" w:color="auto" w:sz="6" w:space="0"/>
                    <w:bottom w:val="outset" w:color="auto" w:sz="6" w:space="0"/>
                    <w:right w:val="outset" w:color="auto" w:sz="6" w:space="0"/>
                  </w:tcBorders>
                  <w:vAlign w:val="center"/>
                </w:tcPr>
                <w:p w14:paraId="4F5D620D">
                  <w:r>
                    <w:rPr>
                      <w:rStyle w:val="11"/>
                      <w:rFonts w:hint="eastAsia"/>
                    </w:rPr>
                    <w:t>120-240毫升/亩</w:t>
                  </w:r>
                </w:p>
              </w:tc>
              <w:tc>
                <w:tcPr>
                  <w:tcW w:w="0" w:type="auto"/>
                  <w:tcBorders>
                    <w:top w:val="outset" w:color="auto" w:sz="6" w:space="0"/>
                    <w:left w:val="outset" w:color="auto" w:sz="6" w:space="0"/>
                    <w:bottom w:val="outset" w:color="auto" w:sz="6" w:space="0"/>
                    <w:right w:val="outset" w:color="auto" w:sz="6" w:space="0"/>
                  </w:tcBorders>
                  <w:vAlign w:val="center"/>
                </w:tcPr>
                <w:p w14:paraId="25B201A0">
                  <w:r>
                    <w:rPr>
                      <w:rStyle w:val="11"/>
                      <w:rFonts w:hint="eastAsia"/>
                    </w:rPr>
                    <w:t>喷雾</w:t>
                  </w:r>
                </w:p>
              </w:tc>
            </w:tr>
            <w:tr w14:paraId="23F75B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241F0F">
                  <w:r>
                    <w:rPr>
                      <w:rStyle w:val="11"/>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A07EB24">
                  <w:r>
                    <w:rPr>
                      <w:rStyle w:val="11"/>
                      <w:rFonts w:hint="eastAsia"/>
                    </w:rPr>
                    <w:t>粘虫</w:t>
                  </w:r>
                </w:p>
              </w:tc>
              <w:tc>
                <w:tcPr>
                  <w:tcW w:w="0" w:type="auto"/>
                  <w:tcBorders>
                    <w:top w:val="outset" w:color="auto" w:sz="6" w:space="0"/>
                    <w:left w:val="outset" w:color="auto" w:sz="6" w:space="0"/>
                    <w:bottom w:val="outset" w:color="auto" w:sz="6" w:space="0"/>
                    <w:right w:val="outset" w:color="auto" w:sz="6" w:space="0"/>
                  </w:tcBorders>
                  <w:vAlign w:val="center"/>
                </w:tcPr>
                <w:p w14:paraId="63CBD663">
                  <w:r>
                    <w:rPr>
                      <w:rStyle w:val="11"/>
                      <w:rFonts w:hint="eastAsia"/>
                    </w:rPr>
                    <w:t>180-240毫升/亩</w:t>
                  </w:r>
                </w:p>
              </w:tc>
              <w:tc>
                <w:tcPr>
                  <w:tcW w:w="0" w:type="auto"/>
                  <w:tcBorders>
                    <w:top w:val="outset" w:color="auto" w:sz="6" w:space="0"/>
                    <w:left w:val="outset" w:color="auto" w:sz="6" w:space="0"/>
                    <w:bottom w:val="outset" w:color="auto" w:sz="6" w:space="0"/>
                    <w:right w:val="outset" w:color="auto" w:sz="6" w:space="0"/>
                  </w:tcBorders>
                  <w:vAlign w:val="center"/>
                </w:tcPr>
                <w:p w14:paraId="28E3F290">
                  <w:r>
                    <w:rPr>
                      <w:rStyle w:val="11"/>
                      <w:rFonts w:hint="eastAsia"/>
                    </w:rPr>
                    <w:t>喷雾</w:t>
                  </w:r>
                </w:p>
              </w:tc>
            </w:tr>
            <w:tr w14:paraId="00D4EB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0A2DCF">
                  <w:r>
                    <w:rPr>
                      <w:rStyle w:val="11"/>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6969370E">
                  <w:r>
                    <w:rPr>
                      <w:rStyle w:val="11"/>
                      <w:rFonts w:hint="eastAsia"/>
                    </w:rPr>
                    <w:t>玉米螟</w:t>
                  </w:r>
                </w:p>
              </w:tc>
              <w:tc>
                <w:tcPr>
                  <w:tcW w:w="0" w:type="auto"/>
                  <w:tcBorders>
                    <w:top w:val="outset" w:color="auto" w:sz="6" w:space="0"/>
                    <w:left w:val="outset" w:color="auto" w:sz="6" w:space="0"/>
                    <w:bottom w:val="outset" w:color="auto" w:sz="6" w:space="0"/>
                    <w:right w:val="outset" w:color="auto" w:sz="6" w:space="0"/>
                  </w:tcBorders>
                  <w:vAlign w:val="center"/>
                </w:tcPr>
                <w:p w14:paraId="29DAA33C">
                  <w:r>
                    <w:rPr>
                      <w:rStyle w:val="11"/>
                      <w:rFonts w:hint="eastAsia"/>
                    </w:rPr>
                    <w:t>180-240毫升/亩</w:t>
                  </w:r>
                </w:p>
              </w:tc>
              <w:tc>
                <w:tcPr>
                  <w:tcW w:w="0" w:type="auto"/>
                  <w:tcBorders>
                    <w:top w:val="outset" w:color="auto" w:sz="6" w:space="0"/>
                    <w:left w:val="outset" w:color="auto" w:sz="6" w:space="0"/>
                    <w:bottom w:val="outset" w:color="auto" w:sz="6" w:space="0"/>
                    <w:right w:val="outset" w:color="auto" w:sz="6" w:space="0"/>
                  </w:tcBorders>
                  <w:vAlign w:val="center"/>
                </w:tcPr>
                <w:p w14:paraId="7A14DFB0">
                  <w:r>
                    <w:rPr>
                      <w:rStyle w:val="11"/>
                      <w:rFonts w:hint="eastAsia"/>
                    </w:rPr>
                    <w:t>喷雾</w:t>
                  </w:r>
                </w:p>
              </w:tc>
            </w:tr>
          </w:tbl>
          <w:p w14:paraId="50474241">
            <w:pPr>
              <w:rPr>
                <w:rFonts w:ascii="Times New Roman" w:hAnsi="Times New Roman" w:cs="Times New Roman"/>
                <w:sz w:val="20"/>
                <w:szCs w:val="20"/>
              </w:rPr>
            </w:pPr>
          </w:p>
        </w:tc>
      </w:tr>
      <w:tr w14:paraId="5BCBD98E">
        <w:tblPrEx>
          <w:tblCellMar>
            <w:top w:w="0" w:type="dxa"/>
            <w:left w:w="0" w:type="dxa"/>
            <w:bottom w:w="0" w:type="dxa"/>
            <w:right w:w="0" w:type="dxa"/>
          </w:tblCellMar>
        </w:tblPrEx>
        <w:trPr>
          <w:tblCellSpacing w:w="0" w:type="dxa"/>
        </w:trPr>
        <w:tc>
          <w:tcPr>
            <w:tcW w:w="0" w:type="auto"/>
            <w:vAlign w:val="center"/>
          </w:tcPr>
          <w:p w14:paraId="513536DB">
            <w:r>
              <w:rPr>
                <w:rStyle w:val="10"/>
                <w:rFonts w:hint="eastAsia"/>
              </w:rPr>
              <w:t>使用技术要求:</w:t>
            </w:r>
            <w:r>
              <w:rPr>
                <w:rFonts w:hint="eastAsia"/>
              </w:rPr>
              <w:br w:type="textWrapping"/>
            </w:r>
            <w:r>
              <w:rPr>
                <w:rStyle w:val="11"/>
                <w:rFonts w:hint="eastAsia"/>
              </w:rPr>
              <w:t>1、本品应于棉铃虫、蚜虫卵孵盛期至低龄幼虫钻蛀期间均匀喷雾；防玉米螟在卵孵化盛期均匀喷雾。防玉米粘虫在卵孵盛期或幼虫3龄前均匀喷雾； 水稻叶蝉于若虫高峰期施药；防治小麦粘虫，可在3龄幼虫前，均匀喷雾； 防治烟草烟青虫，在3龄虫期，均匀喷雾 。2、大风天或预计1小时内降雨，请勿施药。3、本品在本品在棉花、玉米上使用的安全间隔期为21天，每个作物周期的最多使用次数为2次。在水稻上使用的安全间隔期为45天，每季最多使用2次。在小麦、烟草上安全间隔期14天，每季最多使用1次。4、施药后应设立警示标志，人畜在施药24小时后方可进入施药地点。</w:t>
            </w:r>
          </w:p>
        </w:tc>
      </w:tr>
      <w:tr w14:paraId="248F0806">
        <w:tblPrEx>
          <w:tblCellMar>
            <w:top w:w="0" w:type="dxa"/>
            <w:left w:w="0" w:type="dxa"/>
            <w:bottom w:w="0" w:type="dxa"/>
            <w:right w:w="0" w:type="dxa"/>
          </w:tblCellMar>
        </w:tblPrEx>
        <w:trPr>
          <w:tblCellSpacing w:w="0" w:type="dxa"/>
        </w:trPr>
        <w:tc>
          <w:tcPr>
            <w:tcW w:w="0" w:type="auto"/>
            <w:vAlign w:val="center"/>
          </w:tcPr>
          <w:p w14:paraId="0F42D915">
            <w:r>
              <w:rPr>
                <w:rStyle w:val="10"/>
                <w:rFonts w:hint="eastAsia"/>
              </w:rPr>
              <w:t>产品性能:</w:t>
            </w:r>
            <w:r>
              <w:rPr>
                <w:rFonts w:hint="eastAsia"/>
              </w:rPr>
              <w:br w:type="textWrapping"/>
            </w:r>
            <w:r>
              <w:rPr>
                <w:rStyle w:val="11"/>
                <w:rFonts w:hint="eastAsia"/>
              </w:rPr>
              <w:t>本剂为内吸性杀虫剂，具有胃毒和触杀作用，并可杀卵，有一定的熏蒸作用，是缓效型杀虫剂。</w:t>
            </w:r>
          </w:p>
        </w:tc>
      </w:tr>
      <w:tr w14:paraId="6973F676">
        <w:tblPrEx>
          <w:tblCellMar>
            <w:top w:w="0" w:type="dxa"/>
            <w:left w:w="0" w:type="dxa"/>
            <w:bottom w:w="0" w:type="dxa"/>
            <w:right w:w="0" w:type="dxa"/>
          </w:tblCellMar>
        </w:tblPrEx>
        <w:trPr>
          <w:tblCellSpacing w:w="0" w:type="dxa"/>
        </w:trPr>
        <w:tc>
          <w:tcPr>
            <w:tcW w:w="0" w:type="auto"/>
            <w:vAlign w:val="center"/>
          </w:tcPr>
          <w:p w14:paraId="4CEC2DB1">
            <w:r>
              <w:rPr>
                <w:rStyle w:val="10"/>
                <w:rFonts w:hint="eastAsia"/>
              </w:rPr>
              <w:t>注意事项：</w:t>
            </w:r>
            <w:r>
              <w:rPr>
                <w:rFonts w:hint="eastAsia"/>
              </w:rPr>
              <w:br w:type="textWrapping"/>
            </w:r>
            <w:r>
              <w:rPr>
                <w:rStyle w:val="11"/>
                <w:rFonts w:hint="eastAsia"/>
              </w:rPr>
              <w:t>1. 禁止在蔬菜、瓜果、茶叶、菌类和中草药材作物上使用。 2. 本品不可与呈碱性的农药等物质混合使用。 3．禁止在桑、茶树上使用。 4. 使用本品时应穿戴防护服和手套，避免吸入药液。施药期间不可吃东西和饮水。施药后应及时洗手和洗脸。 5. 本品对蜜蜂、鱼类等水生生物、家蚕有毒，施药期间应避免对周围蜂群的影响、蜜源作物花期、蚕室和桑园附近禁用。远离水产养殖区施药，禁止在河塘等水体中清洗施药器具。 6. 建议与其他作用机制不同的杀虫剂轮换使用，以延缓抗性产生。 7. 孕妇及哺乳期妇女避免接触。 8.用过的包装物应妥善处理，不可做他用，也不可随意丢弃。</w:t>
            </w:r>
          </w:p>
        </w:tc>
      </w:tr>
      <w:tr w14:paraId="5015A572">
        <w:tblPrEx>
          <w:tblCellMar>
            <w:top w:w="0" w:type="dxa"/>
            <w:left w:w="0" w:type="dxa"/>
            <w:bottom w:w="0" w:type="dxa"/>
            <w:right w:w="0" w:type="dxa"/>
          </w:tblCellMar>
        </w:tblPrEx>
        <w:trPr>
          <w:tblCellSpacing w:w="0" w:type="dxa"/>
        </w:trPr>
        <w:tc>
          <w:tcPr>
            <w:tcW w:w="0" w:type="auto"/>
            <w:vAlign w:val="center"/>
          </w:tcPr>
          <w:p w14:paraId="0A40A337">
            <w:r>
              <w:rPr>
                <w:rStyle w:val="10"/>
                <w:rFonts w:hint="eastAsia"/>
              </w:rPr>
              <w:t>中毒急救措施：</w:t>
            </w:r>
            <w:r>
              <w:rPr>
                <w:rFonts w:hint="eastAsia"/>
              </w:rPr>
              <w:br w:type="textWrapping"/>
            </w:r>
            <w:r>
              <w:rPr>
                <w:rStyle w:val="11"/>
                <w:rFonts w:hint="eastAsia"/>
              </w:rPr>
              <w:t>中毒症状表现为：轻度中毒：头痛、头昏、恶心、呕吐、多汗、无力、胸闷、视力模糊、胃口不佳等。全血胆碱酯酶一般降到正常值的70%以下。中度中毒：除上述症状外，还出现轻度呼吸困难、肌肉震颤、瞳孔缩小、精神恍惚、行走不稳、大汗、流涎、腹痛、腹泻等。重者还会出现昏迷、抽搐、呼吸困难、口吐白沫、大小便失禁，惊厥，呼吸麻痹。急性中毒多在12小时内发病，误服者可立即发病。不慎吸入，应将病人移至空气流通处。不慎接触皮肤或溅入眼睛，应用 大量清水冲洗至少15分钟。误服立即携此标签将病人送医院就诊。引吐、洗胃、导泻(清醒时才能引吐)，可以用阿托品和解磷定，禁用吗啡、茶硷、吩噻嗪、利血平；洗胃时，应注意保护气管和食管。在治疗时医生请注意防治病人发生迟发性神经毒性。</w:t>
            </w:r>
          </w:p>
        </w:tc>
      </w:tr>
      <w:tr w14:paraId="0DCCA42E">
        <w:tblPrEx>
          <w:tblCellMar>
            <w:top w:w="0" w:type="dxa"/>
            <w:left w:w="0" w:type="dxa"/>
            <w:bottom w:w="0" w:type="dxa"/>
            <w:right w:w="0" w:type="dxa"/>
          </w:tblCellMar>
        </w:tblPrEx>
        <w:trPr>
          <w:tblCellSpacing w:w="0" w:type="dxa"/>
        </w:trPr>
        <w:tc>
          <w:tcPr>
            <w:tcW w:w="0" w:type="auto"/>
            <w:vAlign w:val="center"/>
          </w:tcPr>
          <w:p w14:paraId="458AAA12">
            <w:r>
              <w:rPr>
                <w:rStyle w:val="10"/>
                <w:rFonts w:hint="eastAsia"/>
              </w:rPr>
              <w:t>储存和运输方法：</w:t>
            </w:r>
            <w:r>
              <w:rPr>
                <w:rFonts w:hint="eastAsia"/>
              </w:rPr>
              <w:br w:type="textWrapping"/>
            </w:r>
            <w:r>
              <w:rPr>
                <w:rStyle w:val="11"/>
                <w:rFonts w:hint="eastAsia"/>
              </w:rPr>
              <w:t>本品贮存于通风、阴凉、干燥、防雨处。并远离火源和儿童。避免污染水源。置于儿童、无关人员触及不到之处，并加锁。勿与食品、饮料、饲料、粮食等同贮同运。</w:t>
            </w:r>
          </w:p>
        </w:tc>
      </w:tr>
      <w:tr w14:paraId="60F7D724">
        <w:tblPrEx>
          <w:tblCellMar>
            <w:top w:w="0" w:type="dxa"/>
            <w:left w:w="0" w:type="dxa"/>
            <w:bottom w:w="0" w:type="dxa"/>
            <w:right w:w="0" w:type="dxa"/>
          </w:tblCellMar>
        </w:tblPrEx>
        <w:trPr>
          <w:tblCellSpacing w:w="0" w:type="dxa"/>
        </w:trPr>
        <w:tc>
          <w:tcPr>
            <w:tcW w:w="0" w:type="auto"/>
            <w:vAlign w:val="center"/>
          </w:tcPr>
          <w:p w14:paraId="43EA48FD">
            <w:r>
              <w:rPr>
                <w:rStyle w:val="10"/>
                <w:rFonts w:hint="eastAsia"/>
              </w:rPr>
              <w:t>质量保证期：</w:t>
            </w:r>
            <w:r>
              <w:rPr>
                <w:rStyle w:val="11"/>
                <w:rFonts w:hint="eastAsia"/>
              </w:rPr>
              <w:t>2年</w:t>
            </w:r>
          </w:p>
        </w:tc>
      </w:tr>
      <w:tr w14:paraId="3BADB59E">
        <w:tblPrEx>
          <w:tblCellMar>
            <w:top w:w="0" w:type="dxa"/>
            <w:left w:w="0" w:type="dxa"/>
            <w:bottom w:w="0" w:type="dxa"/>
            <w:right w:w="0" w:type="dxa"/>
          </w:tblCellMar>
        </w:tblPrEx>
        <w:trPr>
          <w:tblCellSpacing w:w="0" w:type="dxa"/>
        </w:trPr>
        <w:tc>
          <w:tcPr>
            <w:tcW w:w="0" w:type="auto"/>
            <w:vAlign w:val="center"/>
          </w:tcPr>
          <w:p w14:paraId="04F3D434">
            <w:r>
              <w:rPr>
                <w:rStyle w:val="10"/>
                <w:rFonts w:hint="eastAsia"/>
              </w:rPr>
              <w:t>备注：</w:t>
            </w:r>
            <w:r>
              <w:rPr>
                <w:rFonts w:hint="eastAsia"/>
              </w:rPr>
              <w:br w:type="textWrapping"/>
            </w:r>
            <w:r>
              <w:rPr>
                <w:rStyle w:val="11"/>
                <w:rFonts w:hint="eastAsia"/>
              </w:rPr>
              <w:t>标注"限制使用"字样</w:t>
            </w:r>
          </w:p>
        </w:tc>
      </w:tr>
    </w:tbl>
    <w:p w14:paraId="4726EC00">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2834E2C">
        <w:tblPrEx>
          <w:tblCellMar>
            <w:top w:w="0" w:type="dxa"/>
            <w:left w:w="0" w:type="dxa"/>
            <w:bottom w:w="0" w:type="dxa"/>
            <w:right w:w="0" w:type="dxa"/>
          </w:tblCellMar>
        </w:tblPrEx>
        <w:trPr>
          <w:tblCellSpacing w:w="0" w:type="dxa"/>
        </w:trPr>
        <w:tc>
          <w:tcPr>
            <w:tcW w:w="0" w:type="auto"/>
            <w:vAlign w:val="center"/>
          </w:tcPr>
          <w:p w14:paraId="448CD317">
            <w:r>
              <w:rPr>
                <w:rStyle w:val="10"/>
                <w:rFonts w:hint="eastAsia"/>
              </w:rPr>
              <w:t>登记证号：</w:t>
            </w:r>
            <w:r>
              <w:rPr>
                <w:rFonts w:hint="eastAsia"/>
              </w:rPr>
              <w:t>PD20152030</w:t>
            </w:r>
          </w:p>
        </w:tc>
      </w:tr>
      <w:tr w14:paraId="749FAA95">
        <w:tblPrEx>
          <w:tblCellMar>
            <w:top w:w="0" w:type="dxa"/>
            <w:left w:w="0" w:type="dxa"/>
            <w:bottom w:w="0" w:type="dxa"/>
            <w:right w:w="0" w:type="dxa"/>
          </w:tblCellMar>
        </w:tblPrEx>
        <w:trPr>
          <w:tblCellSpacing w:w="0" w:type="dxa"/>
        </w:trPr>
        <w:tc>
          <w:tcPr>
            <w:tcW w:w="0" w:type="auto"/>
            <w:vAlign w:val="center"/>
          </w:tcPr>
          <w:p w14:paraId="7FB9B5D2">
            <w:r>
              <w:rPr>
                <w:rStyle w:val="10"/>
                <w:rFonts w:hint="eastAsia"/>
              </w:rPr>
              <w:t>登记证持有人：</w:t>
            </w:r>
            <w:r>
              <w:rPr>
                <w:rFonts w:hint="eastAsia"/>
              </w:rPr>
              <w:t>巴斯夫植物保护（江苏）有限公司</w:t>
            </w:r>
          </w:p>
        </w:tc>
      </w:tr>
      <w:tr w14:paraId="391131CC">
        <w:tblPrEx>
          <w:tblCellMar>
            <w:top w:w="0" w:type="dxa"/>
            <w:left w:w="0" w:type="dxa"/>
            <w:bottom w:w="0" w:type="dxa"/>
            <w:right w:w="0" w:type="dxa"/>
          </w:tblCellMar>
        </w:tblPrEx>
        <w:trPr>
          <w:tblCellSpacing w:w="0" w:type="dxa"/>
        </w:trPr>
        <w:tc>
          <w:tcPr>
            <w:tcW w:w="0" w:type="auto"/>
            <w:vAlign w:val="center"/>
          </w:tcPr>
          <w:p w14:paraId="205A9B9B">
            <w:r>
              <w:rPr>
                <w:rStyle w:val="10"/>
                <w:rFonts w:hint="eastAsia"/>
              </w:rPr>
              <w:t>农药名称：</w:t>
            </w:r>
            <w:r>
              <w:rPr>
                <w:rFonts w:hint="eastAsia"/>
              </w:rPr>
              <w:t>灭草松钠盐</w:t>
            </w:r>
          </w:p>
        </w:tc>
      </w:tr>
      <w:tr w14:paraId="3678636A">
        <w:tblPrEx>
          <w:tblCellMar>
            <w:top w:w="0" w:type="dxa"/>
            <w:left w:w="0" w:type="dxa"/>
            <w:bottom w:w="0" w:type="dxa"/>
            <w:right w:w="0" w:type="dxa"/>
          </w:tblCellMar>
        </w:tblPrEx>
        <w:trPr>
          <w:tblCellSpacing w:w="0" w:type="dxa"/>
        </w:trPr>
        <w:tc>
          <w:tcPr>
            <w:tcW w:w="0" w:type="auto"/>
            <w:vAlign w:val="center"/>
          </w:tcPr>
          <w:p w14:paraId="28268EA7">
            <w:r>
              <w:rPr>
                <w:rStyle w:val="10"/>
                <w:rFonts w:hint="eastAsia"/>
              </w:rPr>
              <w:t>剂型：</w:t>
            </w:r>
            <w:r>
              <w:rPr>
                <w:rFonts w:hint="eastAsia"/>
              </w:rPr>
              <w:t>可溶液剂</w:t>
            </w:r>
          </w:p>
        </w:tc>
      </w:tr>
      <w:tr w14:paraId="0454C057">
        <w:tblPrEx>
          <w:tblCellMar>
            <w:top w:w="0" w:type="dxa"/>
            <w:left w:w="0" w:type="dxa"/>
            <w:bottom w:w="0" w:type="dxa"/>
            <w:right w:w="0" w:type="dxa"/>
          </w:tblCellMar>
        </w:tblPrEx>
        <w:trPr>
          <w:tblCellSpacing w:w="0" w:type="dxa"/>
        </w:trPr>
        <w:tc>
          <w:tcPr>
            <w:tcW w:w="0" w:type="auto"/>
            <w:vAlign w:val="center"/>
          </w:tcPr>
          <w:p w14:paraId="71059EA2">
            <w:r>
              <w:rPr>
                <w:rStyle w:val="10"/>
                <w:rFonts w:hint="eastAsia"/>
              </w:rPr>
              <w:t>毒性及其标识：</w:t>
            </w:r>
            <w:r>
              <w:rPr>
                <w:rFonts w:hint="eastAsia"/>
              </w:rPr>
              <w:t xml:space="preserve"> </w:t>
            </w:r>
            <w:r>
              <w:drawing>
                <wp:inline distT="0" distB="0" distL="0" distR="0">
                  <wp:extent cx="474345" cy="323850"/>
                  <wp:effectExtent l="0" t="0" r="1905"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3A5477C9">
        <w:tblPrEx>
          <w:tblCellMar>
            <w:top w:w="0" w:type="dxa"/>
            <w:left w:w="0" w:type="dxa"/>
            <w:bottom w:w="0" w:type="dxa"/>
            <w:right w:w="0" w:type="dxa"/>
          </w:tblCellMar>
        </w:tblPrEx>
        <w:trPr>
          <w:tblCellSpacing w:w="0" w:type="dxa"/>
        </w:trPr>
        <w:tc>
          <w:tcPr>
            <w:tcW w:w="0" w:type="auto"/>
            <w:vAlign w:val="center"/>
          </w:tcPr>
          <w:p w14:paraId="0768B916">
            <w:r>
              <w:rPr>
                <w:rStyle w:val="10"/>
                <w:rFonts w:hint="eastAsia"/>
              </w:rPr>
              <w:t>总有效成分含量：</w:t>
            </w:r>
            <w:r>
              <w:rPr>
                <w:rFonts w:hint="eastAsia"/>
              </w:rPr>
              <w:t>480克/升</w:t>
            </w:r>
          </w:p>
        </w:tc>
      </w:tr>
      <w:tr w14:paraId="10E04855">
        <w:tblPrEx>
          <w:tblCellMar>
            <w:top w:w="0" w:type="dxa"/>
            <w:left w:w="0" w:type="dxa"/>
            <w:bottom w:w="0" w:type="dxa"/>
            <w:right w:w="0" w:type="dxa"/>
          </w:tblCellMar>
        </w:tblPrEx>
        <w:trPr>
          <w:tblCellSpacing w:w="0" w:type="dxa"/>
        </w:trPr>
        <w:tc>
          <w:tcPr>
            <w:tcW w:w="0" w:type="auto"/>
            <w:vAlign w:val="center"/>
          </w:tcPr>
          <w:p w14:paraId="6B62B1AB">
            <w:r>
              <w:rPr>
                <w:rFonts w:hint="eastAsia"/>
              </w:rPr>
              <w:t xml:space="preserve">有效成分及其含量： </w:t>
            </w:r>
          </w:p>
          <w:p w14:paraId="542B575D">
            <w:r>
              <w:rPr>
                <w:rFonts w:hint="eastAsia"/>
              </w:rPr>
              <w:t xml:space="preserve">    灭草松480克/升    </w:t>
            </w:r>
          </w:p>
        </w:tc>
      </w:tr>
      <w:tr w14:paraId="7CB6159C">
        <w:tblPrEx>
          <w:tblCellMar>
            <w:top w:w="0" w:type="dxa"/>
            <w:left w:w="0" w:type="dxa"/>
            <w:bottom w:w="0" w:type="dxa"/>
            <w:right w:w="0" w:type="dxa"/>
          </w:tblCellMar>
        </w:tblPrEx>
        <w:trPr>
          <w:tblCellSpacing w:w="0" w:type="dxa"/>
        </w:trPr>
        <w:tc>
          <w:tcPr>
            <w:tcW w:w="0" w:type="auto"/>
            <w:vAlign w:val="center"/>
          </w:tcPr>
          <w:p w14:paraId="359057C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35C4E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2842261">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CAB5DF">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65F8ACF">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E3B20CA">
                  <w:r>
                    <w:rPr>
                      <w:rStyle w:val="11"/>
                      <w:rFonts w:hint="eastAsia"/>
                    </w:rPr>
                    <w:t>施用方式</w:t>
                  </w:r>
                </w:p>
              </w:tc>
            </w:tr>
            <w:tr w14:paraId="12B501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A7E9E9">
                  <w:r>
                    <w:rPr>
                      <w:rStyle w:val="11"/>
                      <w:rFonts w:hint="eastAsia"/>
                    </w:rPr>
                    <w:t>移栽水稻田</w:t>
                  </w:r>
                </w:p>
              </w:tc>
              <w:tc>
                <w:tcPr>
                  <w:tcW w:w="0" w:type="auto"/>
                  <w:tcBorders>
                    <w:top w:val="outset" w:color="auto" w:sz="6" w:space="0"/>
                    <w:left w:val="outset" w:color="auto" w:sz="6" w:space="0"/>
                    <w:bottom w:val="outset" w:color="auto" w:sz="6" w:space="0"/>
                    <w:right w:val="outset" w:color="auto" w:sz="6" w:space="0"/>
                  </w:tcBorders>
                  <w:vAlign w:val="center"/>
                </w:tcPr>
                <w:p w14:paraId="7DD3F3D2">
                  <w:r>
                    <w:rPr>
                      <w:rStyle w:val="11"/>
                      <w:rFonts w:hint="eastAsia"/>
                    </w:rPr>
                    <w:t>莎草及阔叶杂草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9C40E4A">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0187B07A">
                  <w:r>
                    <w:rPr>
                      <w:rStyle w:val="11"/>
                      <w:rFonts w:hint="eastAsia"/>
                    </w:rPr>
                    <w:t>喷雾</w:t>
                  </w:r>
                </w:p>
              </w:tc>
            </w:tr>
            <w:tr w14:paraId="6D59F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86B81E">
                  <w:r>
                    <w:rPr>
                      <w:rStyle w:val="11"/>
                      <w:rFonts w:hint="eastAsia"/>
                    </w:rPr>
                    <w:t>花生田</w:t>
                  </w:r>
                </w:p>
              </w:tc>
              <w:tc>
                <w:tcPr>
                  <w:tcW w:w="0" w:type="auto"/>
                  <w:tcBorders>
                    <w:top w:val="outset" w:color="auto" w:sz="6" w:space="0"/>
                    <w:left w:val="outset" w:color="auto" w:sz="6" w:space="0"/>
                    <w:bottom w:val="outset" w:color="auto" w:sz="6" w:space="0"/>
                    <w:right w:val="outset" w:color="auto" w:sz="6" w:space="0"/>
                  </w:tcBorders>
                  <w:vAlign w:val="center"/>
                </w:tcPr>
                <w:p w14:paraId="300B6F56">
                  <w:r>
                    <w:rPr>
                      <w:rStyle w:val="11"/>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B6F9C22">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72C54ACA">
                  <w:r>
                    <w:rPr>
                      <w:rStyle w:val="11"/>
                      <w:rFonts w:hint="eastAsia"/>
                    </w:rPr>
                    <w:t>茎叶喷雾</w:t>
                  </w:r>
                </w:p>
              </w:tc>
            </w:tr>
            <w:tr w14:paraId="536EF3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08321F">
                  <w:r>
                    <w:rPr>
                      <w:rStyle w:val="11"/>
                      <w:rFonts w:hint="eastAsia"/>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7D4DFD69">
                  <w:r>
                    <w:rPr>
                      <w:rStyle w:val="11"/>
                      <w:rFonts w:hint="eastAsia"/>
                    </w:rPr>
                    <w:t>阔叶杂草</w:t>
                  </w:r>
                </w:p>
              </w:tc>
              <w:tc>
                <w:tcPr>
                  <w:tcW w:w="0" w:type="auto"/>
                  <w:tcBorders>
                    <w:top w:val="outset" w:color="auto" w:sz="6" w:space="0"/>
                    <w:left w:val="outset" w:color="auto" w:sz="6" w:space="0"/>
                    <w:bottom w:val="outset" w:color="auto" w:sz="6" w:space="0"/>
                    <w:right w:val="outset" w:color="auto" w:sz="6" w:space="0"/>
                  </w:tcBorders>
                  <w:vAlign w:val="center"/>
                </w:tcPr>
                <w:p w14:paraId="786CC467">
                  <w:r>
                    <w:rPr>
                      <w:rStyle w:val="11"/>
                      <w:rFonts w:hint="eastAsia"/>
                    </w:rPr>
                    <w:t>156-208毫升/亩</w:t>
                  </w:r>
                </w:p>
              </w:tc>
              <w:tc>
                <w:tcPr>
                  <w:tcW w:w="0" w:type="auto"/>
                  <w:tcBorders>
                    <w:top w:val="outset" w:color="auto" w:sz="6" w:space="0"/>
                    <w:left w:val="outset" w:color="auto" w:sz="6" w:space="0"/>
                    <w:bottom w:val="outset" w:color="auto" w:sz="6" w:space="0"/>
                    <w:right w:val="outset" w:color="auto" w:sz="6" w:space="0"/>
                  </w:tcBorders>
                  <w:vAlign w:val="center"/>
                </w:tcPr>
                <w:p w14:paraId="5BCFA7FE">
                  <w:r>
                    <w:rPr>
                      <w:rStyle w:val="11"/>
                      <w:rFonts w:hint="eastAsia"/>
                    </w:rPr>
                    <w:t>喷雾</w:t>
                  </w:r>
                </w:p>
              </w:tc>
            </w:tr>
            <w:tr w14:paraId="67B557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8EF12E">
                  <w:r>
                    <w:rPr>
                      <w:rStyle w:val="11"/>
                      <w:rFonts w:hint="eastAsia"/>
                    </w:rPr>
                    <w:t>马铃薯田</w:t>
                  </w:r>
                </w:p>
              </w:tc>
              <w:tc>
                <w:tcPr>
                  <w:tcW w:w="0" w:type="auto"/>
                  <w:tcBorders>
                    <w:top w:val="outset" w:color="auto" w:sz="6" w:space="0"/>
                    <w:left w:val="outset" w:color="auto" w:sz="6" w:space="0"/>
                    <w:bottom w:val="outset" w:color="auto" w:sz="6" w:space="0"/>
                    <w:right w:val="outset" w:color="auto" w:sz="6" w:space="0"/>
                  </w:tcBorders>
                  <w:vAlign w:val="center"/>
                </w:tcPr>
                <w:p w14:paraId="79C011CA">
                  <w:r>
                    <w:rPr>
                      <w:rStyle w:val="11"/>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7B291AD1">
                  <w:r>
                    <w:rPr>
                      <w:rStyle w:val="11"/>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64E58120">
                  <w:r>
                    <w:rPr>
                      <w:rStyle w:val="11"/>
                      <w:rFonts w:hint="eastAsia"/>
                    </w:rPr>
                    <w:t>茎叶喷雾</w:t>
                  </w:r>
                </w:p>
              </w:tc>
            </w:tr>
          </w:tbl>
          <w:p w14:paraId="5712F82A">
            <w:pPr>
              <w:rPr>
                <w:rFonts w:ascii="Times New Roman" w:hAnsi="Times New Roman" w:cs="Times New Roman"/>
                <w:sz w:val="20"/>
                <w:szCs w:val="20"/>
              </w:rPr>
            </w:pPr>
          </w:p>
        </w:tc>
      </w:tr>
      <w:tr w14:paraId="359F0C1C">
        <w:tblPrEx>
          <w:tblCellMar>
            <w:top w:w="0" w:type="dxa"/>
            <w:left w:w="0" w:type="dxa"/>
            <w:bottom w:w="0" w:type="dxa"/>
            <w:right w:w="0" w:type="dxa"/>
          </w:tblCellMar>
        </w:tblPrEx>
        <w:trPr>
          <w:tblCellSpacing w:w="0" w:type="dxa"/>
        </w:trPr>
        <w:tc>
          <w:tcPr>
            <w:tcW w:w="0" w:type="auto"/>
            <w:vAlign w:val="center"/>
          </w:tcPr>
          <w:p w14:paraId="63606898">
            <w:r>
              <w:rPr>
                <w:rStyle w:val="10"/>
                <w:rFonts w:hint="eastAsia"/>
              </w:rPr>
              <w:t>使用技术要求:</w:t>
            </w:r>
            <w:r>
              <w:rPr>
                <w:rFonts w:hint="eastAsia"/>
              </w:rPr>
              <w:br w:type="textWrapping"/>
            </w:r>
            <w:r>
              <w:rPr>
                <w:rStyle w:val="11"/>
                <w:rFonts w:hint="eastAsia"/>
              </w:rPr>
              <w:t>1.须按标签中说明使用。 2.灭草松可以有效防治花生、马铃薯、大豆田中的马齿苋、鳢肠、打碗花、米莎草、藜、蓼、龙葵、苋属、苍耳属、鸭跖草属、苘麻、荠菜、曼陀罗、野西瓜苗、硬毛刺苞菊、野芝麻属、繁缕、牛虅菊属（在第三叶期或以前）、宾洲蓼、细万寿菊、全叶家艾、田蓟、猪殃殃、芸苔属、乾花属、母菊属、野生萝卜、刺黄花穗、大麻、铁荸荠、向日葵、酸浆属、野芥等旱田杂草。 3.灭草松可以有效防治水稻田中的泽泻、鸭舌草、节节菜、慈姑、尖瓣花、莲子草、矮慈菇、慈姑属、萤蔺、球花莎草、异型莎草、水虱草、日照飘拂草、油莎草、碎米莎草、荸荠属等水田杂草。 4. 花生田，在杂草3－4叶期进行茎叶喷雾处理。每季作物用药一次。 5. 马铃薯田，在马铃薯5－10厘米高，杂草2－5叶期,其中藜2叶期前,进行茎叶喷雾处理。每季作物用药一次。 6.大豆田，在杂草3-4片叶期进行喷雾处理。每季用药一次。 7.在水稻和旱稻田，施药前将水排干，使杂草暴露，施药时间是杂草长出2-4片小叶时为宜，施药后24小时，再将水位恢复正常。在旱稻田，施药时间是杂草长出2-4片小叶时，施药量与水稻地相同。每季用药一次。 8.用水量一般为每公顷200-600升。 9.对于经由根部繁殖的杂草，一般只能防治地面以上的杂草部分。 10.不适用于防治禾本科杂草。 11.在温暖和有利于作物生长的良好气候下，本品的作用较迅速。但在寒冷的气候下，杂草的枯萎速度就较为缓慢。 12.施药后8小时内降雨可能影响药效。</w:t>
            </w:r>
          </w:p>
        </w:tc>
      </w:tr>
      <w:tr w14:paraId="21BD975D">
        <w:tblPrEx>
          <w:tblCellMar>
            <w:top w:w="0" w:type="dxa"/>
            <w:left w:w="0" w:type="dxa"/>
            <w:bottom w:w="0" w:type="dxa"/>
            <w:right w:w="0" w:type="dxa"/>
          </w:tblCellMar>
        </w:tblPrEx>
        <w:trPr>
          <w:tblCellSpacing w:w="0" w:type="dxa"/>
        </w:trPr>
        <w:tc>
          <w:tcPr>
            <w:tcW w:w="0" w:type="auto"/>
            <w:vAlign w:val="center"/>
          </w:tcPr>
          <w:p w14:paraId="0B68B2D5">
            <w:r>
              <w:rPr>
                <w:rStyle w:val="10"/>
                <w:rFonts w:hint="eastAsia"/>
              </w:rPr>
              <w:t>产品性能:</w:t>
            </w:r>
            <w:r>
              <w:rPr>
                <w:rFonts w:hint="eastAsia"/>
              </w:rPr>
              <w:br w:type="textWrapping"/>
            </w:r>
            <w:r>
              <w:rPr>
                <w:rStyle w:val="11"/>
                <w:rFonts w:hint="eastAsia"/>
              </w:rPr>
              <w:t>灭草松是广谱性苗后阔叶除草剂。对水稻田, 大豆田、花生田、及马铃薯田里的恶性莎草科（三棱草）及阔叶杂草有较好防效。灭草松有效成分主要通过杂草绿色部分吸收，因此喷药时必须充分覆盖杂草的茎叶并使之完全浸润。</w:t>
            </w:r>
          </w:p>
        </w:tc>
      </w:tr>
      <w:tr w14:paraId="331A3A2A">
        <w:tblPrEx>
          <w:tblCellMar>
            <w:top w:w="0" w:type="dxa"/>
            <w:left w:w="0" w:type="dxa"/>
            <w:bottom w:w="0" w:type="dxa"/>
            <w:right w:w="0" w:type="dxa"/>
          </w:tblCellMar>
        </w:tblPrEx>
        <w:trPr>
          <w:tblCellSpacing w:w="0" w:type="dxa"/>
        </w:trPr>
        <w:tc>
          <w:tcPr>
            <w:tcW w:w="0" w:type="auto"/>
            <w:vAlign w:val="center"/>
          </w:tcPr>
          <w:p w14:paraId="746DE2AF">
            <w:r>
              <w:rPr>
                <w:rStyle w:val="10"/>
                <w:rFonts w:hint="eastAsia"/>
              </w:rPr>
              <w:t>注意事项：</w:t>
            </w:r>
            <w:r>
              <w:rPr>
                <w:rFonts w:hint="eastAsia"/>
              </w:rPr>
              <w:br w:type="textWrapping"/>
            </w:r>
            <w:r>
              <w:rPr>
                <w:rStyle w:val="11"/>
                <w:rFonts w:hint="eastAsia"/>
              </w:rPr>
              <w:t>●施药时必须穿戴防护衣或使用保护措施，不可吸烟、饮水和进食。 ●施药后用清水及肥皂彻底清洗脸部及其它裸露部位。 ●水产养殖区、河塘等水体附近禁用，禁止在河塘等水域清洗施药器具，用过的容器应妥善处理，不可作他用，在清洗药械或处理废弃物时不要污染水及水源。 ●孕妇及哺乳期妇女禁止接触。</w:t>
            </w:r>
          </w:p>
        </w:tc>
      </w:tr>
      <w:tr w14:paraId="539743FB">
        <w:tblPrEx>
          <w:tblCellMar>
            <w:top w:w="0" w:type="dxa"/>
            <w:left w:w="0" w:type="dxa"/>
            <w:bottom w:w="0" w:type="dxa"/>
            <w:right w:w="0" w:type="dxa"/>
          </w:tblCellMar>
        </w:tblPrEx>
        <w:trPr>
          <w:tblCellSpacing w:w="0" w:type="dxa"/>
        </w:trPr>
        <w:tc>
          <w:tcPr>
            <w:tcW w:w="0" w:type="auto"/>
            <w:vAlign w:val="center"/>
          </w:tcPr>
          <w:p w14:paraId="020411B7">
            <w:r>
              <w:rPr>
                <w:rStyle w:val="10"/>
                <w:rFonts w:hint="eastAsia"/>
              </w:rPr>
              <w:t>中毒急救措施：</w:t>
            </w:r>
            <w:r>
              <w:rPr>
                <w:rFonts w:hint="eastAsia"/>
              </w:rPr>
              <w:br w:type="textWrapping"/>
            </w:r>
            <w:r>
              <w:rPr>
                <w:rStyle w:val="11"/>
                <w:rFonts w:hint="eastAsia"/>
              </w:rPr>
              <w:t>●污染眼可引起眼刺激症状。口服后可引起消化道刺激症状。 ●皮肤接触或溅入眼睛，脱除被污染的衣物。 ●立即用大量清水清洗被污染的皮肤及眼睛或其它粘膜部位。 ●若吞服，请立即携标签送医就诊引吐。请勿食用促进吸收本品的食品，如脂肪（牛奶，蓖麻油）或酒类等。 ●请立即服食活性炭（医用活性炭）。 ●不慎吸入，保持空气新鲜，若昏迷不醒，请侧卧；若停止呼吸，请使用人工呼吸措施。医生使用： ●去污染，洗胃时应防止呕吐物吸入肺。注意生命体征及中枢神经系统症状。对症处理。目前无特效解毒剂。</w:t>
            </w:r>
          </w:p>
        </w:tc>
      </w:tr>
      <w:tr w14:paraId="15548D4B">
        <w:tblPrEx>
          <w:tblCellMar>
            <w:top w:w="0" w:type="dxa"/>
            <w:left w:w="0" w:type="dxa"/>
            <w:bottom w:w="0" w:type="dxa"/>
            <w:right w:w="0" w:type="dxa"/>
          </w:tblCellMar>
        </w:tblPrEx>
        <w:trPr>
          <w:tblCellSpacing w:w="0" w:type="dxa"/>
        </w:trPr>
        <w:tc>
          <w:tcPr>
            <w:tcW w:w="0" w:type="auto"/>
            <w:vAlign w:val="center"/>
          </w:tcPr>
          <w:p w14:paraId="59BF2698">
            <w:r>
              <w:rPr>
                <w:rStyle w:val="10"/>
                <w:rFonts w:hint="eastAsia"/>
              </w:rPr>
              <w:t>储存和运输方法：</w:t>
            </w:r>
            <w:r>
              <w:rPr>
                <w:rFonts w:hint="eastAsia"/>
              </w:rPr>
              <w:br w:type="textWrapping"/>
            </w:r>
            <w:r>
              <w:rPr>
                <w:rStyle w:val="11"/>
                <w:rFonts w:hint="eastAsia"/>
              </w:rPr>
              <w:t>●药液贮存在原容器中，置于干燥通风防雨处。 ●远离火或热源，放置于儿童触及不到的地方并加锁。 ●勿与食品、饮料、饲料等其他商品同贮同运。</w:t>
            </w:r>
          </w:p>
        </w:tc>
      </w:tr>
      <w:tr w14:paraId="69138E10">
        <w:tblPrEx>
          <w:tblCellMar>
            <w:top w:w="0" w:type="dxa"/>
            <w:left w:w="0" w:type="dxa"/>
            <w:bottom w:w="0" w:type="dxa"/>
            <w:right w:w="0" w:type="dxa"/>
          </w:tblCellMar>
        </w:tblPrEx>
        <w:trPr>
          <w:tblCellSpacing w:w="0" w:type="dxa"/>
        </w:trPr>
        <w:tc>
          <w:tcPr>
            <w:tcW w:w="0" w:type="auto"/>
            <w:vAlign w:val="center"/>
          </w:tcPr>
          <w:p w14:paraId="03504530">
            <w:r>
              <w:rPr>
                <w:rStyle w:val="10"/>
                <w:rFonts w:hint="eastAsia"/>
              </w:rPr>
              <w:t>质量保证期：</w:t>
            </w:r>
            <w:r>
              <w:rPr>
                <w:rStyle w:val="11"/>
                <w:rFonts w:hint="eastAsia"/>
              </w:rPr>
              <w:t>2年</w:t>
            </w:r>
          </w:p>
        </w:tc>
      </w:tr>
      <w:tr w14:paraId="379904A7">
        <w:tblPrEx>
          <w:tblCellMar>
            <w:top w:w="0" w:type="dxa"/>
            <w:left w:w="0" w:type="dxa"/>
            <w:bottom w:w="0" w:type="dxa"/>
            <w:right w:w="0" w:type="dxa"/>
          </w:tblCellMar>
        </w:tblPrEx>
        <w:trPr>
          <w:tblCellSpacing w:w="0" w:type="dxa"/>
        </w:trPr>
        <w:tc>
          <w:tcPr>
            <w:tcW w:w="0" w:type="auto"/>
            <w:vAlign w:val="center"/>
          </w:tcPr>
          <w:p w14:paraId="059521A0">
            <w:r>
              <w:rPr>
                <w:rStyle w:val="10"/>
                <w:rFonts w:hint="eastAsia"/>
              </w:rPr>
              <w:t>备注：</w:t>
            </w:r>
          </w:p>
        </w:tc>
      </w:tr>
    </w:tbl>
    <w:p w14:paraId="091377DF">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7FA9A8D">
        <w:tblPrEx>
          <w:tblCellMar>
            <w:top w:w="0" w:type="dxa"/>
            <w:left w:w="0" w:type="dxa"/>
            <w:bottom w:w="0" w:type="dxa"/>
            <w:right w:w="0" w:type="dxa"/>
          </w:tblCellMar>
        </w:tblPrEx>
        <w:trPr>
          <w:tblCellSpacing w:w="0" w:type="dxa"/>
        </w:trPr>
        <w:tc>
          <w:tcPr>
            <w:tcW w:w="0" w:type="auto"/>
            <w:vAlign w:val="center"/>
          </w:tcPr>
          <w:p w14:paraId="7B6CDC18">
            <w:r>
              <w:rPr>
                <w:rStyle w:val="10"/>
                <w:rFonts w:hint="eastAsia"/>
              </w:rPr>
              <w:t>登记证号：</w:t>
            </w:r>
            <w:r>
              <w:rPr>
                <w:rFonts w:hint="eastAsia"/>
              </w:rPr>
              <w:t>PD20120020</w:t>
            </w:r>
          </w:p>
        </w:tc>
      </w:tr>
      <w:tr w14:paraId="3D0CBEA2">
        <w:tblPrEx>
          <w:tblCellMar>
            <w:top w:w="0" w:type="dxa"/>
            <w:left w:w="0" w:type="dxa"/>
            <w:bottom w:w="0" w:type="dxa"/>
            <w:right w:w="0" w:type="dxa"/>
          </w:tblCellMar>
        </w:tblPrEx>
        <w:trPr>
          <w:tblCellSpacing w:w="0" w:type="dxa"/>
        </w:trPr>
        <w:tc>
          <w:tcPr>
            <w:tcW w:w="0" w:type="auto"/>
            <w:vAlign w:val="center"/>
          </w:tcPr>
          <w:p w14:paraId="30933CD8">
            <w:r>
              <w:rPr>
                <w:rStyle w:val="10"/>
                <w:rFonts w:hint="eastAsia"/>
              </w:rPr>
              <w:t>登记证持有人：</w:t>
            </w:r>
            <w:r>
              <w:rPr>
                <w:rFonts w:hint="eastAsia"/>
              </w:rPr>
              <w:t>山东东泰农化有限公司</w:t>
            </w:r>
          </w:p>
        </w:tc>
      </w:tr>
      <w:tr w14:paraId="5CEBE59A">
        <w:tblPrEx>
          <w:tblCellMar>
            <w:top w:w="0" w:type="dxa"/>
            <w:left w:w="0" w:type="dxa"/>
            <w:bottom w:w="0" w:type="dxa"/>
            <w:right w:w="0" w:type="dxa"/>
          </w:tblCellMar>
        </w:tblPrEx>
        <w:trPr>
          <w:tblCellSpacing w:w="0" w:type="dxa"/>
        </w:trPr>
        <w:tc>
          <w:tcPr>
            <w:tcW w:w="0" w:type="auto"/>
            <w:vAlign w:val="center"/>
          </w:tcPr>
          <w:p w14:paraId="5C90EA17">
            <w:r>
              <w:rPr>
                <w:rStyle w:val="10"/>
                <w:rFonts w:hint="eastAsia"/>
              </w:rPr>
              <w:t>农药名称：</w:t>
            </w:r>
            <w:r>
              <w:rPr>
                <w:rFonts w:hint="eastAsia"/>
              </w:rPr>
              <w:t>苯醚甲环唑</w:t>
            </w:r>
          </w:p>
        </w:tc>
      </w:tr>
      <w:tr w14:paraId="48AAD65B">
        <w:tblPrEx>
          <w:tblCellMar>
            <w:top w:w="0" w:type="dxa"/>
            <w:left w:w="0" w:type="dxa"/>
            <w:bottom w:w="0" w:type="dxa"/>
            <w:right w:w="0" w:type="dxa"/>
          </w:tblCellMar>
        </w:tblPrEx>
        <w:trPr>
          <w:tblCellSpacing w:w="0" w:type="dxa"/>
        </w:trPr>
        <w:tc>
          <w:tcPr>
            <w:tcW w:w="0" w:type="auto"/>
            <w:vAlign w:val="center"/>
          </w:tcPr>
          <w:p w14:paraId="606D4789">
            <w:r>
              <w:rPr>
                <w:rStyle w:val="10"/>
                <w:rFonts w:hint="eastAsia"/>
              </w:rPr>
              <w:t>剂型：</w:t>
            </w:r>
            <w:r>
              <w:rPr>
                <w:rFonts w:hint="eastAsia"/>
              </w:rPr>
              <w:t>水分散粒剂</w:t>
            </w:r>
          </w:p>
        </w:tc>
      </w:tr>
      <w:tr w14:paraId="20B1DF07">
        <w:tblPrEx>
          <w:tblCellMar>
            <w:top w:w="0" w:type="dxa"/>
            <w:left w:w="0" w:type="dxa"/>
            <w:bottom w:w="0" w:type="dxa"/>
            <w:right w:w="0" w:type="dxa"/>
          </w:tblCellMar>
        </w:tblPrEx>
        <w:trPr>
          <w:tblCellSpacing w:w="0" w:type="dxa"/>
        </w:trPr>
        <w:tc>
          <w:tcPr>
            <w:tcW w:w="0" w:type="auto"/>
            <w:vAlign w:val="center"/>
          </w:tcPr>
          <w:p w14:paraId="0E8602F3">
            <w:r>
              <w:rPr>
                <w:rStyle w:val="10"/>
                <w:rFonts w:hint="eastAsia"/>
              </w:rPr>
              <w:t>毒性及其标识：</w:t>
            </w:r>
            <w:r>
              <w:rPr>
                <w:rFonts w:hint="eastAsia"/>
              </w:rPr>
              <w:t xml:space="preserve"> </w:t>
            </w:r>
            <w:r>
              <w:drawing>
                <wp:inline distT="0" distB="0" distL="0" distR="0">
                  <wp:extent cx="474345" cy="323850"/>
                  <wp:effectExtent l="0" t="0" r="1905"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73B652C5">
        <w:tblPrEx>
          <w:tblCellMar>
            <w:top w:w="0" w:type="dxa"/>
            <w:left w:w="0" w:type="dxa"/>
            <w:bottom w:w="0" w:type="dxa"/>
            <w:right w:w="0" w:type="dxa"/>
          </w:tblCellMar>
        </w:tblPrEx>
        <w:trPr>
          <w:tblCellSpacing w:w="0" w:type="dxa"/>
        </w:trPr>
        <w:tc>
          <w:tcPr>
            <w:tcW w:w="0" w:type="auto"/>
            <w:vAlign w:val="center"/>
          </w:tcPr>
          <w:p w14:paraId="4616CF33">
            <w:r>
              <w:rPr>
                <w:rStyle w:val="10"/>
                <w:rFonts w:hint="eastAsia"/>
              </w:rPr>
              <w:t>总有效成分含量：</w:t>
            </w:r>
            <w:r>
              <w:rPr>
                <w:rFonts w:hint="eastAsia"/>
              </w:rPr>
              <w:t>10%</w:t>
            </w:r>
          </w:p>
        </w:tc>
      </w:tr>
      <w:tr w14:paraId="311AA31B">
        <w:tblPrEx>
          <w:tblCellMar>
            <w:top w:w="0" w:type="dxa"/>
            <w:left w:w="0" w:type="dxa"/>
            <w:bottom w:w="0" w:type="dxa"/>
            <w:right w:w="0" w:type="dxa"/>
          </w:tblCellMar>
        </w:tblPrEx>
        <w:trPr>
          <w:tblCellSpacing w:w="0" w:type="dxa"/>
        </w:trPr>
        <w:tc>
          <w:tcPr>
            <w:tcW w:w="0" w:type="auto"/>
            <w:vAlign w:val="center"/>
          </w:tcPr>
          <w:p w14:paraId="2F137CDB">
            <w:r>
              <w:rPr>
                <w:rFonts w:hint="eastAsia"/>
              </w:rPr>
              <w:t xml:space="preserve">有效成分及其含量： </w:t>
            </w:r>
          </w:p>
          <w:p w14:paraId="5F631E87">
            <w:r>
              <w:rPr>
                <w:rFonts w:hint="eastAsia"/>
              </w:rPr>
              <w:t xml:space="preserve">    苯醚甲环唑10%    </w:t>
            </w:r>
          </w:p>
        </w:tc>
      </w:tr>
      <w:tr w14:paraId="5D91EBCF">
        <w:tblPrEx>
          <w:tblCellMar>
            <w:top w:w="0" w:type="dxa"/>
            <w:left w:w="0" w:type="dxa"/>
            <w:bottom w:w="0" w:type="dxa"/>
            <w:right w:w="0" w:type="dxa"/>
          </w:tblCellMar>
        </w:tblPrEx>
        <w:trPr>
          <w:tblCellSpacing w:w="0" w:type="dxa"/>
        </w:trPr>
        <w:tc>
          <w:tcPr>
            <w:tcW w:w="0" w:type="auto"/>
            <w:vAlign w:val="center"/>
          </w:tcPr>
          <w:p w14:paraId="2E37471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4484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776A8CB">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A437DC5">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18CE6E">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423945">
                  <w:r>
                    <w:rPr>
                      <w:rStyle w:val="11"/>
                      <w:rFonts w:hint="eastAsia"/>
                    </w:rPr>
                    <w:t>施用方式</w:t>
                  </w:r>
                </w:p>
              </w:tc>
            </w:tr>
            <w:tr w14:paraId="029C23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B2C0E9">
                  <w:r>
                    <w:rPr>
                      <w:rStyle w:val="11"/>
                      <w:rFonts w:hint="eastAsia"/>
                    </w:rPr>
                    <w:t>苦瓜</w:t>
                  </w:r>
                </w:p>
              </w:tc>
              <w:tc>
                <w:tcPr>
                  <w:tcW w:w="0" w:type="auto"/>
                  <w:tcBorders>
                    <w:top w:val="outset" w:color="auto" w:sz="6" w:space="0"/>
                    <w:left w:val="outset" w:color="auto" w:sz="6" w:space="0"/>
                    <w:bottom w:val="outset" w:color="auto" w:sz="6" w:space="0"/>
                    <w:right w:val="outset" w:color="auto" w:sz="6" w:space="0"/>
                  </w:tcBorders>
                  <w:vAlign w:val="center"/>
                </w:tcPr>
                <w:p w14:paraId="563CD81E">
                  <w:r>
                    <w:rPr>
                      <w:rStyle w:val="11"/>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3300F006">
                  <w:r>
                    <w:rPr>
                      <w:rStyle w:val="11"/>
                      <w:rFonts w:hint="eastAsia"/>
                    </w:rPr>
                    <w:t>70-100克/亩</w:t>
                  </w:r>
                </w:p>
              </w:tc>
              <w:tc>
                <w:tcPr>
                  <w:tcW w:w="0" w:type="auto"/>
                  <w:tcBorders>
                    <w:top w:val="outset" w:color="auto" w:sz="6" w:space="0"/>
                    <w:left w:val="outset" w:color="auto" w:sz="6" w:space="0"/>
                    <w:bottom w:val="outset" w:color="auto" w:sz="6" w:space="0"/>
                    <w:right w:val="outset" w:color="auto" w:sz="6" w:space="0"/>
                  </w:tcBorders>
                  <w:vAlign w:val="center"/>
                </w:tcPr>
                <w:p w14:paraId="793E5639">
                  <w:r>
                    <w:rPr>
                      <w:rStyle w:val="11"/>
                      <w:rFonts w:hint="eastAsia"/>
                    </w:rPr>
                    <w:t>喷雾</w:t>
                  </w:r>
                </w:p>
              </w:tc>
            </w:tr>
            <w:tr w14:paraId="1CCA42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484A43">
                  <w:r>
                    <w:rPr>
                      <w:rStyle w:val="11"/>
                      <w:rFonts w:hint="eastAsia"/>
                    </w:rPr>
                    <w:t>大葱</w:t>
                  </w:r>
                </w:p>
              </w:tc>
              <w:tc>
                <w:tcPr>
                  <w:tcW w:w="0" w:type="auto"/>
                  <w:tcBorders>
                    <w:top w:val="outset" w:color="auto" w:sz="6" w:space="0"/>
                    <w:left w:val="outset" w:color="auto" w:sz="6" w:space="0"/>
                    <w:bottom w:val="outset" w:color="auto" w:sz="6" w:space="0"/>
                    <w:right w:val="outset" w:color="auto" w:sz="6" w:space="0"/>
                  </w:tcBorders>
                  <w:vAlign w:val="center"/>
                </w:tcPr>
                <w:p w14:paraId="35023D8A">
                  <w:r>
                    <w:rPr>
                      <w:rStyle w:val="11"/>
                      <w:rFonts w:hint="eastAsia"/>
                    </w:rPr>
                    <w:t>紫斑病</w:t>
                  </w:r>
                </w:p>
              </w:tc>
              <w:tc>
                <w:tcPr>
                  <w:tcW w:w="0" w:type="auto"/>
                  <w:tcBorders>
                    <w:top w:val="outset" w:color="auto" w:sz="6" w:space="0"/>
                    <w:left w:val="outset" w:color="auto" w:sz="6" w:space="0"/>
                    <w:bottom w:val="outset" w:color="auto" w:sz="6" w:space="0"/>
                    <w:right w:val="outset" w:color="auto" w:sz="6" w:space="0"/>
                  </w:tcBorders>
                  <w:vAlign w:val="center"/>
                </w:tcPr>
                <w:p w14:paraId="7C2C1B2B">
                  <w:r>
                    <w:rPr>
                      <w:rStyle w:val="11"/>
                      <w:rFonts w:hint="eastAsia"/>
                    </w:rPr>
                    <w:t>60-80克/亩</w:t>
                  </w:r>
                </w:p>
              </w:tc>
              <w:tc>
                <w:tcPr>
                  <w:tcW w:w="0" w:type="auto"/>
                  <w:tcBorders>
                    <w:top w:val="outset" w:color="auto" w:sz="6" w:space="0"/>
                    <w:left w:val="outset" w:color="auto" w:sz="6" w:space="0"/>
                    <w:bottom w:val="outset" w:color="auto" w:sz="6" w:space="0"/>
                    <w:right w:val="outset" w:color="auto" w:sz="6" w:space="0"/>
                  </w:tcBorders>
                  <w:vAlign w:val="center"/>
                </w:tcPr>
                <w:p w14:paraId="7311DA4E">
                  <w:r>
                    <w:rPr>
                      <w:rStyle w:val="11"/>
                      <w:rFonts w:hint="eastAsia"/>
                    </w:rPr>
                    <w:t>喷雾</w:t>
                  </w:r>
                </w:p>
              </w:tc>
            </w:tr>
            <w:tr w14:paraId="40DF23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D688ED">
                  <w:r>
                    <w:rPr>
                      <w:rStyle w:val="11"/>
                      <w:rFonts w:hint="eastAsia"/>
                    </w:rPr>
                    <w:t>姜</w:t>
                  </w:r>
                </w:p>
              </w:tc>
              <w:tc>
                <w:tcPr>
                  <w:tcW w:w="0" w:type="auto"/>
                  <w:tcBorders>
                    <w:top w:val="outset" w:color="auto" w:sz="6" w:space="0"/>
                    <w:left w:val="outset" w:color="auto" w:sz="6" w:space="0"/>
                    <w:bottom w:val="outset" w:color="auto" w:sz="6" w:space="0"/>
                    <w:right w:val="outset" w:color="auto" w:sz="6" w:space="0"/>
                  </w:tcBorders>
                  <w:vAlign w:val="center"/>
                </w:tcPr>
                <w:p w14:paraId="1630B91F">
                  <w:r>
                    <w:rPr>
                      <w:rStyle w:val="11"/>
                      <w:rFonts w:hint="eastAsia"/>
                    </w:rPr>
                    <w:t>叶枯病</w:t>
                  </w:r>
                </w:p>
              </w:tc>
              <w:tc>
                <w:tcPr>
                  <w:tcW w:w="0" w:type="auto"/>
                  <w:tcBorders>
                    <w:top w:val="outset" w:color="auto" w:sz="6" w:space="0"/>
                    <w:left w:val="outset" w:color="auto" w:sz="6" w:space="0"/>
                    <w:bottom w:val="outset" w:color="auto" w:sz="6" w:space="0"/>
                    <w:right w:val="outset" w:color="auto" w:sz="6" w:space="0"/>
                  </w:tcBorders>
                  <w:vAlign w:val="center"/>
                </w:tcPr>
                <w:p w14:paraId="0CAE8830">
                  <w:r>
                    <w:rPr>
                      <w:rStyle w:val="11"/>
                      <w:rFonts w:hint="eastAsia"/>
                    </w:rPr>
                    <w:t>30-60克/亩</w:t>
                  </w:r>
                </w:p>
              </w:tc>
              <w:tc>
                <w:tcPr>
                  <w:tcW w:w="0" w:type="auto"/>
                  <w:tcBorders>
                    <w:top w:val="outset" w:color="auto" w:sz="6" w:space="0"/>
                    <w:left w:val="outset" w:color="auto" w:sz="6" w:space="0"/>
                    <w:bottom w:val="outset" w:color="auto" w:sz="6" w:space="0"/>
                    <w:right w:val="outset" w:color="auto" w:sz="6" w:space="0"/>
                  </w:tcBorders>
                  <w:vAlign w:val="center"/>
                </w:tcPr>
                <w:p w14:paraId="22967E50">
                  <w:r>
                    <w:rPr>
                      <w:rStyle w:val="11"/>
                      <w:rFonts w:hint="eastAsia"/>
                    </w:rPr>
                    <w:t>喷雾</w:t>
                  </w:r>
                </w:p>
              </w:tc>
            </w:tr>
            <w:tr w14:paraId="5C479E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51E83E">
                  <w:r>
                    <w:rPr>
                      <w:rStyle w:val="11"/>
                      <w:rFonts w:hint="eastAsia"/>
                    </w:rPr>
                    <w:t>芹菜</w:t>
                  </w:r>
                </w:p>
              </w:tc>
              <w:tc>
                <w:tcPr>
                  <w:tcW w:w="0" w:type="auto"/>
                  <w:tcBorders>
                    <w:top w:val="outset" w:color="auto" w:sz="6" w:space="0"/>
                    <w:left w:val="outset" w:color="auto" w:sz="6" w:space="0"/>
                    <w:bottom w:val="outset" w:color="auto" w:sz="6" w:space="0"/>
                    <w:right w:val="outset" w:color="auto" w:sz="6" w:space="0"/>
                  </w:tcBorders>
                  <w:vAlign w:val="center"/>
                </w:tcPr>
                <w:p w14:paraId="64D20DC7">
                  <w:r>
                    <w:rPr>
                      <w:rStyle w:val="11"/>
                      <w:rFonts w:hint="eastAsia"/>
                    </w:rPr>
                    <w:t>斑枯病</w:t>
                  </w:r>
                </w:p>
              </w:tc>
              <w:tc>
                <w:tcPr>
                  <w:tcW w:w="0" w:type="auto"/>
                  <w:tcBorders>
                    <w:top w:val="outset" w:color="auto" w:sz="6" w:space="0"/>
                    <w:left w:val="outset" w:color="auto" w:sz="6" w:space="0"/>
                    <w:bottom w:val="outset" w:color="auto" w:sz="6" w:space="0"/>
                    <w:right w:val="outset" w:color="auto" w:sz="6" w:space="0"/>
                  </w:tcBorders>
                  <w:vAlign w:val="center"/>
                </w:tcPr>
                <w:p w14:paraId="48350181">
                  <w:r>
                    <w:rPr>
                      <w:rStyle w:val="11"/>
                      <w:rFonts w:hint="eastAsia"/>
                    </w:rPr>
                    <w:t>35-45克/亩</w:t>
                  </w:r>
                </w:p>
              </w:tc>
              <w:tc>
                <w:tcPr>
                  <w:tcW w:w="0" w:type="auto"/>
                  <w:tcBorders>
                    <w:top w:val="outset" w:color="auto" w:sz="6" w:space="0"/>
                    <w:left w:val="outset" w:color="auto" w:sz="6" w:space="0"/>
                    <w:bottom w:val="outset" w:color="auto" w:sz="6" w:space="0"/>
                    <w:right w:val="outset" w:color="auto" w:sz="6" w:space="0"/>
                  </w:tcBorders>
                  <w:vAlign w:val="center"/>
                </w:tcPr>
                <w:p w14:paraId="6B8BADA6">
                  <w:r>
                    <w:rPr>
                      <w:rStyle w:val="11"/>
                      <w:rFonts w:hint="eastAsia"/>
                    </w:rPr>
                    <w:t>喷雾</w:t>
                  </w:r>
                </w:p>
              </w:tc>
            </w:tr>
            <w:tr w14:paraId="63578C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4F3034">
                  <w:r>
                    <w:rPr>
                      <w:rStyle w:val="11"/>
                      <w:rFonts w:hint="eastAsia"/>
                    </w:rPr>
                    <w:t>金银花</w:t>
                  </w:r>
                </w:p>
              </w:tc>
              <w:tc>
                <w:tcPr>
                  <w:tcW w:w="0" w:type="auto"/>
                  <w:tcBorders>
                    <w:top w:val="outset" w:color="auto" w:sz="6" w:space="0"/>
                    <w:left w:val="outset" w:color="auto" w:sz="6" w:space="0"/>
                    <w:bottom w:val="outset" w:color="auto" w:sz="6" w:space="0"/>
                    <w:right w:val="outset" w:color="auto" w:sz="6" w:space="0"/>
                  </w:tcBorders>
                  <w:vAlign w:val="center"/>
                </w:tcPr>
                <w:p w14:paraId="3B9342E0">
                  <w:r>
                    <w:rPr>
                      <w:rStyle w:val="11"/>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4FAA6DCC">
                  <w:r>
                    <w:rPr>
                      <w:rStyle w:val="11"/>
                      <w:rFonts w:hint="eastAsia"/>
                    </w:rPr>
                    <w:t>稀释600-800倍</w:t>
                  </w:r>
                </w:p>
              </w:tc>
              <w:tc>
                <w:tcPr>
                  <w:tcW w:w="0" w:type="auto"/>
                  <w:tcBorders>
                    <w:top w:val="outset" w:color="auto" w:sz="6" w:space="0"/>
                    <w:left w:val="outset" w:color="auto" w:sz="6" w:space="0"/>
                    <w:bottom w:val="outset" w:color="auto" w:sz="6" w:space="0"/>
                    <w:right w:val="outset" w:color="auto" w:sz="6" w:space="0"/>
                  </w:tcBorders>
                  <w:vAlign w:val="center"/>
                </w:tcPr>
                <w:p w14:paraId="77A08BA6">
                  <w:r>
                    <w:rPr>
                      <w:rStyle w:val="11"/>
                      <w:rFonts w:hint="eastAsia"/>
                    </w:rPr>
                    <w:t>喷雾</w:t>
                  </w:r>
                </w:p>
              </w:tc>
            </w:tr>
            <w:tr w14:paraId="07A36B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E1F984D">
                  <w:r>
                    <w:rPr>
                      <w:rStyle w:val="11"/>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25DF0848">
                  <w:r>
                    <w:rPr>
                      <w:rStyle w:val="11"/>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4BDB4471">
                  <w:r>
                    <w:rPr>
                      <w:rStyle w:val="11"/>
                      <w:rFonts w:hint="eastAsia"/>
                    </w:rPr>
                    <w:t>6000-7000倍液</w:t>
                  </w:r>
                </w:p>
              </w:tc>
              <w:tc>
                <w:tcPr>
                  <w:tcW w:w="0" w:type="auto"/>
                  <w:tcBorders>
                    <w:top w:val="outset" w:color="auto" w:sz="6" w:space="0"/>
                    <w:left w:val="outset" w:color="auto" w:sz="6" w:space="0"/>
                    <w:bottom w:val="outset" w:color="auto" w:sz="6" w:space="0"/>
                    <w:right w:val="outset" w:color="auto" w:sz="6" w:space="0"/>
                  </w:tcBorders>
                  <w:vAlign w:val="center"/>
                </w:tcPr>
                <w:p w14:paraId="2761EE8B">
                  <w:r>
                    <w:rPr>
                      <w:rStyle w:val="11"/>
                      <w:rFonts w:hint="eastAsia"/>
                    </w:rPr>
                    <w:t>喷雾</w:t>
                  </w:r>
                </w:p>
              </w:tc>
            </w:tr>
            <w:tr w14:paraId="46FE36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ADCAB8">
                  <w:r>
                    <w:rPr>
                      <w:rStyle w:val="11"/>
                      <w:rFonts w:hint="eastAsia"/>
                    </w:rPr>
                    <w:t>蒜薹(贮藏期)</w:t>
                  </w:r>
                </w:p>
              </w:tc>
              <w:tc>
                <w:tcPr>
                  <w:tcW w:w="0" w:type="auto"/>
                  <w:tcBorders>
                    <w:top w:val="outset" w:color="auto" w:sz="6" w:space="0"/>
                    <w:left w:val="outset" w:color="auto" w:sz="6" w:space="0"/>
                    <w:bottom w:val="outset" w:color="auto" w:sz="6" w:space="0"/>
                    <w:right w:val="outset" w:color="auto" w:sz="6" w:space="0"/>
                  </w:tcBorders>
                  <w:vAlign w:val="center"/>
                </w:tcPr>
                <w:p w14:paraId="459F1B61">
                  <w:r>
                    <w:rPr>
                      <w:rStyle w:val="11"/>
                      <w:rFonts w:hint="eastAsia"/>
                    </w:rPr>
                    <w:t>叶枯病</w:t>
                  </w:r>
                </w:p>
              </w:tc>
              <w:tc>
                <w:tcPr>
                  <w:tcW w:w="0" w:type="auto"/>
                  <w:tcBorders>
                    <w:top w:val="outset" w:color="auto" w:sz="6" w:space="0"/>
                    <w:left w:val="outset" w:color="auto" w:sz="6" w:space="0"/>
                    <w:bottom w:val="outset" w:color="auto" w:sz="6" w:space="0"/>
                    <w:right w:val="outset" w:color="auto" w:sz="6" w:space="0"/>
                  </w:tcBorders>
                  <w:vAlign w:val="center"/>
                </w:tcPr>
                <w:p w14:paraId="4BCB3EA5">
                  <w:r>
                    <w:rPr>
                      <w:rStyle w:val="11"/>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53AE06DD">
                  <w:r>
                    <w:rPr>
                      <w:rStyle w:val="11"/>
                      <w:rFonts w:hint="eastAsia"/>
                    </w:rPr>
                    <w:t>浸梢</w:t>
                  </w:r>
                </w:p>
              </w:tc>
            </w:tr>
          </w:tbl>
          <w:p w14:paraId="4AEDBF91">
            <w:pPr>
              <w:rPr>
                <w:rFonts w:ascii="Times New Roman" w:hAnsi="Times New Roman" w:cs="Times New Roman"/>
                <w:sz w:val="20"/>
                <w:szCs w:val="20"/>
              </w:rPr>
            </w:pPr>
          </w:p>
        </w:tc>
      </w:tr>
      <w:tr w14:paraId="4BF17216">
        <w:tblPrEx>
          <w:tblCellMar>
            <w:top w:w="0" w:type="dxa"/>
            <w:left w:w="0" w:type="dxa"/>
            <w:bottom w:w="0" w:type="dxa"/>
            <w:right w:w="0" w:type="dxa"/>
          </w:tblCellMar>
        </w:tblPrEx>
        <w:trPr>
          <w:tblCellSpacing w:w="0" w:type="dxa"/>
        </w:trPr>
        <w:tc>
          <w:tcPr>
            <w:tcW w:w="0" w:type="auto"/>
            <w:vAlign w:val="center"/>
          </w:tcPr>
          <w:p w14:paraId="49F0560C">
            <w:r>
              <w:rPr>
                <w:rStyle w:val="10"/>
                <w:rFonts w:hint="eastAsia"/>
              </w:rPr>
              <w:t>使用技术要求:</w:t>
            </w:r>
            <w:r>
              <w:rPr>
                <w:rFonts w:hint="eastAsia"/>
              </w:rPr>
              <w:br w:type="textWrapping"/>
            </w:r>
            <w:r>
              <w:rPr>
                <w:rStyle w:val="11"/>
                <w:rFonts w:hint="eastAsia"/>
              </w:rPr>
              <w:t>1.本品于梨树上黑星病发生初期开始用药，注意喷雾均匀，视病害发生情况，每7天左右施药一次，可连续用药3次。在芹菜斑枯病、姜叶枯病发病前期或初期使用，施药2次，间隔期7-10天。在苦瓜白粉病发病前或发病初期施第一次药，间隔7-10天，连用2～3次。在金银花白粉病发生初期喷雾施药2次，间隔7天。在大葱紫斑病发生初期兑水喷雾，施药2次，间隔7天。蒜薹入库时浸蘸薹梢1次。2. 大风天或预计1小时内降雨，请勿施药。3、本品在梨树上使用，每季最多使用3次，安全间隔期为15天；芹菜上使用，每季最多使用2次，安全间隔期为5天；苦瓜上使用，每季最多使用3次，安全间隔期为5天；姜上使用，每季最多使用2次，安全间隔期为14天；金银花上使用，每季最多使用2次，安全间隔期为5天；大葱上使用，施药次数2次，安全间隔期为21天。蒜薹（贮藏期）上使用，施药次数1次，安全间隔期为90天。</w:t>
            </w:r>
          </w:p>
        </w:tc>
      </w:tr>
      <w:tr w14:paraId="05A5E84D">
        <w:tblPrEx>
          <w:tblCellMar>
            <w:top w:w="0" w:type="dxa"/>
            <w:left w:w="0" w:type="dxa"/>
            <w:bottom w:w="0" w:type="dxa"/>
            <w:right w:w="0" w:type="dxa"/>
          </w:tblCellMar>
        </w:tblPrEx>
        <w:trPr>
          <w:tblCellSpacing w:w="0" w:type="dxa"/>
        </w:trPr>
        <w:tc>
          <w:tcPr>
            <w:tcW w:w="0" w:type="auto"/>
            <w:vAlign w:val="center"/>
          </w:tcPr>
          <w:p w14:paraId="1A0EC041">
            <w:r>
              <w:rPr>
                <w:rStyle w:val="10"/>
                <w:rFonts w:hint="eastAsia"/>
              </w:rPr>
              <w:t>产品性能:</w:t>
            </w:r>
            <w:r>
              <w:rPr>
                <w:rFonts w:hint="eastAsia"/>
              </w:rPr>
              <w:br w:type="textWrapping"/>
            </w:r>
            <w:r>
              <w:rPr>
                <w:rStyle w:val="11"/>
                <w:rFonts w:hint="eastAsia"/>
              </w:rPr>
              <w:t>苯醚甲环唑系三唑类杀菌剂，是甾醇脱甲基化抑制剂，具有内吸性。对梨树黑星病、芹菜斑枯病、苦瓜白粉病、姜叶枯病、金银花白粉病、大葱紫斑病、蒜薹叶枯病等有较好的防效。</w:t>
            </w:r>
          </w:p>
        </w:tc>
      </w:tr>
      <w:tr w14:paraId="503D9E45">
        <w:tblPrEx>
          <w:tblCellMar>
            <w:top w:w="0" w:type="dxa"/>
            <w:left w:w="0" w:type="dxa"/>
            <w:bottom w:w="0" w:type="dxa"/>
            <w:right w:w="0" w:type="dxa"/>
          </w:tblCellMar>
        </w:tblPrEx>
        <w:trPr>
          <w:tblCellSpacing w:w="0" w:type="dxa"/>
        </w:trPr>
        <w:tc>
          <w:tcPr>
            <w:tcW w:w="0" w:type="auto"/>
            <w:vAlign w:val="center"/>
          </w:tcPr>
          <w:p w14:paraId="56A8F537">
            <w:r>
              <w:rPr>
                <w:rStyle w:val="10"/>
                <w:rFonts w:hint="eastAsia"/>
              </w:rPr>
              <w:t>注意事项：</w:t>
            </w:r>
            <w:r>
              <w:rPr>
                <w:rFonts w:hint="eastAsia"/>
              </w:rPr>
              <w:br w:type="textWrapping"/>
            </w:r>
            <w:r>
              <w:rPr>
                <w:rStyle w:val="11"/>
                <w:rFonts w:hint="eastAsia"/>
              </w:rPr>
              <w:t>1、施药时应戴防护用具，防止药液口鼻吸入，不得吸烟、进食、饮水，施药后应清洗手、脸及身体被污染部分。 2、建议与其他作用机制杀菌剂交替使用，以延缓抗性产生。 3、不得与碱性农药等物质混用。 4、药液及其废液不得污染各类水域、土壤等环境。远离水产养殖区施药，禁止在河塘等水域内清洗施药器具，避免污染水源。蚕室及桑园附近禁用，赤眼蜂等天敌放飞区域禁用。 5、孕妇和哺乳期妇女不得接触本品。 6、用过的容器应妥善处理，不可做他用，也不可随意丢弃。</w:t>
            </w:r>
          </w:p>
        </w:tc>
      </w:tr>
      <w:tr w14:paraId="0F9032AA">
        <w:tblPrEx>
          <w:tblCellMar>
            <w:top w:w="0" w:type="dxa"/>
            <w:left w:w="0" w:type="dxa"/>
            <w:bottom w:w="0" w:type="dxa"/>
            <w:right w:w="0" w:type="dxa"/>
          </w:tblCellMar>
        </w:tblPrEx>
        <w:trPr>
          <w:tblCellSpacing w:w="0" w:type="dxa"/>
        </w:trPr>
        <w:tc>
          <w:tcPr>
            <w:tcW w:w="0" w:type="auto"/>
            <w:vAlign w:val="center"/>
          </w:tcPr>
          <w:p w14:paraId="2D49B2A0">
            <w:r>
              <w:rPr>
                <w:rStyle w:val="10"/>
                <w:rFonts w:hint="eastAsia"/>
              </w:rPr>
              <w:t>中毒急救措施：</w:t>
            </w:r>
            <w:r>
              <w:rPr>
                <w:rFonts w:hint="eastAsia"/>
              </w:rPr>
              <w:br w:type="textWrapping"/>
            </w:r>
            <w:r>
              <w:rPr>
                <w:rStyle w:val="11"/>
                <w:rFonts w:hint="eastAsia"/>
              </w:rPr>
              <w:t>1、中毒症状表现：头痛、头昏，恶心呕吐，抽搐。 2、皮肤接触：立即脱掉被污染的衣物，用肥皂和大量清水彻底清洗受污染的皮肤。 3、眼睛溅药：立即将眼睑翻开，用清水冲洗10-15分钟，再请医生诊治。 4、发生吸入：立即将吸入者转移到空气新鲜处，请医生诊治。 5、误服：立即携带标签，送医就诊。紧急医疗措施：使用医用活性炭洗胃，洗胃时应防止胃洗出物进入呼吸道。注意：对昏迷病人，切勿经口喂入任何东西或引吐。解毒剂：无专用解毒剂，对症治疗。</w:t>
            </w:r>
          </w:p>
        </w:tc>
      </w:tr>
      <w:tr w14:paraId="591A1A09">
        <w:tblPrEx>
          <w:tblCellMar>
            <w:top w:w="0" w:type="dxa"/>
            <w:left w:w="0" w:type="dxa"/>
            <w:bottom w:w="0" w:type="dxa"/>
            <w:right w:w="0" w:type="dxa"/>
          </w:tblCellMar>
        </w:tblPrEx>
        <w:trPr>
          <w:tblCellSpacing w:w="0" w:type="dxa"/>
        </w:trPr>
        <w:tc>
          <w:tcPr>
            <w:tcW w:w="0" w:type="auto"/>
            <w:vAlign w:val="center"/>
          </w:tcPr>
          <w:p w14:paraId="32D74FC8">
            <w:r>
              <w:rPr>
                <w:rStyle w:val="10"/>
                <w:rFonts w:hint="eastAsia"/>
              </w:rPr>
              <w:t>储存和运输方法：</w:t>
            </w:r>
            <w:r>
              <w:rPr>
                <w:rFonts w:hint="eastAsia"/>
              </w:rPr>
              <w:br w:type="textWrapping"/>
            </w:r>
            <w:r>
              <w:rPr>
                <w:rStyle w:val="11"/>
                <w:rFonts w:hint="eastAsia"/>
              </w:rPr>
              <w:t>1、本品应贮存在通风、干燥、阴凉处，远离热源或火源。 2、置于儿童及无关人员触及不到的地方，并加锁。 3、勿与食品、饲料、粮食、饮料等同贮同运。</w:t>
            </w:r>
          </w:p>
        </w:tc>
      </w:tr>
      <w:tr w14:paraId="16DCFF38">
        <w:tblPrEx>
          <w:tblCellMar>
            <w:top w:w="0" w:type="dxa"/>
            <w:left w:w="0" w:type="dxa"/>
            <w:bottom w:w="0" w:type="dxa"/>
            <w:right w:w="0" w:type="dxa"/>
          </w:tblCellMar>
        </w:tblPrEx>
        <w:trPr>
          <w:tblCellSpacing w:w="0" w:type="dxa"/>
        </w:trPr>
        <w:tc>
          <w:tcPr>
            <w:tcW w:w="0" w:type="auto"/>
            <w:vAlign w:val="center"/>
          </w:tcPr>
          <w:p w14:paraId="76428A4E">
            <w:r>
              <w:rPr>
                <w:rStyle w:val="10"/>
                <w:rFonts w:hint="eastAsia"/>
              </w:rPr>
              <w:t>质量保证期：</w:t>
            </w:r>
            <w:r>
              <w:rPr>
                <w:rStyle w:val="11"/>
                <w:rFonts w:hint="eastAsia"/>
              </w:rPr>
              <w:t>2年</w:t>
            </w:r>
          </w:p>
        </w:tc>
      </w:tr>
      <w:tr w14:paraId="759BFF79">
        <w:tblPrEx>
          <w:tblCellMar>
            <w:top w:w="0" w:type="dxa"/>
            <w:left w:w="0" w:type="dxa"/>
            <w:bottom w:w="0" w:type="dxa"/>
            <w:right w:w="0" w:type="dxa"/>
          </w:tblCellMar>
        </w:tblPrEx>
        <w:trPr>
          <w:tblCellSpacing w:w="0" w:type="dxa"/>
        </w:trPr>
        <w:tc>
          <w:tcPr>
            <w:tcW w:w="0" w:type="auto"/>
            <w:vAlign w:val="center"/>
          </w:tcPr>
          <w:p w14:paraId="26D6DC1A">
            <w:r>
              <w:rPr>
                <w:rStyle w:val="10"/>
                <w:rFonts w:hint="eastAsia"/>
              </w:rPr>
              <w:t>备注：</w:t>
            </w:r>
          </w:p>
        </w:tc>
      </w:tr>
    </w:tbl>
    <w:p w14:paraId="5460B2BB">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AD9E64C">
        <w:tblPrEx>
          <w:tblCellMar>
            <w:top w:w="0" w:type="dxa"/>
            <w:left w:w="0" w:type="dxa"/>
            <w:bottom w:w="0" w:type="dxa"/>
            <w:right w:w="0" w:type="dxa"/>
          </w:tblCellMar>
        </w:tblPrEx>
        <w:trPr>
          <w:tblCellSpacing w:w="0" w:type="dxa"/>
        </w:trPr>
        <w:tc>
          <w:tcPr>
            <w:tcW w:w="0" w:type="auto"/>
            <w:vAlign w:val="center"/>
          </w:tcPr>
          <w:p w14:paraId="4B61FF3D">
            <w:r>
              <w:rPr>
                <w:rStyle w:val="10"/>
                <w:rFonts w:hint="eastAsia"/>
              </w:rPr>
              <w:t>登记证号：</w:t>
            </w:r>
            <w:r>
              <w:rPr>
                <w:rFonts w:hint="eastAsia"/>
              </w:rPr>
              <w:t>PD20151909</w:t>
            </w:r>
          </w:p>
        </w:tc>
      </w:tr>
      <w:tr w14:paraId="7C63DFD2">
        <w:tblPrEx>
          <w:tblCellMar>
            <w:top w:w="0" w:type="dxa"/>
            <w:left w:w="0" w:type="dxa"/>
            <w:bottom w:w="0" w:type="dxa"/>
            <w:right w:w="0" w:type="dxa"/>
          </w:tblCellMar>
        </w:tblPrEx>
        <w:trPr>
          <w:tblCellSpacing w:w="0" w:type="dxa"/>
        </w:trPr>
        <w:tc>
          <w:tcPr>
            <w:tcW w:w="0" w:type="auto"/>
            <w:vAlign w:val="center"/>
          </w:tcPr>
          <w:p w14:paraId="2CF5CACA">
            <w:r>
              <w:rPr>
                <w:rStyle w:val="10"/>
                <w:rFonts w:hint="eastAsia"/>
              </w:rPr>
              <w:t>登记证持有人：</w:t>
            </w:r>
            <w:r>
              <w:rPr>
                <w:rFonts w:hint="eastAsia"/>
              </w:rPr>
              <w:t>巴斯夫植物保护（江苏）有限公司</w:t>
            </w:r>
          </w:p>
        </w:tc>
      </w:tr>
      <w:tr w14:paraId="1CB61B14">
        <w:tblPrEx>
          <w:tblCellMar>
            <w:top w:w="0" w:type="dxa"/>
            <w:left w:w="0" w:type="dxa"/>
            <w:bottom w:w="0" w:type="dxa"/>
            <w:right w:w="0" w:type="dxa"/>
          </w:tblCellMar>
        </w:tblPrEx>
        <w:trPr>
          <w:tblCellSpacing w:w="0" w:type="dxa"/>
        </w:trPr>
        <w:tc>
          <w:tcPr>
            <w:tcW w:w="0" w:type="auto"/>
            <w:vAlign w:val="center"/>
          </w:tcPr>
          <w:p w14:paraId="03659919">
            <w:r>
              <w:rPr>
                <w:rStyle w:val="10"/>
                <w:rFonts w:hint="eastAsia"/>
              </w:rPr>
              <w:t>农药名称：</w:t>
            </w:r>
            <w:r>
              <w:rPr>
                <w:rFonts w:hint="eastAsia"/>
              </w:rPr>
              <w:t>2甲·灭草松</w:t>
            </w:r>
          </w:p>
        </w:tc>
      </w:tr>
      <w:tr w14:paraId="44BEC689">
        <w:tblPrEx>
          <w:tblCellMar>
            <w:top w:w="0" w:type="dxa"/>
            <w:left w:w="0" w:type="dxa"/>
            <w:bottom w:w="0" w:type="dxa"/>
            <w:right w:w="0" w:type="dxa"/>
          </w:tblCellMar>
        </w:tblPrEx>
        <w:trPr>
          <w:tblCellSpacing w:w="0" w:type="dxa"/>
        </w:trPr>
        <w:tc>
          <w:tcPr>
            <w:tcW w:w="0" w:type="auto"/>
            <w:vAlign w:val="center"/>
          </w:tcPr>
          <w:p w14:paraId="25F39150">
            <w:r>
              <w:rPr>
                <w:rStyle w:val="10"/>
                <w:rFonts w:hint="eastAsia"/>
              </w:rPr>
              <w:t>剂型：</w:t>
            </w:r>
            <w:r>
              <w:rPr>
                <w:rFonts w:hint="eastAsia"/>
              </w:rPr>
              <w:t>可溶液剂</w:t>
            </w:r>
          </w:p>
        </w:tc>
      </w:tr>
      <w:tr w14:paraId="572C64C7">
        <w:tblPrEx>
          <w:tblCellMar>
            <w:top w:w="0" w:type="dxa"/>
            <w:left w:w="0" w:type="dxa"/>
            <w:bottom w:w="0" w:type="dxa"/>
            <w:right w:w="0" w:type="dxa"/>
          </w:tblCellMar>
        </w:tblPrEx>
        <w:trPr>
          <w:tblCellSpacing w:w="0" w:type="dxa"/>
        </w:trPr>
        <w:tc>
          <w:tcPr>
            <w:tcW w:w="0" w:type="auto"/>
            <w:vAlign w:val="center"/>
          </w:tcPr>
          <w:p w14:paraId="7812784A">
            <w:r>
              <w:rPr>
                <w:rStyle w:val="10"/>
                <w:rFonts w:hint="eastAsia"/>
              </w:rPr>
              <w:t>毒性及其标识：</w:t>
            </w:r>
            <w:r>
              <w:rPr>
                <w:rFonts w:hint="eastAsia"/>
              </w:rPr>
              <w:t xml:space="preserve"> </w:t>
            </w:r>
            <w:r>
              <w:drawing>
                <wp:inline distT="0" distB="0" distL="0" distR="0">
                  <wp:extent cx="474345" cy="323850"/>
                  <wp:effectExtent l="0" t="0" r="1905"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7768707D">
        <w:tblPrEx>
          <w:tblCellMar>
            <w:top w:w="0" w:type="dxa"/>
            <w:left w:w="0" w:type="dxa"/>
            <w:bottom w:w="0" w:type="dxa"/>
            <w:right w:w="0" w:type="dxa"/>
          </w:tblCellMar>
        </w:tblPrEx>
        <w:trPr>
          <w:tblCellSpacing w:w="0" w:type="dxa"/>
        </w:trPr>
        <w:tc>
          <w:tcPr>
            <w:tcW w:w="0" w:type="auto"/>
            <w:vAlign w:val="center"/>
          </w:tcPr>
          <w:p w14:paraId="786833B7">
            <w:r>
              <w:rPr>
                <w:rStyle w:val="10"/>
                <w:rFonts w:hint="eastAsia"/>
              </w:rPr>
              <w:t>总有效成分含量：</w:t>
            </w:r>
            <w:r>
              <w:rPr>
                <w:rFonts w:hint="eastAsia"/>
              </w:rPr>
              <w:t>460克/升</w:t>
            </w:r>
          </w:p>
        </w:tc>
      </w:tr>
      <w:tr w14:paraId="0CFD142B">
        <w:tblPrEx>
          <w:tblCellMar>
            <w:top w:w="0" w:type="dxa"/>
            <w:left w:w="0" w:type="dxa"/>
            <w:bottom w:w="0" w:type="dxa"/>
            <w:right w:w="0" w:type="dxa"/>
          </w:tblCellMar>
        </w:tblPrEx>
        <w:trPr>
          <w:tblCellSpacing w:w="0" w:type="dxa"/>
        </w:trPr>
        <w:tc>
          <w:tcPr>
            <w:tcW w:w="0" w:type="auto"/>
            <w:vAlign w:val="center"/>
          </w:tcPr>
          <w:p w14:paraId="3ABDE662">
            <w:r>
              <w:rPr>
                <w:rFonts w:hint="eastAsia"/>
              </w:rPr>
              <w:t xml:space="preserve">有效成分及其含量： </w:t>
            </w:r>
          </w:p>
          <w:p w14:paraId="3AB1296E">
            <w:r>
              <w:rPr>
                <w:rFonts w:hint="eastAsia"/>
              </w:rPr>
              <w:t xml:space="preserve">    灭草松400克/升    2甲4氯60克/升    </w:t>
            </w:r>
          </w:p>
        </w:tc>
      </w:tr>
      <w:tr w14:paraId="2012B652">
        <w:tblPrEx>
          <w:tblCellMar>
            <w:top w:w="0" w:type="dxa"/>
            <w:left w:w="0" w:type="dxa"/>
            <w:bottom w:w="0" w:type="dxa"/>
            <w:right w:w="0" w:type="dxa"/>
          </w:tblCellMar>
        </w:tblPrEx>
        <w:trPr>
          <w:tblCellSpacing w:w="0" w:type="dxa"/>
        </w:trPr>
        <w:tc>
          <w:tcPr>
            <w:tcW w:w="0" w:type="auto"/>
            <w:vAlign w:val="center"/>
          </w:tcPr>
          <w:p w14:paraId="25D32BE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1429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A671C0">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862798">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69FFC9">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FB9214">
                  <w:r>
                    <w:rPr>
                      <w:rStyle w:val="11"/>
                      <w:rFonts w:hint="eastAsia"/>
                    </w:rPr>
                    <w:t>施用方式</w:t>
                  </w:r>
                </w:p>
              </w:tc>
            </w:tr>
            <w:tr w14:paraId="4B6299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CB5C71">
                  <w:r>
                    <w:rPr>
                      <w:rStyle w:val="11"/>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0EF50FED">
                  <w:r>
                    <w:rPr>
                      <w:rStyle w:val="11"/>
                      <w:rFonts w:hint="eastAsia"/>
                    </w:rPr>
                    <w:t>阔叶杂草及莎草科杂草</w:t>
                  </w:r>
                </w:p>
              </w:tc>
              <w:tc>
                <w:tcPr>
                  <w:tcW w:w="0" w:type="auto"/>
                  <w:tcBorders>
                    <w:top w:val="outset" w:color="auto" w:sz="6" w:space="0"/>
                    <w:left w:val="outset" w:color="auto" w:sz="6" w:space="0"/>
                    <w:bottom w:val="outset" w:color="auto" w:sz="6" w:space="0"/>
                    <w:right w:val="outset" w:color="auto" w:sz="6" w:space="0"/>
                  </w:tcBorders>
                  <w:vAlign w:val="center"/>
                </w:tcPr>
                <w:p w14:paraId="4F18FD2A">
                  <w:r>
                    <w:rPr>
                      <w:rStyle w:val="11"/>
                      <w:rFonts w:hint="eastAsia"/>
                    </w:rPr>
                    <w:t>133-167毫升/亩</w:t>
                  </w:r>
                </w:p>
              </w:tc>
              <w:tc>
                <w:tcPr>
                  <w:tcW w:w="0" w:type="auto"/>
                  <w:tcBorders>
                    <w:top w:val="outset" w:color="auto" w:sz="6" w:space="0"/>
                    <w:left w:val="outset" w:color="auto" w:sz="6" w:space="0"/>
                    <w:bottom w:val="outset" w:color="auto" w:sz="6" w:space="0"/>
                    <w:right w:val="outset" w:color="auto" w:sz="6" w:space="0"/>
                  </w:tcBorders>
                  <w:vAlign w:val="center"/>
                </w:tcPr>
                <w:p w14:paraId="4902FE82">
                  <w:r>
                    <w:rPr>
                      <w:rStyle w:val="11"/>
                      <w:rFonts w:hint="eastAsia"/>
                    </w:rPr>
                    <w:t>茎叶喷雾</w:t>
                  </w:r>
                </w:p>
              </w:tc>
            </w:tr>
            <w:tr w14:paraId="32934D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A0797B">
                  <w:r>
                    <w:rPr>
                      <w:rStyle w:val="11"/>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0CCB7ED6">
                  <w:r>
                    <w:rPr>
                      <w:rStyle w:val="11"/>
                      <w:rFonts w:hint="eastAsia"/>
                    </w:rPr>
                    <w:t>阔叶杂草及莎草科杂草</w:t>
                  </w:r>
                </w:p>
              </w:tc>
              <w:tc>
                <w:tcPr>
                  <w:tcW w:w="0" w:type="auto"/>
                  <w:tcBorders>
                    <w:top w:val="outset" w:color="auto" w:sz="6" w:space="0"/>
                    <w:left w:val="outset" w:color="auto" w:sz="6" w:space="0"/>
                    <w:bottom w:val="outset" w:color="auto" w:sz="6" w:space="0"/>
                    <w:right w:val="outset" w:color="auto" w:sz="6" w:space="0"/>
                  </w:tcBorders>
                  <w:vAlign w:val="center"/>
                </w:tcPr>
                <w:p w14:paraId="3F4374C3">
                  <w:r>
                    <w:rPr>
                      <w:rStyle w:val="11"/>
                      <w:rFonts w:hint="eastAsia"/>
                    </w:rPr>
                    <w:t>133-167毫升/亩</w:t>
                  </w:r>
                </w:p>
              </w:tc>
              <w:tc>
                <w:tcPr>
                  <w:tcW w:w="0" w:type="auto"/>
                  <w:tcBorders>
                    <w:top w:val="outset" w:color="auto" w:sz="6" w:space="0"/>
                    <w:left w:val="outset" w:color="auto" w:sz="6" w:space="0"/>
                    <w:bottom w:val="outset" w:color="auto" w:sz="6" w:space="0"/>
                    <w:right w:val="outset" w:color="auto" w:sz="6" w:space="0"/>
                  </w:tcBorders>
                  <w:vAlign w:val="center"/>
                </w:tcPr>
                <w:p w14:paraId="28E3E201">
                  <w:r>
                    <w:rPr>
                      <w:rStyle w:val="11"/>
                      <w:rFonts w:hint="eastAsia"/>
                    </w:rPr>
                    <w:t>茎叶喷雾</w:t>
                  </w:r>
                </w:p>
              </w:tc>
            </w:tr>
          </w:tbl>
          <w:p w14:paraId="472FFE0E">
            <w:pPr>
              <w:rPr>
                <w:rFonts w:ascii="Times New Roman" w:hAnsi="Times New Roman" w:cs="Times New Roman"/>
                <w:sz w:val="20"/>
                <w:szCs w:val="20"/>
              </w:rPr>
            </w:pPr>
          </w:p>
        </w:tc>
      </w:tr>
      <w:tr w14:paraId="17A050F9">
        <w:tblPrEx>
          <w:tblCellMar>
            <w:top w:w="0" w:type="dxa"/>
            <w:left w:w="0" w:type="dxa"/>
            <w:bottom w:w="0" w:type="dxa"/>
            <w:right w:w="0" w:type="dxa"/>
          </w:tblCellMar>
        </w:tblPrEx>
        <w:trPr>
          <w:tblCellSpacing w:w="0" w:type="dxa"/>
        </w:trPr>
        <w:tc>
          <w:tcPr>
            <w:tcW w:w="0" w:type="auto"/>
            <w:vAlign w:val="center"/>
          </w:tcPr>
          <w:p w14:paraId="31A266DC">
            <w:r>
              <w:rPr>
                <w:rStyle w:val="10"/>
                <w:rFonts w:hint="eastAsia"/>
              </w:rPr>
              <w:t>使用技术要求:</w:t>
            </w:r>
            <w:r>
              <w:rPr>
                <w:rFonts w:hint="eastAsia"/>
              </w:rPr>
              <w:br w:type="textWrapping"/>
            </w:r>
            <w:r>
              <w:rPr>
                <w:rStyle w:val="11"/>
                <w:rFonts w:hint="eastAsia"/>
              </w:rPr>
              <w:t>按标签推荐使用 2甲·灭草松可防治以下杂草：水稻移栽田和直播田的各类莎草科杂草，野慈菇，泽泻，苹，鸭舌草，及其它30多种阔叶杂草。 稻田应在早上无风或微风条件下施药后可更有效，施药后6小时内降雨会降低药效，避免在稻苗细弱时施药。 2甲·灭草松是苗后叶面处理除草剂，施用时要避免在直播水稻4叶期前施用；在稻田杂草防除时，应在杂草生长旺盛期， 即2-5叶期进行喷雾施药效果最好，确保杂草完全湿润即可发挥最大药效。每季最多使用1次。</w:t>
            </w:r>
          </w:p>
        </w:tc>
      </w:tr>
      <w:tr w14:paraId="768592BE">
        <w:tblPrEx>
          <w:tblCellMar>
            <w:top w:w="0" w:type="dxa"/>
            <w:left w:w="0" w:type="dxa"/>
            <w:bottom w:w="0" w:type="dxa"/>
            <w:right w:w="0" w:type="dxa"/>
          </w:tblCellMar>
        </w:tblPrEx>
        <w:trPr>
          <w:tblCellSpacing w:w="0" w:type="dxa"/>
        </w:trPr>
        <w:tc>
          <w:tcPr>
            <w:tcW w:w="0" w:type="auto"/>
            <w:vAlign w:val="center"/>
          </w:tcPr>
          <w:p w14:paraId="4D34ADE8">
            <w:r>
              <w:rPr>
                <w:rStyle w:val="10"/>
                <w:rFonts w:hint="eastAsia"/>
              </w:rPr>
              <w:t>产品性能:</w:t>
            </w:r>
            <w:r>
              <w:rPr>
                <w:rFonts w:hint="eastAsia"/>
              </w:rPr>
              <w:br w:type="textWrapping"/>
            </w:r>
            <w:r>
              <w:rPr>
                <w:rStyle w:val="11"/>
                <w:rFonts w:hint="eastAsia"/>
              </w:rPr>
              <w:t>2甲·灭草松是采用两种有效的莎草和阔叶除草剂经配方筛选后混制而成，对水田的恶性莎草科（特别是三棱草）及阔叶杂草有很好的防除效果。此产品是苗后茎叶处理除草剂，施用时要避免在直播水稻4叶期前施用；在杂草生长旺盛期， 即2-5叶期进行喷雾施药效果最好，确保杂草完全湿润即可发挥最大药效。</w:t>
            </w:r>
          </w:p>
        </w:tc>
      </w:tr>
      <w:tr w14:paraId="4E4BB720">
        <w:tblPrEx>
          <w:tblCellMar>
            <w:top w:w="0" w:type="dxa"/>
            <w:left w:w="0" w:type="dxa"/>
            <w:bottom w:w="0" w:type="dxa"/>
            <w:right w:w="0" w:type="dxa"/>
          </w:tblCellMar>
        </w:tblPrEx>
        <w:trPr>
          <w:tblCellSpacing w:w="0" w:type="dxa"/>
        </w:trPr>
        <w:tc>
          <w:tcPr>
            <w:tcW w:w="0" w:type="auto"/>
            <w:vAlign w:val="center"/>
          </w:tcPr>
          <w:p w14:paraId="74EDE9D9">
            <w:r>
              <w:rPr>
                <w:rStyle w:val="10"/>
                <w:rFonts w:hint="eastAsia"/>
              </w:rPr>
              <w:t>注意事项：</w:t>
            </w:r>
            <w:r>
              <w:rPr>
                <w:rFonts w:hint="eastAsia"/>
              </w:rPr>
              <w:br w:type="textWrapping"/>
            </w:r>
            <w:r>
              <w:rPr>
                <w:rStyle w:val="11"/>
                <w:rFonts w:hint="eastAsia"/>
              </w:rPr>
              <w:t>1、施药时穿防护服、戴眼镜、手套等防护用品。此过程中，不能吃东西、饮水、吸烟等。施药后用清水及肥皂清洗手脸等。 2、施药时避免药液漂移到敏感作物田。 3、水产养殖区、河塘等水体附近禁用，清洗器具的废水不能排入河流、池塘等水源。废弃物要妥善处理，不能乱丢乱放，也不能做它用。 4、避免孕妇及哺乳期的妇女接触。</w:t>
            </w:r>
          </w:p>
        </w:tc>
      </w:tr>
      <w:tr w14:paraId="598C1BE6">
        <w:tblPrEx>
          <w:tblCellMar>
            <w:top w:w="0" w:type="dxa"/>
            <w:left w:w="0" w:type="dxa"/>
            <w:bottom w:w="0" w:type="dxa"/>
            <w:right w:w="0" w:type="dxa"/>
          </w:tblCellMar>
        </w:tblPrEx>
        <w:trPr>
          <w:tblCellSpacing w:w="0" w:type="dxa"/>
        </w:trPr>
        <w:tc>
          <w:tcPr>
            <w:tcW w:w="0" w:type="auto"/>
            <w:vAlign w:val="center"/>
          </w:tcPr>
          <w:p w14:paraId="503EDD6A">
            <w:r>
              <w:rPr>
                <w:rStyle w:val="10"/>
                <w:rFonts w:hint="eastAsia"/>
              </w:rPr>
              <w:t>中毒急救措施：</w:t>
            </w:r>
            <w:r>
              <w:rPr>
                <w:rFonts w:hint="eastAsia"/>
              </w:rPr>
              <w:br w:type="textWrapping"/>
            </w:r>
            <w:r>
              <w:rPr>
                <w:rStyle w:val="11"/>
                <w:rFonts w:hint="eastAsia"/>
              </w:rPr>
              <w:t>对眼睛和皮肤可能引起敏感，如接触时，立刻用大量清水洗涤沾污的皮肤；溅入眼睛中，立即用清水冲洗至少15分钟；不慎误食或吞服药液，应立即引吐及服食医用活性炭，请勿食用促进吸收本品的食物如脂肪（牛奶，蓖麻油）、酒类等。保持空气流通。若昏迷不醒，请侧卧；若停止呼吸，请使用人工呼吸措施。若感不适，应立即携此标签求医，不要拖延治疗。医生使用去污染，口服后给清水洗胃，洗胃时应防止呕吐物吸入肺，维持生命体征。注意中枢神经系统症状。对症治疗。目前无特效解毒剂。</w:t>
            </w:r>
          </w:p>
        </w:tc>
      </w:tr>
      <w:tr w14:paraId="4E14838A">
        <w:tblPrEx>
          <w:tblCellMar>
            <w:top w:w="0" w:type="dxa"/>
            <w:left w:w="0" w:type="dxa"/>
            <w:bottom w:w="0" w:type="dxa"/>
            <w:right w:w="0" w:type="dxa"/>
          </w:tblCellMar>
        </w:tblPrEx>
        <w:trPr>
          <w:tblCellSpacing w:w="0" w:type="dxa"/>
        </w:trPr>
        <w:tc>
          <w:tcPr>
            <w:tcW w:w="0" w:type="auto"/>
            <w:vAlign w:val="center"/>
          </w:tcPr>
          <w:p w14:paraId="531334F2">
            <w:r>
              <w:rPr>
                <w:rStyle w:val="10"/>
                <w:rFonts w:hint="eastAsia"/>
              </w:rPr>
              <w:t>储存和运输方法：</w:t>
            </w:r>
            <w:r>
              <w:rPr>
                <w:rFonts w:hint="eastAsia"/>
              </w:rPr>
              <w:br w:type="textWrapping"/>
            </w:r>
            <w:r>
              <w:rPr>
                <w:rStyle w:val="11"/>
                <w:rFonts w:hint="eastAsia"/>
              </w:rPr>
              <w:t>储存在阴凉、通风干燥处，远离火源、热源及儿童存放，并加锁。不能与种子、化肥、饮料、食物等同储同运。</w:t>
            </w:r>
          </w:p>
        </w:tc>
      </w:tr>
      <w:tr w14:paraId="61AC3494">
        <w:tblPrEx>
          <w:tblCellMar>
            <w:top w:w="0" w:type="dxa"/>
            <w:left w:w="0" w:type="dxa"/>
            <w:bottom w:w="0" w:type="dxa"/>
            <w:right w:w="0" w:type="dxa"/>
          </w:tblCellMar>
        </w:tblPrEx>
        <w:trPr>
          <w:tblCellSpacing w:w="0" w:type="dxa"/>
        </w:trPr>
        <w:tc>
          <w:tcPr>
            <w:tcW w:w="0" w:type="auto"/>
            <w:vAlign w:val="center"/>
          </w:tcPr>
          <w:p w14:paraId="079405BF">
            <w:r>
              <w:rPr>
                <w:rStyle w:val="10"/>
                <w:rFonts w:hint="eastAsia"/>
              </w:rPr>
              <w:t>质量保证期：</w:t>
            </w:r>
            <w:r>
              <w:rPr>
                <w:rStyle w:val="11"/>
                <w:rFonts w:hint="eastAsia"/>
              </w:rPr>
              <w:t>2年</w:t>
            </w:r>
          </w:p>
        </w:tc>
      </w:tr>
      <w:tr w14:paraId="4E48D750">
        <w:tblPrEx>
          <w:tblCellMar>
            <w:top w:w="0" w:type="dxa"/>
            <w:left w:w="0" w:type="dxa"/>
            <w:bottom w:w="0" w:type="dxa"/>
            <w:right w:w="0" w:type="dxa"/>
          </w:tblCellMar>
        </w:tblPrEx>
        <w:trPr>
          <w:tblCellSpacing w:w="0" w:type="dxa"/>
        </w:trPr>
        <w:tc>
          <w:tcPr>
            <w:tcW w:w="0" w:type="auto"/>
            <w:vAlign w:val="center"/>
          </w:tcPr>
          <w:p w14:paraId="5811D2F3">
            <w:r>
              <w:rPr>
                <w:rStyle w:val="10"/>
                <w:rFonts w:hint="eastAsia"/>
              </w:rPr>
              <w:t>备注：</w:t>
            </w:r>
          </w:p>
        </w:tc>
      </w:tr>
    </w:tbl>
    <w:p w14:paraId="1FA5E25F">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C73B397">
        <w:tblPrEx>
          <w:tblCellMar>
            <w:top w:w="0" w:type="dxa"/>
            <w:left w:w="0" w:type="dxa"/>
            <w:bottom w:w="0" w:type="dxa"/>
            <w:right w:w="0" w:type="dxa"/>
          </w:tblCellMar>
        </w:tblPrEx>
        <w:trPr>
          <w:tblCellSpacing w:w="0" w:type="dxa"/>
        </w:trPr>
        <w:tc>
          <w:tcPr>
            <w:tcW w:w="0" w:type="auto"/>
            <w:vAlign w:val="center"/>
          </w:tcPr>
          <w:p w14:paraId="5CEDBA4E">
            <w:r>
              <w:rPr>
                <w:rStyle w:val="10"/>
                <w:rFonts w:hint="eastAsia"/>
              </w:rPr>
              <w:t>登记证号：</w:t>
            </w:r>
            <w:r>
              <w:rPr>
                <w:rFonts w:hint="eastAsia"/>
              </w:rPr>
              <w:t>PD20160171</w:t>
            </w:r>
          </w:p>
        </w:tc>
      </w:tr>
      <w:tr w14:paraId="4550DF95">
        <w:tblPrEx>
          <w:tblCellMar>
            <w:top w:w="0" w:type="dxa"/>
            <w:left w:w="0" w:type="dxa"/>
            <w:bottom w:w="0" w:type="dxa"/>
            <w:right w:w="0" w:type="dxa"/>
          </w:tblCellMar>
        </w:tblPrEx>
        <w:trPr>
          <w:tblCellSpacing w:w="0" w:type="dxa"/>
        </w:trPr>
        <w:tc>
          <w:tcPr>
            <w:tcW w:w="0" w:type="auto"/>
            <w:vAlign w:val="center"/>
          </w:tcPr>
          <w:p w14:paraId="4717C718">
            <w:r>
              <w:rPr>
                <w:rStyle w:val="10"/>
                <w:rFonts w:hint="eastAsia"/>
              </w:rPr>
              <w:t>登记证持有人：</w:t>
            </w:r>
            <w:r>
              <w:rPr>
                <w:rFonts w:hint="eastAsia"/>
              </w:rPr>
              <w:t>迈克斯（如东）化工有限公司</w:t>
            </w:r>
          </w:p>
        </w:tc>
      </w:tr>
      <w:tr w14:paraId="78DDF627">
        <w:tblPrEx>
          <w:tblCellMar>
            <w:top w:w="0" w:type="dxa"/>
            <w:left w:w="0" w:type="dxa"/>
            <w:bottom w:w="0" w:type="dxa"/>
            <w:right w:w="0" w:type="dxa"/>
          </w:tblCellMar>
        </w:tblPrEx>
        <w:trPr>
          <w:tblCellSpacing w:w="0" w:type="dxa"/>
        </w:trPr>
        <w:tc>
          <w:tcPr>
            <w:tcW w:w="0" w:type="auto"/>
            <w:vAlign w:val="center"/>
          </w:tcPr>
          <w:p w14:paraId="483D1EB1">
            <w:r>
              <w:rPr>
                <w:rStyle w:val="10"/>
                <w:rFonts w:hint="eastAsia"/>
              </w:rPr>
              <w:t>农药名称：</w:t>
            </w:r>
            <w:r>
              <w:rPr>
                <w:rFonts w:hint="eastAsia"/>
              </w:rPr>
              <w:t>抗倒酯</w:t>
            </w:r>
          </w:p>
        </w:tc>
      </w:tr>
      <w:tr w14:paraId="49BE1351">
        <w:tblPrEx>
          <w:tblCellMar>
            <w:top w:w="0" w:type="dxa"/>
            <w:left w:w="0" w:type="dxa"/>
            <w:bottom w:w="0" w:type="dxa"/>
            <w:right w:w="0" w:type="dxa"/>
          </w:tblCellMar>
        </w:tblPrEx>
        <w:trPr>
          <w:tblCellSpacing w:w="0" w:type="dxa"/>
        </w:trPr>
        <w:tc>
          <w:tcPr>
            <w:tcW w:w="0" w:type="auto"/>
            <w:vAlign w:val="center"/>
          </w:tcPr>
          <w:p w14:paraId="49BC4FAC">
            <w:r>
              <w:rPr>
                <w:rStyle w:val="10"/>
                <w:rFonts w:hint="eastAsia"/>
              </w:rPr>
              <w:t>剂型：</w:t>
            </w:r>
            <w:r>
              <w:rPr>
                <w:rFonts w:hint="eastAsia"/>
              </w:rPr>
              <w:t>乳油</w:t>
            </w:r>
          </w:p>
        </w:tc>
      </w:tr>
      <w:tr w14:paraId="1B581F2A">
        <w:tblPrEx>
          <w:tblCellMar>
            <w:top w:w="0" w:type="dxa"/>
            <w:left w:w="0" w:type="dxa"/>
            <w:bottom w:w="0" w:type="dxa"/>
            <w:right w:w="0" w:type="dxa"/>
          </w:tblCellMar>
        </w:tblPrEx>
        <w:trPr>
          <w:tblCellSpacing w:w="0" w:type="dxa"/>
        </w:trPr>
        <w:tc>
          <w:tcPr>
            <w:tcW w:w="0" w:type="auto"/>
            <w:vAlign w:val="center"/>
          </w:tcPr>
          <w:p w14:paraId="56DCCED4">
            <w:r>
              <w:rPr>
                <w:rStyle w:val="10"/>
                <w:rFonts w:hint="eastAsia"/>
              </w:rPr>
              <w:t>毒性及其标识：</w:t>
            </w:r>
            <w:r>
              <w:rPr>
                <w:rFonts w:hint="eastAsia"/>
              </w:rPr>
              <w:t xml:space="preserve"> </w:t>
            </w:r>
            <w:r>
              <w:drawing>
                <wp:inline distT="0" distB="0" distL="0" distR="0">
                  <wp:extent cx="474345" cy="323850"/>
                  <wp:effectExtent l="0" t="0" r="1905"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0DD12485">
        <w:tblPrEx>
          <w:tblCellMar>
            <w:top w:w="0" w:type="dxa"/>
            <w:left w:w="0" w:type="dxa"/>
            <w:bottom w:w="0" w:type="dxa"/>
            <w:right w:w="0" w:type="dxa"/>
          </w:tblCellMar>
        </w:tblPrEx>
        <w:trPr>
          <w:tblCellSpacing w:w="0" w:type="dxa"/>
        </w:trPr>
        <w:tc>
          <w:tcPr>
            <w:tcW w:w="0" w:type="auto"/>
            <w:vAlign w:val="center"/>
          </w:tcPr>
          <w:p w14:paraId="041E5A4E">
            <w:r>
              <w:rPr>
                <w:rStyle w:val="10"/>
                <w:rFonts w:hint="eastAsia"/>
              </w:rPr>
              <w:t>总有效成分含量：</w:t>
            </w:r>
            <w:r>
              <w:rPr>
                <w:rFonts w:hint="eastAsia"/>
              </w:rPr>
              <w:t>250</w:t>
            </w:r>
          </w:p>
        </w:tc>
      </w:tr>
      <w:tr w14:paraId="7A2C800C">
        <w:tblPrEx>
          <w:tblCellMar>
            <w:top w:w="0" w:type="dxa"/>
            <w:left w:w="0" w:type="dxa"/>
            <w:bottom w:w="0" w:type="dxa"/>
            <w:right w:w="0" w:type="dxa"/>
          </w:tblCellMar>
        </w:tblPrEx>
        <w:trPr>
          <w:tblCellSpacing w:w="0" w:type="dxa"/>
        </w:trPr>
        <w:tc>
          <w:tcPr>
            <w:tcW w:w="0" w:type="auto"/>
            <w:vAlign w:val="center"/>
          </w:tcPr>
          <w:p w14:paraId="2BA238E4">
            <w:r>
              <w:rPr>
                <w:rFonts w:hint="eastAsia"/>
              </w:rPr>
              <w:t xml:space="preserve">有效成分及其含量： </w:t>
            </w:r>
          </w:p>
          <w:p w14:paraId="7FD452C4">
            <w:r>
              <w:rPr>
                <w:rFonts w:hint="eastAsia"/>
              </w:rPr>
              <w:t xml:space="preserve">    抗倒酯250克/升    </w:t>
            </w:r>
          </w:p>
        </w:tc>
      </w:tr>
      <w:tr w14:paraId="01B047C6">
        <w:tblPrEx>
          <w:tblCellMar>
            <w:top w:w="0" w:type="dxa"/>
            <w:left w:w="0" w:type="dxa"/>
            <w:bottom w:w="0" w:type="dxa"/>
            <w:right w:w="0" w:type="dxa"/>
          </w:tblCellMar>
        </w:tblPrEx>
        <w:trPr>
          <w:tblCellSpacing w:w="0" w:type="dxa"/>
        </w:trPr>
        <w:tc>
          <w:tcPr>
            <w:tcW w:w="0" w:type="auto"/>
            <w:vAlign w:val="center"/>
          </w:tcPr>
          <w:p w14:paraId="099CA41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96C3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FF967B">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A9BF7E">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CE7601">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66A91CD">
                  <w:r>
                    <w:rPr>
                      <w:rStyle w:val="11"/>
                      <w:rFonts w:hint="eastAsia"/>
                    </w:rPr>
                    <w:t>施用方式</w:t>
                  </w:r>
                </w:p>
              </w:tc>
            </w:tr>
            <w:tr w14:paraId="76B35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EACB64">
                  <w:r>
                    <w:rPr>
                      <w:rStyle w:val="11"/>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037445FD">
                  <w:r>
                    <w:rPr>
                      <w:rStyle w:val="11"/>
                      <w:rFonts w:hint="eastAsia"/>
                    </w:rPr>
                    <w:t>防止倒伏</w:t>
                  </w:r>
                </w:p>
              </w:tc>
              <w:tc>
                <w:tcPr>
                  <w:tcW w:w="0" w:type="auto"/>
                  <w:tcBorders>
                    <w:top w:val="outset" w:color="auto" w:sz="6" w:space="0"/>
                    <w:left w:val="outset" w:color="auto" w:sz="6" w:space="0"/>
                    <w:bottom w:val="outset" w:color="auto" w:sz="6" w:space="0"/>
                    <w:right w:val="outset" w:color="auto" w:sz="6" w:space="0"/>
                  </w:tcBorders>
                  <w:vAlign w:val="center"/>
                </w:tcPr>
                <w:p w14:paraId="48C29DDE">
                  <w:r>
                    <w:rPr>
                      <w:rStyle w:val="11"/>
                      <w:rFonts w:hint="eastAsia"/>
                    </w:rPr>
                    <w:t>20-33.3毫升/亩</w:t>
                  </w:r>
                </w:p>
              </w:tc>
              <w:tc>
                <w:tcPr>
                  <w:tcW w:w="0" w:type="auto"/>
                  <w:tcBorders>
                    <w:top w:val="outset" w:color="auto" w:sz="6" w:space="0"/>
                    <w:left w:val="outset" w:color="auto" w:sz="6" w:space="0"/>
                    <w:bottom w:val="outset" w:color="auto" w:sz="6" w:space="0"/>
                    <w:right w:val="outset" w:color="auto" w:sz="6" w:space="0"/>
                  </w:tcBorders>
                  <w:vAlign w:val="center"/>
                </w:tcPr>
                <w:p w14:paraId="19CB69A1">
                  <w:r>
                    <w:rPr>
                      <w:rStyle w:val="11"/>
                      <w:rFonts w:hint="eastAsia"/>
                    </w:rPr>
                    <w:t>喷雾</w:t>
                  </w:r>
                </w:p>
              </w:tc>
            </w:tr>
            <w:tr w14:paraId="3231A7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40F11E">
                  <w:r>
                    <w:rPr>
                      <w:rStyle w:val="11"/>
                      <w:rFonts w:hint="eastAsia"/>
                    </w:rPr>
                    <w:t>高羊茅草坪</w:t>
                  </w:r>
                </w:p>
              </w:tc>
              <w:tc>
                <w:tcPr>
                  <w:tcW w:w="0" w:type="auto"/>
                  <w:tcBorders>
                    <w:top w:val="outset" w:color="auto" w:sz="6" w:space="0"/>
                    <w:left w:val="outset" w:color="auto" w:sz="6" w:space="0"/>
                    <w:bottom w:val="outset" w:color="auto" w:sz="6" w:space="0"/>
                    <w:right w:val="outset" w:color="auto" w:sz="6" w:space="0"/>
                  </w:tcBorders>
                  <w:vAlign w:val="center"/>
                </w:tcPr>
                <w:p w14:paraId="7777991F">
                  <w:r>
                    <w:rPr>
                      <w:rStyle w:val="11"/>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11A111D8">
                  <w:r>
                    <w:rPr>
                      <w:rStyle w:val="11"/>
                      <w:rFonts w:hint="eastAsia"/>
                    </w:rPr>
                    <w:t>70-100毫升/亩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6515F16E">
                  <w:r>
                    <w:rPr>
                      <w:rStyle w:val="11"/>
                      <w:rFonts w:hint="eastAsia"/>
                    </w:rPr>
                    <w:t>喷雾</w:t>
                  </w:r>
                </w:p>
              </w:tc>
            </w:tr>
          </w:tbl>
          <w:p w14:paraId="17B525FC">
            <w:pPr>
              <w:rPr>
                <w:rFonts w:ascii="Times New Roman" w:hAnsi="Times New Roman" w:cs="Times New Roman"/>
                <w:sz w:val="20"/>
                <w:szCs w:val="20"/>
              </w:rPr>
            </w:pPr>
          </w:p>
        </w:tc>
      </w:tr>
      <w:tr w14:paraId="3367B5AD">
        <w:trPr>
          <w:tblCellSpacing w:w="0" w:type="dxa"/>
        </w:trPr>
        <w:tc>
          <w:tcPr>
            <w:tcW w:w="0" w:type="auto"/>
            <w:vAlign w:val="center"/>
          </w:tcPr>
          <w:p w14:paraId="5B27C202">
            <w:r>
              <w:rPr>
                <w:rStyle w:val="10"/>
                <w:rFonts w:hint="eastAsia"/>
              </w:rPr>
              <w:t>使用技术要求:</w:t>
            </w:r>
            <w:r>
              <w:rPr>
                <w:rFonts w:hint="eastAsia"/>
              </w:rPr>
              <w:br w:type="textWrapping"/>
            </w:r>
            <w:r>
              <w:rPr>
                <w:rStyle w:val="11"/>
                <w:rFonts w:hint="eastAsia"/>
              </w:rPr>
              <w:t>在小麦分蘖期至拔节期进行叶面喷雾处理1次。每季作物最多使用1次。调节高羊茅草坪的生长，按推荐剂量，用足够量的清水稀释，均匀茎叶喷雾。1.必须在健壮、有活力的高羊茅草坪上使用。2.不同草坪安全性有差异，初次使用本品，建议先在目标草坪上用较低剂量做预试验，确定无药害后再大面积推广应用。3.本品对低修剪高度的草坪有较大的抑制作用，可根据草坪的修剪高度，选择恰当的施用剂量。因本品可长期延缓草坪草直立生长，在修剪后1-3天内施用本品，亩用药兑水40-50千克稀释，施用后4小时内请勿进行修剪作业。4.草坪因逆境胁迫（高温、低温或干旱等）而进入休眠状态时，请降低本品的使用剂量；草坪草生长旺盛季节，旨在减少修剪频率者可多次施用本品。5.请勿在灌溉系统中使用。</w:t>
            </w:r>
          </w:p>
        </w:tc>
      </w:tr>
      <w:tr w14:paraId="6C459FD3">
        <w:tblPrEx>
          <w:tblCellMar>
            <w:top w:w="0" w:type="dxa"/>
            <w:left w:w="0" w:type="dxa"/>
            <w:bottom w:w="0" w:type="dxa"/>
            <w:right w:w="0" w:type="dxa"/>
          </w:tblCellMar>
        </w:tblPrEx>
        <w:trPr>
          <w:tblCellSpacing w:w="0" w:type="dxa"/>
        </w:trPr>
        <w:tc>
          <w:tcPr>
            <w:tcW w:w="0" w:type="auto"/>
            <w:vAlign w:val="center"/>
          </w:tcPr>
          <w:p w14:paraId="37EF5B89">
            <w:r>
              <w:rPr>
                <w:rStyle w:val="10"/>
                <w:rFonts w:hint="eastAsia"/>
              </w:rPr>
              <w:t>产品性能:</w:t>
            </w:r>
            <w:r>
              <w:rPr>
                <w:rFonts w:hint="eastAsia"/>
              </w:rPr>
              <w:br w:type="textWrapping"/>
            </w:r>
            <w:r>
              <w:rPr>
                <w:rStyle w:val="11"/>
                <w:rFonts w:hint="eastAsia"/>
              </w:rPr>
              <w:t>1.本品属于环己烷羧酸类植物生长调节剂，是赤霉素生物合成抑制剂，通过降低赤霉素的含量，控制作物旺长。2. 药剂可被植物茎、叶迅速吸收并传导，通过降低株高、增加茎杆强度、促进根系发达来防止小麦倒伏。</w:t>
            </w:r>
          </w:p>
        </w:tc>
      </w:tr>
      <w:tr w14:paraId="3ED03772">
        <w:tblPrEx>
          <w:tblCellMar>
            <w:top w:w="0" w:type="dxa"/>
            <w:left w:w="0" w:type="dxa"/>
            <w:bottom w:w="0" w:type="dxa"/>
            <w:right w:w="0" w:type="dxa"/>
          </w:tblCellMar>
        </w:tblPrEx>
        <w:trPr>
          <w:tblCellSpacing w:w="0" w:type="dxa"/>
        </w:trPr>
        <w:tc>
          <w:tcPr>
            <w:tcW w:w="0" w:type="auto"/>
            <w:vAlign w:val="center"/>
          </w:tcPr>
          <w:p w14:paraId="63F94FE2">
            <w:r>
              <w:rPr>
                <w:rStyle w:val="10"/>
                <w:rFonts w:hint="eastAsia"/>
              </w:rPr>
              <w:t>注意事项：</w:t>
            </w:r>
            <w:r>
              <w:rPr>
                <w:rFonts w:hint="eastAsia"/>
              </w:rPr>
              <w:br w:type="textWrapping"/>
            </w:r>
            <w:r>
              <w:rPr>
                <w:rStyle w:val="11"/>
                <w:rFonts w:hint="eastAsia"/>
              </w:rPr>
              <w:t>1.使用时应穿长衣长裤、靴子，戴帽子、护目镜、口罩、手套等防护用具；施药期间不可吃东西、饮水、吸烟等；施药后应及时洗手、洗脸并洗涤施药时穿着的衣物。2.禁止在河塘等水体中清洗施药器具。药后及时彻底清洗药械，药品废弃物切勿污染水源。 3. 用过的容器应妥善处理，不可做他用，也不可随意丢弃。4. 避免孕妇及哺乳期的妇女接触。</w:t>
            </w:r>
          </w:p>
        </w:tc>
      </w:tr>
      <w:tr w14:paraId="4093FD14">
        <w:tblPrEx>
          <w:tblCellMar>
            <w:top w:w="0" w:type="dxa"/>
            <w:left w:w="0" w:type="dxa"/>
            <w:bottom w:w="0" w:type="dxa"/>
            <w:right w:w="0" w:type="dxa"/>
          </w:tblCellMar>
        </w:tblPrEx>
        <w:trPr>
          <w:tblCellSpacing w:w="0" w:type="dxa"/>
        </w:trPr>
        <w:tc>
          <w:tcPr>
            <w:tcW w:w="0" w:type="auto"/>
            <w:vAlign w:val="center"/>
          </w:tcPr>
          <w:p w14:paraId="2D1A8CEA">
            <w:r>
              <w:rPr>
                <w:rStyle w:val="10"/>
                <w:rFonts w:hint="eastAsia"/>
              </w:rPr>
              <w:t>中毒急救措施：</w:t>
            </w:r>
            <w:r>
              <w:rPr>
                <w:rFonts w:hint="eastAsia"/>
              </w:rPr>
              <w:br w:type="textWrapping"/>
            </w:r>
            <w:r>
              <w:rPr>
                <w:rStyle w:val="11"/>
                <w:rFonts w:hint="eastAsia"/>
              </w:rPr>
              <w:t>中毒症状：按标签推荐方法使用，一旦发生中毒，请对症治疗。中毒急救： 1. 用药时如果感觉不适，立即停止工作，并携此标签送医院就诊。 2. 皮肤接触：立即脱掉被污染的衣物，用大量清水冲洗被污染的皮肤，必要时请医生诊治。 3. 眼睛溅药：立即将眼睑翻开，用清水冲洗至少15分钟，迅速请医生诊治。 4. 吸入：立即将吸入者转移到空气新鲜处，如果吸入者停止呼吸，需进行人工呼吸，注意保暖和休息，立即拨打紧急救助电话，请医生诊治。 5. 误服：勿引吐，立即携带标签，送医院就诊。使用医用活性炭洗胃，注意防止胃容物进入呼吸道。对昏迷病人，切勿经口喂入任何东西或引吐。解毒剂：无专用解毒剂，对症治疗。</w:t>
            </w:r>
          </w:p>
        </w:tc>
      </w:tr>
      <w:tr w14:paraId="7D32CE75">
        <w:tblPrEx>
          <w:tblCellMar>
            <w:top w:w="0" w:type="dxa"/>
            <w:left w:w="0" w:type="dxa"/>
            <w:bottom w:w="0" w:type="dxa"/>
            <w:right w:w="0" w:type="dxa"/>
          </w:tblCellMar>
        </w:tblPrEx>
        <w:trPr>
          <w:tblCellSpacing w:w="0" w:type="dxa"/>
        </w:trPr>
        <w:tc>
          <w:tcPr>
            <w:tcW w:w="0" w:type="auto"/>
            <w:vAlign w:val="center"/>
          </w:tcPr>
          <w:p w14:paraId="6659D987">
            <w:r>
              <w:rPr>
                <w:rStyle w:val="10"/>
                <w:rFonts w:hint="eastAsia"/>
              </w:rPr>
              <w:t>储存和运输方法：</w:t>
            </w:r>
            <w:r>
              <w:rPr>
                <w:rFonts w:hint="eastAsia"/>
              </w:rPr>
              <w:br w:type="textWrapping"/>
            </w:r>
            <w:r>
              <w:rPr>
                <w:rStyle w:val="11"/>
                <w:rFonts w:hint="eastAsia"/>
              </w:rPr>
              <w:t>1.本品应贮藏在避光、干燥、通风处。运输时应注意避光、防高温、雨淋。贮藏温度应避免低于-5℃或高于35℃。贮藏时应注意防火，远离火源或热源。2.勿与食物、饮料、粮食、饲料、种子、化肥等混合储运。3.置于儿童、无关人员和动物触及不到的地方，并加锁保存。4.产品码放高度不宜超过2米，以免损坏包装。</w:t>
            </w:r>
          </w:p>
        </w:tc>
      </w:tr>
      <w:tr w14:paraId="71F6DCB4">
        <w:tblPrEx>
          <w:tblCellMar>
            <w:top w:w="0" w:type="dxa"/>
            <w:left w:w="0" w:type="dxa"/>
            <w:bottom w:w="0" w:type="dxa"/>
            <w:right w:w="0" w:type="dxa"/>
          </w:tblCellMar>
        </w:tblPrEx>
        <w:trPr>
          <w:tblCellSpacing w:w="0" w:type="dxa"/>
        </w:trPr>
        <w:tc>
          <w:tcPr>
            <w:tcW w:w="0" w:type="auto"/>
            <w:vAlign w:val="center"/>
          </w:tcPr>
          <w:p w14:paraId="03C60B8C">
            <w:r>
              <w:rPr>
                <w:rStyle w:val="10"/>
                <w:rFonts w:hint="eastAsia"/>
              </w:rPr>
              <w:t>质量保证期：</w:t>
            </w:r>
            <w:r>
              <w:rPr>
                <w:rStyle w:val="11"/>
                <w:rFonts w:hint="eastAsia"/>
              </w:rPr>
              <w:t>2年</w:t>
            </w:r>
          </w:p>
        </w:tc>
      </w:tr>
      <w:tr w14:paraId="6779A456">
        <w:tblPrEx>
          <w:tblCellMar>
            <w:top w:w="0" w:type="dxa"/>
            <w:left w:w="0" w:type="dxa"/>
            <w:bottom w:w="0" w:type="dxa"/>
            <w:right w:w="0" w:type="dxa"/>
          </w:tblCellMar>
        </w:tblPrEx>
        <w:trPr>
          <w:tblCellSpacing w:w="0" w:type="dxa"/>
        </w:trPr>
        <w:tc>
          <w:tcPr>
            <w:tcW w:w="0" w:type="auto"/>
            <w:vAlign w:val="center"/>
          </w:tcPr>
          <w:p w14:paraId="24E80904">
            <w:r>
              <w:rPr>
                <w:rStyle w:val="10"/>
                <w:rFonts w:hint="eastAsia"/>
              </w:rPr>
              <w:t>备注：</w:t>
            </w:r>
          </w:p>
        </w:tc>
      </w:tr>
    </w:tbl>
    <w:p w14:paraId="7DE8EA2F">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DB38397">
        <w:tblPrEx>
          <w:tblCellMar>
            <w:top w:w="0" w:type="dxa"/>
            <w:left w:w="0" w:type="dxa"/>
            <w:bottom w:w="0" w:type="dxa"/>
            <w:right w:w="0" w:type="dxa"/>
          </w:tblCellMar>
        </w:tblPrEx>
        <w:trPr>
          <w:tblCellSpacing w:w="0" w:type="dxa"/>
        </w:trPr>
        <w:tc>
          <w:tcPr>
            <w:tcW w:w="0" w:type="auto"/>
            <w:vAlign w:val="center"/>
          </w:tcPr>
          <w:p w14:paraId="2CC55363">
            <w:r>
              <w:rPr>
                <w:rStyle w:val="10"/>
                <w:rFonts w:hint="eastAsia"/>
              </w:rPr>
              <w:t>登记证号：</w:t>
            </w:r>
            <w:r>
              <w:rPr>
                <w:rFonts w:hint="eastAsia"/>
              </w:rPr>
              <w:t>PD20180161</w:t>
            </w:r>
          </w:p>
        </w:tc>
      </w:tr>
      <w:tr w14:paraId="752F6463">
        <w:tblPrEx>
          <w:tblCellMar>
            <w:top w:w="0" w:type="dxa"/>
            <w:left w:w="0" w:type="dxa"/>
            <w:bottom w:w="0" w:type="dxa"/>
            <w:right w:w="0" w:type="dxa"/>
          </w:tblCellMar>
        </w:tblPrEx>
        <w:trPr>
          <w:tblCellSpacing w:w="0" w:type="dxa"/>
        </w:trPr>
        <w:tc>
          <w:tcPr>
            <w:tcW w:w="0" w:type="auto"/>
            <w:vAlign w:val="center"/>
          </w:tcPr>
          <w:p w14:paraId="666ED4BE">
            <w:r>
              <w:rPr>
                <w:rStyle w:val="10"/>
                <w:rFonts w:hint="eastAsia"/>
              </w:rPr>
              <w:t>登记证持有人：</w:t>
            </w:r>
            <w:r>
              <w:rPr>
                <w:rFonts w:hint="eastAsia"/>
              </w:rPr>
              <w:t>泸州东方农化有限公司</w:t>
            </w:r>
          </w:p>
        </w:tc>
      </w:tr>
      <w:tr w14:paraId="4007C60B">
        <w:tblPrEx>
          <w:tblCellMar>
            <w:top w:w="0" w:type="dxa"/>
            <w:left w:w="0" w:type="dxa"/>
            <w:bottom w:w="0" w:type="dxa"/>
            <w:right w:w="0" w:type="dxa"/>
          </w:tblCellMar>
        </w:tblPrEx>
        <w:trPr>
          <w:tblCellSpacing w:w="0" w:type="dxa"/>
        </w:trPr>
        <w:tc>
          <w:tcPr>
            <w:tcW w:w="0" w:type="auto"/>
            <w:vAlign w:val="center"/>
          </w:tcPr>
          <w:p w14:paraId="69B50FE6">
            <w:r>
              <w:rPr>
                <w:rStyle w:val="10"/>
                <w:rFonts w:hint="eastAsia"/>
              </w:rPr>
              <w:t>农药名称：</w:t>
            </w:r>
            <w:r>
              <w:rPr>
                <w:rFonts w:hint="eastAsia"/>
              </w:rPr>
              <w:t>甲磺草胺</w:t>
            </w:r>
          </w:p>
        </w:tc>
      </w:tr>
      <w:tr w14:paraId="7C611075">
        <w:tblPrEx>
          <w:tblCellMar>
            <w:top w:w="0" w:type="dxa"/>
            <w:left w:w="0" w:type="dxa"/>
            <w:bottom w:w="0" w:type="dxa"/>
            <w:right w:w="0" w:type="dxa"/>
          </w:tblCellMar>
        </w:tblPrEx>
        <w:trPr>
          <w:tblCellSpacing w:w="0" w:type="dxa"/>
        </w:trPr>
        <w:tc>
          <w:tcPr>
            <w:tcW w:w="0" w:type="auto"/>
            <w:vAlign w:val="center"/>
          </w:tcPr>
          <w:p w14:paraId="14BA9514">
            <w:r>
              <w:rPr>
                <w:rStyle w:val="10"/>
                <w:rFonts w:hint="eastAsia"/>
              </w:rPr>
              <w:t>剂型：</w:t>
            </w:r>
            <w:r>
              <w:rPr>
                <w:rFonts w:hint="eastAsia"/>
              </w:rPr>
              <w:t>悬浮剂</w:t>
            </w:r>
          </w:p>
        </w:tc>
      </w:tr>
      <w:tr w14:paraId="1E4446E2">
        <w:tblPrEx>
          <w:tblCellMar>
            <w:top w:w="0" w:type="dxa"/>
            <w:left w:w="0" w:type="dxa"/>
            <w:bottom w:w="0" w:type="dxa"/>
            <w:right w:w="0" w:type="dxa"/>
          </w:tblCellMar>
        </w:tblPrEx>
        <w:trPr>
          <w:tblCellSpacing w:w="0" w:type="dxa"/>
        </w:trPr>
        <w:tc>
          <w:tcPr>
            <w:tcW w:w="0" w:type="auto"/>
            <w:vAlign w:val="center"/>
          </w:tcPr>
          <w:p w14:paraId="496C970B">
            <w:r>
              <w:rPr>
                <w:rStyle w:val="10"/>
                <w:rFonts w:hint="eastAsia"/>
              </w:rPr>
              <w:t>毒性及其标识：</w:t>
            </w:r>
            <w:r>
              <w:rPr>
                <w:rFonts w:hint="eastAsia"/>
              </w:rPr>
              <w:t xml:space="preserve"> </w:t>
            </w:r>
            <w:r>
              <w:drawing>
                <wp:inline distT="0" distB="0" distL="0" distR="0">
                  <wp:extent cx="474345" cy="323850"/>
                  <wp:effectExtent l="0" t="0" r="1905"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26F736BC">
        <w:tblPrEx>
          <w:tblCellMar>
            <w:top w:w="0" w:type="dxa"/>
            <w:left w:w="0" w:type="dxa"/>
            <w:bottom w:w="0" w:type="dxa"/>
            <w:right w:w="0" w:type="dxa"/>
          </w:tblCellMar>
        </w:tblPrEx>
        <w:trPr>
          <w:tblCellSpacing w:w="0" w:type="dxa"/>
        </w:trPr>
        <w:tc>
          <w:tcPr>
            <w:tcW w:w="0" w:type="auto"/>
            <w:vAlign w:val="center"/>
          </w:tcPr>
          <w:p w14:paraId="0613350A">
            <w:r>
              <w:rPr>
                <w:rStyle w:val="10"/>
                <w:rFonts w:hint="eastAsia"/>
              </w:rPr>
              <w:t>总有效成分含量：</w:t>
            </w:r>
            <w:r>
              <w:rPr>
                <w:rFonts w:hint="eastAsia"/>
              </w:rPr>
              <w:t>40%</w:t>
            </w:r>
          </w:p>
        </w:tc>
      </w:tr>
      <w:tr w14:paraId="70D26928">
        <w:tblPrEx>
          <w:tblCellMar>
            <w:top w:w="0" w:type="dxa"/>
            <w:left w:w="0" w:type="dxa"/>
            <w:bottom w:w="0" w:type="dxa"/>
            <w:right w:w="0" w:type="dxa"/>
          </w:tblCellMar>
        </w:tblPrEx>
        <w:trPr>
          <w:tblCellSpacing w:w="0" w:type="dxa"/>
        </w:trPr>
        <w:tc>
          <w:tcPr>
            <w:tcW w:w="0" w:type="auto"/>
            <w:vAlign w:val="center"/>
          </w:tcPr>
          <w:p w14:paraId="099869E3">
            <w:r>
              <w:rPr>
                <w:rFonts w:hint="eastAsia"/>
              </w:rPr>
              <w:t xml:space="preserve">有效成分及其含量： </w:t>
            </w:r>
          </w:p>
          <w:p w14:paraId="382DB86C">
            <w:r>
              <w:rPr>
                <w:rFonts w:hint="eastAsia"/>
              </w:rPr>
              <w:t xml:space="preserve">    甲磺草胺40%    </w:t>
            </w:r>
          </w:p>
        </w:tc>
      </w:tr>
      <w:tr w14:paraId="6146AB24">
        <w:tblPrEx>
          <w:tblCellMar>
            <w:top w:w="0" w:type="dxa"/>
            <w:left w:w="0" w:type="dxa"/>
            <w:bottom w:w="0" w:type="dxa"/>
            <w:right w:w="0" w:type="dxa"/>
          </w:tblCellMar>
        </w:tblPrEx>
        <w:trPr>
          <w:tblCellSpacing w:w="0" w:type="dxa"/>
        </w:trPr>
        <w:tc>
          <w:tcPr>
            <w:tcW w:w="0" w:type="auto"/>
            <w:vAlign w:val="center"/>
          </w:tcPr>
          <w:p w14:paraId="32AEB6C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5675D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D1414F4">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C3DA73">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97F388B">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523FDF">
                  <w:r>
                    <w:rPr>
                      <w:rStyle w:val="11"/>
                      <w:rFonts w:hint="eastAsia"/>
                    </w:rPr>
                    <w:t>施用方式</w:t>
                  </w:r>
                </w:p>
              </w:tc>
            </w:tr>
            <w:tr w14:paraId="76EFA7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B8DEAC">
                  <w:r>
                    <w:rPr>
                      <w:rStyle w:val="11"/>
                      <w:rFonts w:hint="eastAsia"/>
                    </w:rPr>
                    <w:t>甘蔗田</w:t>
                  </w:r>
                </w:p>
              </w:tc>
              <w:tc>
                <w:tcPr>
                  <w:tcW w:w="0" w:type="auto"/>
                  <w:tcBorders>
                    <w:top w:val="outset" w:color="auto" w:sz="6" w:space="0"/>
                    <w:left w:val="outset" w:color="auto" w:sz="6" w:space="0"/>
                    <w:bottom w:val="outset" w:color="auto" w:sz="6" w:space="0"/>
                    <w:right w:val="outset" w:color="auto" w:sz="6" w:space="0"/>
                  </w:tcBorders>
                  <w:vAlign w:val="center"/>
                </w:tcPr>
                <w:p w14:paraId="4F42E1FB">
                  <w:r>
                    <w:rPr>
                      <w:rStyle w:val="11"/>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887E8C5">
                  <w:r>
                    <w:rPr>
                      <w:rStyle w:val="11"/>
                      <w:rFonts w:hint="eastAsia"/>
                    </w:rPr>
                    <w:t>60-90毫升/亩</w:t>
                  </w:r>
                </w:p>
              </w:tc>
              <w:tc>
                <w:tcPr>
                  <w:tcW w:w="0" w:type="auto"/>
                  <w:tcBorders>
                    <w:top w:val="outset" w:color="auto" w:sz="6" w:space="0"/>
                    <w:left w:val="outset" w:color="auto" w:sz="6" w:space="0"/>
                    <w:bottom w:val="outset" w:color="auto" w:sz="6" w:space="0"/>
                    <w:right w:val="outset" w:color="auto" w:sz="6" w:space="0"/>
                  </w:tcBorders>
                  <w:vAlign w:val="center"/>
                </w:tcPr>
                <w:p w14:paraId="7868A5FF">
                  <w:r>
                    <w:rPr>
                      <w:rStyle w:val="11"/>
                      <w:rFonts w:hint="eastAsia"/>
                    </w:rPr>
                    <w:t>土壤喷雾</w:t>
                  </w:r>
                </w:p>
              </w:tc>
            </w:tr>
          </w:tbl>
          <w:p w14:paraId="225D3876">
            <w:pPr>
              <w:rPr>
                <w:rFonts w:ascii="Times New Roman" w:hAnsi="Times New Roman" w:cs="Times New Roman"/>
                <w:sz w:val="20"/>
                <w:szCs w:val="20"/>
              </w:rPr>
            </w:pPr>
          </w:p>
        </w:tc>
      </w:tr>
      <w:tr w14:paraId="00F88BE7">
        <w:tblPrEx>
          <w:tblCellMar>
            <w:top w:w="0" w:type="dxa"/>
            <w:left w:w="0" w:type="dxa"/>
            <w:bottom w:w="0" w:type="dxa"/>
            <w:right w:w="0" w:type="dxa"/>
          </w:tblCellMar>
        </w:tblPrEx>
        <w:trPr>
          <w:tblCellSpacing w:w="0" w:type="dxa"/>
        </w:trPr>
        <w:tc>
          <w:tcPr>
            <w:tcW w:w="0" w:type="auto"/>
            <w:vAlign w:val="center"/>
          </w:tcPr>
          <w:p w14:paraId="0425BFE8">
            <w:r>
              <w:rPr>
                <w:rStyle w:val="10"/>
                <w:rFonts w:hint="eastAsia"/>
              </w:rPr>
              <w:t>使用技术要求:</w:t>
            </w:r>
            <w:r>
              <w:rPr>
                <w:rFonts w:hint="eastAsia"/>
              </w:rPr>
              <w:br w:type="textWrapping"/>
            </w:r>
            <w:r>
              <w:rPr>
                <w:rStyle w:val="11"/>
                <w:rFonts w:hint="eastAsia"/>
              </w:rPr>
              <w:t>1、在杂草出土前施药防除效果最佳。施药时，避免漂移到周围作物田地及果树。2、大风天请勿施药。3、本品在甘蔗芽出土前，杂草出土前对土壤均匀喷雾，每季最多施药1 次；建议亩用水量30-50公斤。</w:t>
            </w:r>
          </w:p>
        </w:tc>
      </w:tr>
      <w:tr w14:paraId="71A7AD63">
        <w:tblPrEx>
          <w:tblCellMar>
            <w:top w:w="0" w:type="dxa"/>
            <w:left w:w="0" w:type="dxa"/>
            <w:bottom w:w="0" w:type="dxa"/>
            <w:right w:w="0" w:type="dxa"/>
          </w:tblCellMar>
        </w:tblPrEx>
        <w:trPr>
          <w:tblCellSpacing w:w="0" w:type="dxa"/>
        </w:trPr>
        <w:tc>
          <w:tcPr>
            <w:tcW w:w="0" w:type="auto"/>
            <w:vAlign w:val="center"/>
          </w:tcPr>
          <w:p w14:paraId="6B055E9B">
            <w:r>
              <w:rPr>
                <w:rStyle w:val="10"/>
                <w:rFonts w:hint="eastAsia"/>
              </w:rPr>
              <w:t>产品性能:</w:t>
            </w:r>
            <w:r>
              <w:rPr>
                <w:rFonts w:hint="eastAsia"/>
              </w:rPr>
              <w:br w:type="textWrapping"/>
            </w:r>
            <w:r>
              <w:rPr>
                <w:rStyle w:val="11"/>
                <w:rFonts w:hint="eastAsia"/>
              </w:rPr>
              <w:t>本品属原卟啉原氧化酶抑制剂的选择性除草剂。本品可有效防除甘蔗田一年生杂草，如小飞蓬、莎草、马唐、阔叶丰花草、藿香蓟等。</w:t>
            </w:r>
          </w:p>
        </w:tc>
      </w:tr>
      <w:tr w14:paraId="73E6EE26">
        <w:tblPrEx>
          <w:tblCellMar>
            <w:top w:w="0" w:type="dxa"/>
            <w:left w:w="0" w:type="dxa"/>
            <w:bottom w:w="0" w:type="dxa"/>
            <w:right w:w="0" w:type="dxa"/>
          </w:tblCellMar>
        </w:tblPrEx>
        <w:trPr>
          <w:tblCellSpacing w:w="0" w:type="dxa"/>
        </w:trPr>
        <w:tc>
          <w:tcPr>
            <w:tcW w:w="0" w:type="auto"/>
            <w:vAlign w:val="center"/>
          </w:tcPr>
          <w:p w14:paraId="033CDCD7">
            <w:r>
              <w:rPr>
                <w:rStyle w:val="10"/>
                <w:rFonts w:hint="eastAsia"/>
              </w:rPr>
              <w:t>注意事项：</w:t>
            </w:r>
            <w:r>
              <w:rPr>
                <w:rFonts w:hint="eastAsia"/>
              </w:rPr>
              <w:br w:type="textWrapping"/>
            </w:r>
            <w:r>
              <w:rPr>
                <w:rStyle w:val="11"/>
                <w:rFonts w:hint="eastAsia"/>
              </w:rPr>
              <w:t>1、药剂配制采用两次稀释，充分混合，本品严禁加洗衣粉等助剂，请勿与其他药剂混用。2、喷雾作业时必须穿长袖上衣、长裤，戴手套和眼镜等，此时禁止吸烟、喝水等，施药后要用肥皂彻底清洗手、脸等。3、水产养殖区，河塘等水体附近禁用，禁止在河塘等水体清洗施药器具。废液和清洗液不得倒入池塘、湖泊等任何水体中。4、废弃包装请勿随意丢弃，用清水清洗三次后带离田间集中处理。5、孕妇及哺乳期妇女避免接触本品。6、药后须及时彻底清洗药械。7、该产品持效期长，药后90天内不宜种植其它作物。</w:t>
            </w:r>
          </w:p>
        </w:tc>
      </w:tr>
      <w:tr w14:paraId="5F24E05D">
        <w:tblPrEx>
          <w:tblCellMar>
            <w:top w:w="0" w:type="dxa"/>
            <w:left w:w="0" w:type="dxa"/>
            <w:bottom w:w="0" w:type="dxa"/>
            <w:right w:w="0" w:type="dxa"/>
          </w:tblCellMar>
        </w:tblPrEx>
        <w:trPr>
          <w:tblCellSpacing w:w="0" w:type="dxa"/>
        </w:trPr>
        <w:tc>
          <w:tcPr>
            <w:tcW w:w="0" w:type="auto"/>
            <w:vAlign w:val="center"/>
          </w:tcPr>
          <w:p w14:paraId="4F562AB7">
            <w:r>
              <w:rPr>
                <w:rStyle w:val="10"/>
                <w:rFonts w:hint="eastAsia"/>
              </w:rPr>
              <w:t>中毒急救措施：</w:t>
            </w:r>
            <w:r>
              <w:rPr>
                <w:rFonts w:hint="eastAsia"/>
              </w:rPr>
              <w:br w:type="textWrapping"/>
            </w:r>
            <w:r>
              <w:rPr>
                <w:rStyle w:val="11"/>
                <w:rFonts w:hint="eastAsia"/>
              </w:rPr>
              <w:t>本品属低毒农药，无典型中毒症状。皮肤接触：用大量清水或者肥皂水冲洗，如仍有不适，请就医；眼睛接触：如不慎入眼，请用大量清水冲洗至少15分钟，如仍有不适，请立刻就医。吸入：如不慎吸入，请将病人抬至新鲜空气处，如果呼吸困难或者其他不适，请立刻就医。食入：如食入，请饮用1-2杯清水，请勿给意识不清病人喂食任何东西，立刻就医。</w:t>
            </w:r>
          </w:p>
        </w:tc>
      </w:tr>
      <w:tr w14:paraId="7B4B8F41">
        <w:tblPrEx>
          <w:tblCellMar>
            <w:top w:w="0" w:type="dxa"/>
            <w:left w:w="0" w:type="dxa"/>
            <w:bottom w:w="0" w:type="dxa"/>
            <w:right w:w="0" w:type="dxa"/>
          </w:tblCellMar>
        </w:tblPrEx>
        <w:trPr>
          <w:tblCellSpacing w:w="0" w:type="dxa"/>
        </w:trPr>
        <w:tc>
          <w:tcPr>
            <w:tcW w:w="0" w:type="auto"/>
            <w:vAlign w:val="center"/>
          </w:tcPr>
          <w:p w14:paraId="25E94D25">
            <w:r>
              <w:rPr>
                <w:rStyle w:val="10"/>
                <w:rFonts w:hint="eastAsia"/>
              </w:rPr>
              <w:t>储存和运输方法：</w:t>
            </w:r>
            <w:r>
              <w:rPr>
                <w:rFonts w:hint="eastAsia"/>
              </w:rPr>
              <w:br w:type="textWrapping"/>
            </w:r>
            <w:r>
              <w:rPr>
                <w:rStyle w:val="11"/>
                <w:rFonts w:hint="eastAsia"/>
              </w:rPr>
              <w:t>1、本品只可存放于原包装袋中。2、本品应密封贮存于干燥、阴凉、通风、防雨处，远离火源和热源。3、存放于儿童及无关人员接触不到之处，并加锁。4、勿与食品、饮料、粮食、饲料等其他物品同贮同运。贮运或运输时堆放不得超过规定，注意轻拿轻放，以免损坏包装，导致产品泄漏，5、用过的包装袋应妥善处理，如发生泄露，须设立警示牌和张贴警示标语。</w:t>
            </w:r>
          </w:p>
        </w:tc>
      </w:tr>
      <w:tr w14:paraId="5DDC2245">
        <w:tblPrEx>
          <w:tblCellMar>
            <w:top w:w="0" w:type="dxa"/>
            <w:left w:w="0" w:type="dxa"/>
            <w:bottom w:w="0" w:type="dxa"/>
            <w:right w:w="0" w:type="dxa"/>
          </w:tblCellMar>
        </w:tblPrEx>
        <w:trPr>
          <w:tblCellSpacing w:w="0" w:type="dxa"/>
        </w:trPr>
        <w:tc>
          <w:tcPr>
            <w:tcW w:w="0" w:type="auto"/>
            <w:vAlign w:val="center"/>
          </w:tcPr>
          <w:p w14:paraId="6FA2C1CA">
            <w:r>
              <w:rPr>
                <w:rStyle w:val="10"/>
                <w:rFonts w:hint="eastAsia"/>
              </w:rPr>
              <w:t>质量保证期：</w:t>
            </w:r>
            <w:r>
              <w:rPr>
                <w:rStyle w:val="11"/>
                <w:rFonts w:hint="eastAsia"/>
              </w:rPr>
              <w:t>2年</w:t>
            </w:r>
          </w:p>
        </w:tc>
      </w:tr>
      <w:tr w14:paraId="77CACBBD">
        <w:tblPrEx>
          <w:tblCellMar>
            <w:top w:w="0" w:type="dxa"/>
            <w:left w:w="0" w:type="dxa"/>
            <w:bottom w:w="0" w:type="dxa"/>
            <w:right w:w="0" w:type="dxa"/>
          </w:tblCellMar>
        </w:tblPrEx>
        <w:trPr>
          <w:tblCellSpacing w:w="0" w:type="dxa"/>
        </w:trPr>
        <w:tc>
          <w:tcPr>
            <w:tcW w:w="0" w:type="auto"/>
            <w:vAlign w:val="center"/>
          </w:tcPr>
          <w:p w14:paraId="456BA72C">
            <w:r>
              <w:rPr>
                <w:rStyle w:val="10"/>
                <w:rFonts w:hint="eastAsia"/>
              </w:rPr>
              <w:t>备注：</w:t>
            </w:r>
          </w:p>
        </w:tc>
      </w:tr>
    </w:tbl>
    <w:p w14:paraId="5EB1C089">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CAE8AA7">
        <w:tblPrEx>
          <w:tblCellMar>
            <w:top w:w="0" w:type="dxa"/>
            <w:left w:w="0" w:type="dxa"/>
            <w:bottom w:w="0" w:type="dxa"/>
            <w:right w:w="0" w:type="dxa"/>
          </w:tblCellMar>
        </w:tblPrEx>
        <w:trPr>
          <w:tblCellSpacing w:w="0" w:type="dxa"/>
        </w:trPr>
        <w:tc>
          <w:tcPr>
            <w:tcW w:w="0" w:type="auto"/>
            <w:vAlign w:val="center"/>
          </w:tcPr>
          <w:p w14:paraId="7991299E">
            <w:r>
              <w:rPr>
                <w:rStyle w:val="10"/>
                <w:rFonts w:hint="eastAsia"/>
              </w:rPr>
              <w:t>登记证号：</w:t>
            </w:r>
            <w:r>
              <w:rPr>
                <w:rFonts w:hint="eastAsia"/>
              </w:rPr>
              <w:t>PD20210983</w:t>
            </w:r>
          </w:p>
        </w:tc>
      </w:tr>
      <w:tr w14:paraId="0D80A899">
        <w:tblPrEx>
          <w:tblCellMar>
            <w:top w:w="0" w:type="dxa"/>
            <w:left w:w="0" w:type="dxa"/>
            <w:bottom w:w="0" w:type="dxa"/>
            <w:right w:w="0" w:type="dxa"/>
          </w:tblCellMar>
        </w:tblPrEx>
        <w:trPr>
          <w:tblCellSpacing w:w="0" w:type="dxa"/>
        </w:trPr>
        <w:tc>
          <w:tcPr>
            <w:tcW w:w="0" w:type="auto"/>
            <w:vAlign w:val="center"/>
          </w:tcPr>
          <w:p w14:paraId="556AEA6F">
            <w:r>
              <w:rPr>
                <w:rStyle w:val="10"/>
                <w:rFonts w:hint="eastAsia"/>
              </w:rPr>
              <w:t>登记证持有人：</w:t>
            </w:r>
            <w:r>
              <w:rPr>
                <w:rFonts w:hint="eastAsia"/>
              </w:rPr>
              <w:t>西班牙艾克卓有限公司</w:t>
            </w:r>
          </w:p>
        </w:tc>
      </w:tr>
      <w:tr w14:paraId="0D36B2F9">
        <w:tblPrEx>
          <w:tblCellMar>
            <w:top w:w="0" w:type="dxa"/>
            <w:left w:w="0" w:type="dxa"/>
            <w:bottom w:w="0" w:type="dxa"/>
            <w:right w:w="0" w:type="dxa"/>
          </w:tblCellMar>
        </w:tblPrEx>
        <w:trPr>
          <w:tblCellSpacing w:w="0" w:type="dxa"/>
        </w:trPr>
        <w:tc>
          <w:tcPr>
            <w:tcW w:w="0" w:type="auto"/>
            <w:vAlign w:val="center"/>
          </w:tcPr>
          <w:p w14:paraId="7C40E44B">
            <w:r>
              <w:rPr>
                <w:rStyle w:val="10"/>
                <w:rFonts w:hint="eastAsia"/>
              </w:rPr>
              <w:t>农药名称：</w:t>
            </w:r>
            <w:r>
              <w:rPr>
                <w:rFonts w:hint="eastAsia"/>
              </w:rPr>
              <w:t>硫酸铜钙</w:t>
            </w:r>
          </w:p>
        </w:tc>
      </w:tr>
      <w:tr w14:paraId="41687E35">
        <w:tblPrEx>
          <w:tblCellMar>
            <w:top w:w="0" w:type="dxa"/>
            <w:left w:w="0" w:type="dxa"/>
            <w:bottom w:w="0" w:type="dxa"/>
            <w:right w:w="0" w:type="dxa"/>
          </w:tblCellMar>
        </w:tblPrEx>
        <w:trPr>
          <w:tblCellSpacing w:w="0" w:type="dxa"/>
        </w:trPr>
        <w:tc>
          <w:tcPr>
            <w:tcW w:w="0" w:type="auto"/>
            <w:vAlign w:val="center"/>
          </w:tcPr>
          <w:p w14:paraId="01D4D295">
            <w:r>
              <w:rPr>
                <w:rStyle w:val="10"/>
                <w:rFonts w:hint="eastAsia"/>
              </w:rPr>
              <w:t>剂型：</w:t>
            </w:r>
            <w:r>
              <w:rPr>
                <w:rFonts w:hint="eastAsia"/>
              </w:rPr>
              <w:t>水分散粒剂</w:t>
            </w:r>
          </w:p>
        </w:tc>
      </w:tr>
      <w:tr w14:paraId="194F629E">
        <w:tblPrEx>
          <w:tblCellMar>
            <w:top w:w="0" w:type="dxa"/>
            <w:left w:w="0" w:type="dxa"/>
            <w:bottom w:w="0" w:type="dxa"/>
            <w:right w:w="0" w:type="dxa"/>
          </w:tblCellMar>
        </w:tblPrEx>
        <w:trPr>
          <w:tblCellSpacing w:w="0" w:type="dxa"/>
        </w:trPr>
        <w:tc>
          <w:tcPr>
            <w:tcW w:w="0" w:type="auto"/>
            <w:vAlign w:val="center"/>
          </w:tcPr>
          <w:p w14:paraId="6FB57ED0">
            <w:r>
              <w:rPr>
                <w:rStyle w:val="10"/>
                <w:rFonts w:hint="eastAsia"/>
              </w:rPr>
              <w:t>毒性及其标识：</w:t>
            </w:r>
            <w:r>
              <w:rPr>
                <w:rFonts w:hint="eastAsia"/>
              </w:rPr>
              <w:t xml:space="preserve"> </w:t>
            </w:r>
            <w:r>
              <w:drawing>
                <wp:inline distT="0" distB="0" distL="0" distR="0">
                  <wp:extent cx="474345" cy="323850"/>
                  <wp:effectExtent l="0" t="0" r="1905"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50F5F88F">
        <w:tblPrEx>
          <w:tblCellMar>
            <w:top w:w="0" w:type="dxa"/>
            <w:left w:w="0" w:type="dxa"/>
            <w:bottom w:w="0" w:type="dxa"/>
            <w:right w:w="0" w:type="dxa"/>
          </w:tblCellMar>
        </w:tblPrEx>
        <w:trPr>
          <w:tblCellSpacing w:w="0" w:type="dxa"/>
        </w:trPr>
        <w:tc>
          <w:tcPr>
            <w:tcW w:w="0" w:type="auto"/>
            <w:vAlign w:val="center"/>
          </w:tcPr>
          <w:p w14:paraId="179C3883">
            <w:r>
              <w:rPr>
                <w:rStyle w:val="10"/>
                <w:rFonts w:hint="eastAsia"/>
              </w:rPr>
              <w:t>总有效成分含量：</w:t>
            </w:r>
            <w:r>
              <w:rPr>
                <w:rFonts w:hint="eastAsia"/>
              </w:rPr>
              <w:t>77%</w:t>
            </w:r>
          </w:p>
        </w:tc>
      </w:tr>
      <w:tr w14:paraId="3777AFC8">
        <w:tblPrEx>
          <w:tblCellMar>
            <w:top w:w="0" w:type="dxa"/>
            <w:left w:w="0" w:type="dxa"/>
            <w:bottom w:w="0" w:type="dxa"/>
            <w:right w:w="0" w:type="dxa"/>
          </w:tblCellMar>
        </w:tblPrEx>
        <w:trPr>
          <w:tblCellSpacing w:w="0" w:type="dxa"/>
        </w:trPr>
        <w:tc>
          <w:tcPr>
            <w:tcW w:w="0" w:type="auto"/>
            <w:vAlign w:val="center"/>
          </w:tcPr>
          <w:p w14:paraId="1CE56B2F">
            <w:r>
              <w:rPr>
                <w:rFonts w:hint="eastAsia"/>
              </w:rPr>
              <w:t xml:space="preserve">有效成分及其含量： </w:t>
            </w:r>
          </w:p>
          <w:p w14:paraId="10B04D62">
            <w:r>
              <w:rPr>
                <w:rFonts w:hint="eastAsia"/>
              </w:rPr>
              <w:t xml:space="preserve">    硫酸铜钙77%    </w:t>
            </w:r>
          </w:p>
        </w:tc>
      </w:tr>
      <w:tr w14:paraId="71EC6308">
        <w:tblPrEx>
          <w:tblCellMar>
            <w:top w:w="0" w:type="dxa"/>
            <w:left w:w="0" w:type="dxa"/>
            <w:bottom w:w="0" w:type="dxa"/>
            <w:right w:w="0" w:type="dxa"/>
          </w:tblCellMar>
        </w:tblPrEx>
        <w:trPr>
          <w:tblCellSpacing w:w="0" w:type="dxa"/>
        </w:trPr>
        <w:tc>
          <w:tcPr>
            <w:tcW w:w="0" w:type="auto"/>
            <w:vAlign w:val="center"/>
          </w:tcPr>
          <w:p w14:paraId="1BD33E8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D2E4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BF5A1B">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CAEDC0">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4D7A843">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A1B5515">
                  <w:r>
                    <w:rPr>
                      <w:rStyle w:val="11"/>
                      <w:rFonts w:hint="eastAsia"/>
                    </w:rPr>
                    <w:t>施用方式</w:t>
                  </w:r>
                </w:p>
              </w:tc>
            </w:tr>
            <w:tr w14:paraId="30D597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E735656">
                  <w:r>
                    <w:rPr>
                      <w:rStyle w:val="11"/>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98A8DA8">
                  <w:r>
                    <w:rPr>
                      <w:rStyle w:val="11"/>
                      <w:rFonts w:hint="eastAsia"/>
                    </w:rPr>
                    <w:t>溃疡病</w:t>
                  </w:r>
                </w:p>
              </w:tc>
              <w:tc>
                <w:tcPr>
                  <w:tcW w:w="0" w:type="auto"/>
                  <w:tcBorders>
                    <w:top w:val="outset" w:color="auto" w:sz="6" w:space="0"/>
                    <w:left w:val="outset" w:color="auto" w:sz="6" w:space="0"/>
                    <w:bottom w:val="outset" w:color="auto" w:sz="6" w:space="0"/>
                    <w:right w:val="outset" w:color="auto" w:sz="6" w:space="0"/>
                  </w:tcBorders>
                  <w:vAlign w:val="center"/>
                </w:tcPr>
                <w:p w14:paraId="47ADAF6A">
                  <w:r>
                    <w:rPr>
                      <w:rStyle w:val="11"/>
                      <w:rFonts w:hint="eastAsia"/>
                    </w:rPr>
                    <w:t>600-800倍液</w:t>
                  </w:r>
                </w:p>
              </w:tc>
              <w:tc>
                <w:tcPr>
                  <w:tcW w:w="0" w:type="auto"/>
                  <w:tcBorders>
                    <w:top w:val="outset" w:color="auto" w:sz="6" w:space="0"/>
                    <w:left w:val="outset" w:color="auto" w:sz="6" w:space="0"/>
                    <w:bottom w:val="outset" w:color="auto" w:sz="6" w:space="0"/>
                    <w:right w:val="outset" w:color="auto" w:sz="6" w:space="0"/>
                  </w:tcBorders>
                  <w:vAlign w:val="center"/>
                </w:tcPr>
                <w:p w14:paraId="6D240203">
                  <w:r>
                    <w:rPr>
                      <w:rStyle w:val="11"/>
                      <w:rFonts w:hint="eastAsia"/>
                    </w:rPr>
                    <w:t>喷雾</w:t>
                  </w:r>
                </w:p>
              </w:tc>
            </w:tr>
          </w:tbl>
          <w:p w14:paraId="2DE9183E">
            <w:pPr>
              <w:rPr>
                <w:rFonts w:ascii="Times New Roman" w:hAnsi="Times New Roman" w:cs="Times New Roman"/>
                <w:sz w:val="20"/>
                <w:szCs w:val="20"/>
              </w:rPr>
            </w:pPr>
          </w:p>
        </w:tc>
      </w:tr>
      <w:tr w14:paraId="28745A8A">
        <w:tblPrEx>
          <w:tblCellMar>
            <w:top w:w="0" w:type="dxa"/>
            <w:left w:w="0" w:type="dxa"/>
            <w:bottom w:w="0" w:type="dxa"/>
            <w:right w:w="0" w:type="dxa"/>
          </w:tblCellMar>
        </w:tblPrEx>
        <w:trPr>
          <w:tblCellSpacing w:w="0" w:type="dxa"/>
        </w:trPr>
        <w:tc>
          <w:tcPr>
            <w:tcW w:w="0" w:type="auto"/>
            <w:vAlign w:val="center"/>
          </w:tcPr>
          <w:p w14:paraId="237AB0EE">
            <w:r>
              <w:rPr>
                <w:rStyle w:val="10"/>
                <w:rFonts w:hint="eastAsia"/>
              </w:rPr>
              <w:t>使用技术要求:</w:t>
            </w:r>
            <w:r>
              <w:rPr>
                <w:rFonts w:hint="eastAsia"/>
              </w:rPr>
              <w:br w:type="textWrapping"/>
            </w:r>
            <w:r>
              <w:rPr>
                <w:rStyle w:val="11"/>
                <w:rFonts w:hint="eastAsia"/>
              </w:rPr>
              <w:t>1、蓝色细颗粒，投入水中成蓝色均匀悬浮液。 2、应现配现用，配液时采用二次稀释法，先用少量的水将粉剂调成糊状，再加入其余的水搅拌均匀，即可喷施。 3、于病害发病前或发病初期用药，兑水均匀喷雾3次，每次施药间隔10天。 4、大风天或预计1小时内有雨，请勿施药。</w:t>
            </w:r>
          </w:p>
        </w:tc>
      </w:tr>
      <w:tr w14:paraId="05441502">
        <w:tblPrEx>
          <w:tblCellMar>
            <w:top w:w="0" w:type="dxa"/>
            <w:left w:w="0" w:type="dxa"/>
            <w:bottom w:w="0" w:type="dxa"/>
            <w:right w:w="0" w:type="dxa"/>
          </w:tblCellMar>
        </w:tblPrEx>
        <w:trPr>
          <w:tblCellSpacing w:w="0" w:type="dxa"/>
        </w:trPr>
        <w:tc>
          <w:tcPr>
            <w:tcW w:w="0" w:type="auto"/>
            <w:vAlign w:val="center"/>
          </w:tcPr>
          <w:p w14:paraId="3BD5284A">
            <w:r>
              <w:rPr>
                <w:rStyle w:val="10"/>
                <w:rFonts w:hint="eastAsia"/>
              </w:rPr>
              <w:t>产品性能:</w:t>
            </w:r>
            <w:r>
              <w:rPr>
                <w:rFonts w:hint="eastAsia"/>
              </w:rPr>
              <w:br w:type="textWrapping"/>
            </w:r>
            <w:r>
              <w:rPr>
                <w:rStyle w:val="11"/>
                <w:rFonts w:hint="eastAsia"/>
              </w:rPr>
              <w:t>1、本品为保护性杀菌剂，用于防治柑橘溃疡病。 2、本品是络合态硫酸铜钙，其独特的铜离子和钙离子大分子络合物，确保铜离子缓慢、持久释放。本品遇水才释放杀菌的铜离子，而病菌也只有遇雨水后才萌发侵染，两者完全同步，杀菌较好，保护较长，在正常使用技术条件下，对作物安全。 3、本品颗粒细，能均匀分布并紧密粘附在作物的叶面和果面，耐雨水冲刷，持效期较长。</w:t>
            </w:r>
          </w:p>
        </w:tc>
      </w:tr>
      <w:tr w14:paraId="24643AC4">
        <w:tblPrEx>
          <w:tblCellMar>
            <w:top w:w="0" w:type="dxa"/>
            <w:left w:w="0" w:type="dxa"/>
            <w:bottom w:w="0" w:type="dxa"/>
            <w:right w:w="0" w:type="dxa"/>
          </w:tblCellMar>
        </w:tblPrEx>
        <w:trPr>
          <w:tblCellSpacing w:w="0" w:type="dxa"/>
        </w:trPr>
        <w:tc>
          <w:tcPr>
            <w:tcW w:w="0" w:type="auto"/>
            <w:vAlign w:val="center"/>
          </w:tcPr>
          <w:p w14:paraId="6265C9A1">
            <w:r>
              <w:rPr>
                <w:rStyle w:val="10"/>
                <w:rFonts w:hint="eastAsia"/>
              </w:rPr>
              <w:t>注意事项：</w:t>
            </w:r>
            <w:r>
              <w:rPr>
                <w:rFonts w:hint="eastAsia"/>
              </w:rPr>
              <w:br w:type="textWrapping"/>
            </w:r>
            <w:r>
              <w:rPr>
                <w:rStyle w:val="11"/>
                <w:rFonts w:hint="eastAsia"/>
              </w:rPr>
              <w:t>1、不能与含有其他金属元素的药剂和微肥混合使用，也不宜与强碱性和强酸性物质混用。 2、桃，李，梅，杏，柿子，大白菜，菜豆，莴苣，荸荠等对本品敏感，苹果、梨树的花期、幼果期对铜离子敏感，本品含铜离子，施药时注意避免飘移至上述作物。 3、使用过的药械需清洗三遍，在洗涤药械和处理废弃物时不要污染水源。 4、施药时穿防护衣、戴口罩，避免眼睛、皮肤接触、避免吸入。 5、用过的包装材料不可挪作他用，焚烧或深埋，或交给当地环保部门统一处理；清洗施药器械要远离水源，不能随意倾倒残余药液，以免污染环境。 6、本品对蜜蜂、鱼类等水生生物、家蚕有毒，施药期间应避免对周围蜂群的影响，开花植物花期、蚕室和桑园附近禁用。远离水产养殖区施药，禁止在河塘等水体中清洗施药器具。</w:t>
            </w:r>
          </w:p>
        </w:tc>
      </w:tr>
      <w:tr w14:paraId="02FE0CCD">
        <w:tblPrEx>
          <w:tblCellMar>
            <w:top w:w="0" w:type="dxa"/>
            <w:left w:w="0" w:type="dxa"/>
            <w:bottom w:w="0" w:type="dxa"/>
            <w:right w:w="0" w:type="dxa"/>
          </w:tblCellMar>
        </w:tblPrEx>
        <w:trPr>
          <w:tblCellSpacing w:w="0" w:type="dxa"/>
        </w:trPr>
        <w:tc>
          <w:tcPr>
            <w:tcW w:w="0" w:type="auto"/>
            <w:vAlign w:val="center"/>
          </w:tcPr>
          <w:p w14:paraId="7BD6E515">
            <w:r>
              <w:rPr>
                <w:rStyle w:val="10"/>
                <w:rFonts w:hint="eastAsia"/>
              </w:rPr>
              <w:t>中毒急救措施：</w:t>
            </w:r>
            <w:r>
              <w:rPr>
                <w:rFonts w:hint="eastAsia"/>
              </w:rPr>
              <w:br w:type="textWrapping"/>
            </w:r>
            <w:r>
              <w:rPr>
                <w:rStyle w:val="11"/>
                <w:rFonts w:hint="eastAsia"/>
              </w:rPr>
              <w:t>1、不慎药液接触皮肤，尽快用大量清水冲洗皮肤表面。2、不慎药液接触眼睛，尽快用清水冲洗眼睛至少15分钟。3、吸入中毒者，立即将其移到空气新鲜处。4、误服：如果吞咽，请勿催吐。如果人失去知觉，不要口服任何东西，将头放低，侧卧，半弯曲膝盖。携标签将病人送往医院。解毒药剂为EDTA、BAL和青霉胺。</w:t>
            </w:r>
          </w:p>
        </w:tc>
      </w:tr>
      <w:tr w14:paraId="51ECC407">
        <w:tblPrEx>
          <w:tblCellMar>
            <w:top w:w="0" w:type="dxa"/>
            <w:left w:w="0" w:type="dxa"/>
            <w:bottom w:w="0" w:type="dxa"/>
            <w:right w:w="0" w:type="dxa"/>
          </w:tblCellMar>
        </w:tblPrEx>
        <w:trPr>
          <w:tblCellSpacing w:w="0" w:type="dxa"/>
        </w:trPr>
        <w:tc>
          <w:tcPr>
            <w:tcW w:w="0" w:type="auto"/>
            <w:vAlign w:val="center"/>
          </w:tcPr>
          <w:p w14:paraId="7DD4EE5E">
            <w:r>
              <w:rPr>
                <w:rStyle w:val="10"/>
                <w:rFonts w:hint="eastAsia"/>
              </w:rPr>
              <w:t>储存和运输方法：</w:t>
            </w:r>
            <w:r>
              <w:rPr>
                <w:rFonts w:hint="eastAsia"/>
              </w:rPr>
              <w:br w:type="textWrapping"/>
            </w:r>
            <w:r>
              <w:rPr>
                <w:rStyle w:val="11"/>
                <w:rFonts w:hint="eastAsia"/>
              </w:rPr>
              <w:t>1.本品应贮存在干燥、阴凉、通风、防雨处，远离火源或热源。 2.勿与食品、饮料、饲料及易燃易爆物等其他商品同贮同运。 3.置于儿童触及不到之处，并加锁。 4.运输前应检查包装容器是否完整、密封，运输过程中确保容器不泄漏、不倒塌、不坠落、不损坏，轻拿轻放。贮运过程中轻拿轻放，注意防雨防晒。</w:t>
            </w:r>
          </w:p>
        </w:tc>
      </w:tr>
      <w:tr w14:paraId="3021351A">
        <w:tblPrEx>
          <w:tblCellMar>
            <w:top w:w="0" w:type="dxa"/>
            <w:left w:w="0" w:type="dxa"/>
            <w:bottom w:w="0" w:type="dxa"/>
            <w:right w:w="0" w:type="dxa"/>
          </w:tblCellMar>
        </w:tblPrEx>
        <w:trPr>
          <w:tblCellSpacing w:w="0" w:type="dxa"/>
        </w:trPr>
        <w:tc>
          <w:tcPr>
            <w:tcW w:w="0" w:type="auto"/>
            <w:vAlign w:val="center"/>
          </w:tcPr>
          <w:p w14:paraId="1F992AC3">
            <w:r>
              <w:rPr>
                <w:rStyle w:val="10"/>
                <w:rFonts w:hint="eastAsia"/>
              </w:rPr>
              <w:t>质量保证期：</w:t>
            </w:r>
            <w:r>
              <w:rPr>
                <w:rStyle w:val="11"/>
                <w:rFonts w:hint="eastAsia"/>
              </w:rPr>
              <w:t>2年</w:t>
            </w:r>
          </w:p>
        </w:tc>
      </w:tr>
      <w:tr w14:paraId="78184DFD">
        <w:tblPrEx>
          <w:tblCellMar>
            <w:top w:w="0" w:type="dxa"/>
            <w:left w:w="0" w:type="dxa"/>
            <w:bottom w:w="0" w:type="dxa"/>
            <w:right w:w="0" w:type="dxa"/>
          </w:tblCellMar>
        </w:tblPrEx>
        <w:trPr>
          <w:tblCellSpacing w:w="0" w:type="dxa"/>
        </w:trPr>
        <w:tc>
          <w:tcPr>
            <w:tcW w:w="0" w:type="auto"/>
            <w:vAlign w:val="center"/>
          </w:tcPr>
          <w:p w14:paraId="62581D99">
            <w:r>
              <w:rPr>
                <w:rStyle w:val="10"/>
                <w:rFonts w:hint="eastAsia"/>
              </w:rPr>
              <w:t>备注：</w:t>
            </w:r>
          </w:p>
        </w:tc>
      </w:tr>
    </w:tbl>
    <w:p w14:paraId="4B7FB4BE">
      <w:pPr>
        <w:rPr>
          <w:rFonts w:hint="eastAsia"/>
        </w:rPr>
      </w:pPr>
    </w:p>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8F59A2A">
        <w:trPr>
          <w:tblCellSpacing w:w="0" w:type="dxa"/>
        </w:trPr>
        <w:tc>
          <w:tcPr>
            <w:tcW w:w="0" w:type="auto"/>
            <w:vAlign w:val="center"/>
          </w:tcPr>
          <w:p w14:paraId="345196EA">
            <w:r>
              <w:rPr>
                <w:rStyle w:val="10"/>
                <w:rFonts w:hint="eastAsia"/>
              </w:rPr>
              <w:t>登记证号：</w:t>
            </w:r>
            <w:r>
              <w:rPr>
                <w:rFonts w:hint="eastAsia"/>
              </w:rPr>
              <w:t>PD20152429</w:t>
            </w:r>
          </w:p>
        </w:tc>
      </w:tr>
      <w:tr w14:paraId="76C770D2">
        <w:tblPrEx>
          <w:tblCellMar>
            <w:top w:w="0" w:type="dxa"/>
            <w:left w:w="0" w:type="dxa"/>
            <w:bottom w:w="0" w:type="dxa"/>
            <w:right w:w="0" w:type="dxa"/>
          </w:tblCellMar>
        </w:tblPrEx>
        <w:trPr>
          <w:tblCellSpacing w:w="0" w:type="dxa"/>
        </w:trPr>
        <w:tc>
          <w:tcPr>
            <w:tcW w:w="0" w:type="auto"/>
            <w:vAlign w:val="center"/>
          </w:tcPr>
          <w:p w14:paraId="4412E7B8">
            <w:r>
              <w:rPr>
                <w:rStyle w:val="10"/>
                <w:rFonts w:hint="eastAsia"/>
              </w:rPr>
              <w:t>登记证持有人：</w:t>
            </w:r>
            <w:r>
              <w:rPr>
                <w:rFonts w:hint="eastAsia"/>
              </w:rPr>
              <w:t>拜耳股份公司</w:t>
            </w:r>
          </w:p>
        </w:tc>
      </w:tr>
      <w:tr w14:paraId="3441B210">
        <w:tblPrEx>
          <w:tblCellMar>
            <w:top w:w="0" w:type="dxa"/>
            <w:left w:w="0" w:type="dxa"/>
            <w:bottom w:w="0" w:type="dxa"/>
            <w:right w:w="0" w:type="dxa"/>
          </w:tblCellMar>
        </w:tblPrEx>
        <w:trPr>
          <w:tblCellSpacing w:w="0" w:type="dxa"/>
        </w:trPr>
        <w:tc>
          <w:tcPr>
            <w:tcW w:w="0" w:type="auto"/>
            <w:vAlign w:val="center"/>
          </w:tcPr>
          <w:p w14:paraId="3344295C">
            <w:r>
              <w:rPr>
                <w:rStyle w:val="10"/>
                <w:rFonts w:hint="eastAsia"/>
              </w:rPr>
              <w:t>农药名称：</w:t>
            </w:r>
            <w:r>
              <w:rPr>
                <w:rFonts w:hint="eastAsia"/>
              </w:rPr>
              <w:t>氟菌·肟菌酯</w:t>
            </w:r>
          </w:p>
        </w:tc>
      </w:tr>
      <w:tr w14:paraId="0BAB0F7C">
        <w:tblPrEx>
          <w:tblCellMar>
            <w:top w:w="0" w:type="dxa"/>
            <w:left w:w="0" w:type="dxa"/>
            <w:bottom w:w="0" w:type="dxa"/>
            <w:right w:w="0" w:type="dxa"/>
          </w:tblCellMar>
        </w:tblPrEx>
        <w:trPr>
          <w:tblCellSpacing w:w="0" w:type="dxa"/>
        </w:trPr>
        <w:tc>
          <w:tcPr>
            <w:tcW w:w="0" w:type="auto"/>
            <w:vAlign w:val="center"/>
          </w:tcPr>
          <w:p w14:paraId="6421CC68">
            <w:r>
              <w:rPr>
                <w:rStyle w:val="10"/>
                <w:rFonts w:hint="eastAsia"/>
              </w:rPr>
              <w:t>剂型：</w:t>
            </w:r>
            <w:r>
              <w:rPr>
                <w:rFonts w:hint="eastAsia"/>
              </w:rPr>
              <w:t>悬浮剂</w:t>
            </w:r>
          </w:p>
        </w:tc>
      </w:tr>
      <w:tr w14:paraId="53A659BF">
        <w:tblPrEx>
          <w:tblCellMar>
            <w:top w:w="0" w:type="dxa"/>
            <w:left w:w="0" w:type="dxa"/>
            <w:bottom w:w="0" w:type="dxa"/>
            <w:right w:w="0" w:type="dxa"/>
          </w:tblCellMar>
        </w:tblPrEx>
        <w:trPr>
          <w:tblCellSpacing w:w="0" w:type="dxa"/>
        </w:trPr>
        <w:tc>
          <w:tcPr>
            <w:tcW w:w="0" w:type="auto"/>
            <w:vAlign w:val="center"/>
          </w:tcPr>
          <w:p w14:paraId="63BA41CE">
            <w:r>
              <w:rPr>
                <w:rStyle w:val="10"/>
                <w:rFonts w:hint="eastAsia"/>
              </w:rPr>
              <w:t>毒性及其标识：</w:t>
            </w:r>
            <w:r>
              <w:rPr>
                <w:rFonts w:hint="eastAsia"/>
              </w:rPr>
              <w:t xml:space="preserve"> </w:t>
            </w:r>
            <w:r>
              <w:drawing>
                <wp:inline distT="0" distB="0" distL="0" distR="0">
                  <wp:extent cx="474345" cy="323850"/>
                  <wp:effectExtent l="0" t="0" r="1905"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4345" cy="323850"/>
                          </a:xfrm>
                          <a:prstGeom prst="rect">
                            <a:avLst/>
                          </a:prstGeom>
                          <a:noFill/>
                          <a:ln>
                            <a:noFill/>
                          </a:ln>
                        </pic:spPr>
                      </pic:pic>
                    </a:graphicData>
                  </a:graphic>
                </wp:inline>
              </w:drawing>
            </w:r>
          </w:p>
        </w:tc>
      </w:tr>
      <w:tr w14:paraId="6360BC99">
        <w:trPr>
          <w:tblCellSpacing w:w="0" w:type="dxa"/>
        </w:trPr>
        <w:tc>
          <w:tcPr>
            <w:tcW w:w="0" w:type="auto"/>
            <w:vAlign w:val="center"/>
          </w:tcPr>
          <w:p w14:paraId="12045F4B">
            <w:r>
              <w:rPr>
                <w:rStyle w:val="10"/>
                <w:rFonts w:hint="eastAsia"/>
              </w:rPr>
              <w:t>总有效成分含量：</w:t>
            </w:r>
            <w:r>
              <w:rPr>
                <w:rFonts w:hint="eastAsia"/>
              </w:rPr>
              <w:t>43%</w:t>
            </w:r>
          </w:p>
        </w:tc>
      </w:tr>
      <w:tr w14:paraId="59E91743">
        <w:tblPrEx>
          <w:tblCellMar>
            <w:top w:w="0" w:type="dxa"/>
            <w:left w:w="0" w:type="dxa"/>
            <w:bottom w:w="0" w:type="dxa"/>
            <w:right w:w="0" w:type="dxa"/>
          </w:tblCellMar>
        </w:tblPrEx>
        <w:trPr>
          <w:tblCellSpacing w:w="0" w:type="dxa"/>
        </w:trPr>
        <w:tc>
          <w:tcPr>
            <w:tcW w:w="0" w:type="auto"/>
            <w:vAlign w:val="center"/>
          </w:tcPr>
          <w:p w14:paraId="09767A31">
            <w:r>
              <w:rPr>
                <w:rFonts w:hint="eastAsia"/>
              </w:rPr>
              <w:t xml:space="preserve">有效成分及其含量： </w:t>
            </w:r>
          </w:p>
          <w:p w14:paraId="39EDC7EC">
            <w:r>
              <w:rPr>
                <w:rFonts w:hint="eastAsia"/>
              </w:rPr>
              <w:t xml:space="preserve">    氟吡菌酰胺21.5%    肟菌酯21.5%    </w:t>
            </w:r>
          </w:p>
        </w:tc>
      </w:tr>
      <w:tr w14:paraId="7BAD958B">
        <w:tblPrEx>
          <w:tblCellMar>
            <w:top w:w="0" w:type="dxa"/>
            <w:left w:w="0" w:type="dxa"/>
            <w:bottom w:w="0" w:type="dxa"/>
            <w:right w:w="0" w:type="dxa"/>
          </w:tblCellMar>
        </w:tblPrEx>
        <w:trPr>
          <w:tblCellSpacing w:w="0" w:type="dxa"/>
        </w:trPr>
        <w:tc>
          <w:tcPr>
            <w:tcW w:w="0" w:type="auto"/>
            <w:vAlign w:val="center"/>
          </w:tcPr>
          <w:p w14:paraId="1F52318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F0B9D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D84EEB8">
                  <w:r>
                    <w:rPr>
                      <w:rStyle w:val="11"/>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3C5C2AD">
                  <w:r>
                    <w:rPr>
                      <w:rStyle w:val="11"/>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6A3F98">
                  <w:r>
                    <w:rPr>
                      <w:rStyle w:val="11"/>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BE4829B">
                  <w:r>
                    <w:rPr>
                      <w:rStyle w:val="11"/>
                      <w:rFonts w:hint="eastAsia"/>
                    </w:rPr>
                    <w:t>施用方式</w:t>
                  </w:r>
                </w:p>
              </w:tc>
            </w:tr>
            <w:tr w14:paraId="37F991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2C5B76">
                  <w:r>
                    <w:rPr>
                      <w:rStyle w:val="11"/>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4D712166">
                  <w:r>
                    <w:rPr>
                      <w:rStyle w:val="11"/>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6F1C1DA9">
                  <w:r>
                    <w:rPr>
                      <w:rStyle w:val="11"/>
                      <w:rFonts w:hint="eastAsia"/>
                    </w:rPr>
                    <w:t>30-45毫升/亩</w:t>
                  </w:r>
                </w:p>
              </w:tc>
              <w:tc>
                <w:tcPr>
                  <w:tcW w:w="0" w:type="auto"/>
                  <w:tcBorders>
                    <w:top w:val="outset" w:color="auto" w:sz="6" w:space="0"/>
                    <w:left w:val="outset" w:color="auto" w:sz="6" w:space="0"/>
                    <w:bottom w:val="outset" w:color="auto" w:sz="6" w:space="0"/>
                    <w:right w:val="outset" w:color="auto" w:sz="6" w:space="0"/>
                  </w:tcBorders>
                  <w:vAlign w:val="center"/>
                </w:tcPr>
                <w:p w14:paraId="65BB6436">
                  <w:r>
                    <w:rPr>
                      <w:rStyle w:val="11"/>
                      <w:rFonts w:hint="eastAsia"/>
                    </w:rPr>
                    <w:t>喷雾</w:t>
                  </w:r>
                </w:p>
              </w:tc>
            </w:tr>
            <w:tr w14:paraId="63F5E1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A63D94">
                  <w:r>
                    <w:rPr>
                      <w:rStyle w:val="11"/>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742DAD12">
                  <w:r>
                    <w:rPr>
                      <w:rStyle w:val="11"/>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73554AD7">
                  <w:r>
                    <w:rPr>
                      <w:rStyle w:val="11"/>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60B74DDA">
                  <w:r>
                    <w:rPr>
                      <w:rStyle w:val="11"/>
                      <w:rFonts w:hint="eastAsia"/>
                    </w:rPr>
                    <w:t>喷雾</w:t>
                  </w:r>
                </w:p>
              </w:tc>
            </w:tr>
            <w:tr w14:paraId="240B00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716281">
                  <w:r>
                    <w:rPr>
                      <w:rStyle w:val="11"/>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155FA77B">
                  <w:r>
                    <w:rPr>
                      <w:rStyle w:val="11"/>
                      <w:rFonts w:hint="eastAsia"/>
                    </w:rPr>
                    <w:t>叶霉病</w:t>
                  </w:r>
                </w:p>
              </w:tc>
              <w:tc>
                <w:tcPr>
                  <w:tcW w:w="0" w:type="auto"/>
                  <w:tcBorders>
                    <w:top w:val="outset" w:color="auto" w:sz="6" w:space="0"/>
                    <w:left w:val="outset" w:color="auto" w:sz="6" w:space="0"/>
                    <w:bottom w:val="outset" w:color="auto" w:sz="6" w:space="0"/>
                    <w:right w:val="outset" w:color="auto" w:sz="6" w:space="0"/>
                  </w:tcBorders>
                  <w:vAlign w:val="center"/>
                </w:tcPr>
                <w:p w14:paraId="1F6320F3">
                  <w:r>
                    <w:rPr>
                      <w:rStyle w:val="11"/>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2CA96094">
                  <w:r>
                    <w:rPr>
                      <w:rStyle w:val="11"/>
                      <w:rFonts w:hint="eastAsia"/>
                    </w:rPr>
                    <w:t>喷雾</w:t>
                  </w:r>
                </w:p>
              </w:tc>
            </w:tr>
            <w:tr w14:paraId="1E6D7E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CF3B30">
                  <w:r>
                    <w:rPr>
                      <w:rStyle w:val="11"/>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2ABC9590">
                  <w:r>
                    <w:rPr>
                      <w:rStyle w:val="11"/>
                      <w:rFonts w:hint="eastAsia"/>
                    </w:rPr>
                    <w:t>靶斑病</w:t>
                  </w:r>
                </w:p>
              </w:tc>
              <w:tc>
                <w:tcPr>
                  <w:tcW w:w="0" w:type="auto"/>
                  <w:tcBorders>
                    <w:top w:val="outset" w:color="auto" w:sz="6" w:space="0"/>
                    <w:left w:val="outset" w:color="auto" w:sz="6" w:space="0"/>
                    <w:bottom w:val="outset" w:color="auto" w:sz="6" w:space="0"/>
                    <w:right w:val="outset" w:color="auto" w:sz="6" w:space="0"/>
                  </w:tcBorders>
                  <w:vAlign w:val="center"/>
                </w:tcPr>
                <w:p w14:paraId="640D5B29">
                  <w:r>
                    <w:rPr>
                      <w:rStyle w:val="11"/>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6995CCD7">
                  <w:r>
                    <w:rPr>
                      <w:rStyle w:val="11"/>
                      <w:rFonts w:hint="eastAsia"/>
                    </w:rPr>
                    <w:t>喷雾</w:t>
                  </w:r>
                </w:p>
              </w:tc>
            </w:tr>
            <w:tr w14:paraId="7238AB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4B0FC7">
                  <w:r>
                    <w:rPr>
                      <w:rStyle w:val="11"/>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1FBB58CE">
                  <w:r>
                    <w:rPr>
                      <w:rStyle w:val="11"/>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337018F5">
                  <w:r>
                    <w:rPr>
                      <w:rStyle w:val="11"/>
                      <w:rFonts w:hint="eastAsia"/>
                    </w:rPr>
                    <w:t>5-10毫升/亩</w:t>
                  </w:r>
                </w:p>
              </w:tc>
              <w:tc>
                <w:tcPr>
                  <w:tcW w:w="0" w:type="auto"/>
                  <w:tcBorders>
                    <w:top w:val="outset" w:color="auto" w:sz="6" w:space="0"/>
                    <w:left w:val="outset" w:color="auto" w:sz="6" w:space="0"/>
                    <w:bottom w:val="outset" w:color="auto" w:sz="6" w:space="0"/>
                    <w:right w:val="outset" w:color="auto" w:sz="6" w:space="0"/>
                  </w:tcBorders>
                  <w:vAlign w:val="center"/>
                </w:tcPr>
                <w:p w14:paraId="71577886">
                  <w:r>
                    <w:rPr>
                      <w:rStyle w:val="11"/>
                      <w:rFonts w:hint="eastAsia"/>
                    </w:rPr>
                    <w:t>喷雾</w:t>
                  </w:r>
                </w:p>
              </w:tc>
            </w:tr>
            <w:tr w14:paraId="29EFDD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D653D7">
                  <w:r>
                    <w:rPr>
                      <w:rStyle w:val="11"/>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23DBA49">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0A94A464">
                  <w:r>
                    <w:rPr>
                      <w:rStyle w:val="11"/>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6333065E">
                  <w:r>
                    <w:rPr>
                      <w:rStyle w:val="11"/>
                      <w:rFonts w:hint="eastAsia"/>
                    </w:rPr>
                    <w:t>喷雾</w:t>
                  </w:r>
                </w:p>
              </w:tc>
            </w:tr>
            <w:tr w14:paraId="0B3E52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E8C283">
                  <w:r>
                    <w:rPr>
                      <w:rStyle w:val="11"/>
                      <w:rFonts w:hint="eastAsia"/>
                    </w:rPr>
                    <w:t>苦瓜</w:t>
                  </w:r>
                </w:p>
              </w:tc>
              <w:tc>
                <w:tcPr>
                  <w:tcW w:w="0" w:type="auto"/>
                  <w:tcBorders>
                    <w:top w:val="outset" w:color="auto" w:sz="6" w:space="0"/>
                    <w:left w:val="outset" w:color="auto" w:sz="6" w:space="0"/>
                    <w:bottom w:val="outset" w:color="auto" w:sz="6" w:space="0"/>
                    <w:right w:val="outset" w:color="auto" w:sz="6" w:space="0"/>
                  </w:tcBorders>
                  <w:vAlign w:val="center"/>
                </w:tcPr>
                <w:p w14:paraId="51055657">
                  <w:r>
                    <w:rPr>
                      <w:rStyle w:val="11"/>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5332E68">
                  <w:r>
                    <w:rPr>
                      <w:rStyle w:val="11"/>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3F5CC781">
                  <w:r>
                    <w:rPr>
                      <w:rStyle w:val="11"/>
                      <w:rFonts w:hint="eastAsia"/>
                    </w:rPr>
                    <w:t>喷雾</w:t>
                  </w:r>
                </w:p>
              </w:tc>
            </w:tr>
            <w:tr w14:paraId="1E969A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A502FE">
                  <w:r>
                    <w:rPr>
                      <w:rStyle w:val="11"/>
                      <w:rFonts w:hint="eastAsia"/>
                    </w:rPr>
                    <w:t>洋葱</w:t>
                  </w:r>
                </w:p>
              </w:tc>
              <w:tc>
                <w:tcPr>
                  <w:tcW w:w="0" w:type="auto"/>
                  <w:tcBorders>
                    <w:top w:val="outset" w:color="auto" w:sz="6" w:space="0"/>
                    <w:left w:val="outset" w:color="auto" w:sz="6" w:space="0"/>
                    <w:bottom w:val="outset" w:color="auto" w:sz="6" w:space="0"/>
                    <w:right w:val="outset" w:color="auto" w:sz="6" w:space="0"/>
                  </w:tcBorders>
                  <w:vAlign w:val="center"/>
                </w:tcPr>
                <w:p w14:paraId="409C1F29">
                  <w:r>
                    <w:rPr>
                      <w:rStyle w:val="11"/>
                      <w:rFonts w:hint="eastAsia"/>
                    </w:rPr>
                    <w:t>紫斑病</w:t>
                  </w:r>
                </w:p>
              </w:tc>
              <w:tc>
                <w:tcPr>
                  <w:tcW w:w="0" w:type="auto"/>
                  <w:tcBorders>
                    <w:top w:val="outset" w:color="auto" w:sz="6" w:space="0"/>
                    <w:left w:val="outset" w:color="auto" w:sz="6" w:space="0"/>
                    <w:bottom w:val="outset" w:color="auto" w:sz="6" w:space="0"/>
                    <w:right w:val="outset" w:color="auto" w:sz="6" w:space="0"/>
                  </w:tcBorders>
                  <w:vAlign w:val="center"/>
                </w:tcPr>
                <w:p w14:paraId="068618ED">
                  <w:r>
                    <w:rPr>
                      <w:rStyle w:val="11"/>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759D69F8">
                  <w:r>
                    <w:rPr>
                      <w:rStyle w:val="11"/>
                      <w:rFonts w:hint="eastAsia"/>
                    </w:rPr>
                    <w:t>喷雾</w:t>
                  </w:r>
                </w:p>
              </w:tc>
            </w:tr>
            <w:tr w14:paraId="763E5C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EB7AC7">
                  <w:r>
                    <w:rPr>
                      <w:rStyle w:val="11"/>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4CA3B809">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01A6079D">
                  <w:r>
                    <w:rPr>
                      <w:rStyle w:val="11"/>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78811625">
                  <w:r>
                    <w:rPr>
                      <w:rStyle w:val="11"/>
                      <w:rFonts w:hint="eastAsia"/>
                    </w:rPr>
                    <w:t>喷雾</w:t>
                  </w:r>
                </w:p>
              </w:tc>
            </w:tr>
            <w:tr w14:paraId="03479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6DB5D1">
                  <w:r>
                    <w:rPr>
                      <w:rStyle w:val="11"/>
                      <w:rFonts w:hint="eastAsia"/>
                    </w:rPr>
                    <w:t>甜瓜</w:t>
                  </w:r>
                </w:p>
              </w:tc>
              <w:tc>
                <w:tcPr>
                  <w:tcW w:w="0" w:type="auto"/>
                  <w:tcBorders>
                    <w:top w:val="outset" w:color="auto" w:sz="6" w:space="0"/>
                    <w:left w:val="outset" w:color="auto" w:sz="6" w:space="0"/>
                    <w:bottom w:val="outset" w:color="auto" w:sz="6" w:space="0"/>
                    <w:right w:val="outset" w:color="auto" w:sz="6" w:space="0"/>
                  </w:tcBorders>
                  <w:vAlign w:val="center"/>
                </w:tcPr>
                <w:p w14:paraId="32A60BEC">
                  <w:r>
                    <w:rPr>
                      <w:rStyle w:val="11"/>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53C01408">
                  <w:r>
                    <w:rPr>
                      <w:rStyle w:val="11"/>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059AB1E3">
                  <w:r>
                    <w:rPr>
                      <w:rStyle w:val="11"/>
                      <w:rFonts w:hint="eastAsia"/>
                    </w:rPr>
                    <w:t>喷雾</w:t>
                  </w:r>
                </w:p>
              </w:tc>
            </w:tr>
            <w:tr w14:paraId="67C594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0C206A">
                  <w:r>
                    <w:rPr>
                      <w:rStyle w:val="11"/>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3748D142">
                  <w:r>
                    <w:rPr>
                      <w:rStyle w:val="11"/>
                      <w:rFonts w:hint="eastAsia"/>
                    </w:rPr>
                    <w:t>蔓枯病</w:t>
                  </w:r>
                </w:p>
              </w:tc>
              <w:tc>
                <w:tcPr>
                  <w:tcW w:w="0" w:type="auto"/>
                  <w:tcBorders>
                    <w:top w:val="outset" w:color="auto" w:sz="6" w:space="0"/>
                    <w:left w:val="outset" w:color="auto" w:sz="6" w:space="0"/>
                    <w:bottom w:val="outset" w:color="auto" w:sz="6" w:space="0"/>
                    <w:right w:val="outset" w:color="auto" w:sz="6" w:space="0"/>
                  </w:tcBorders>
                  <w:vAlign w:val="center"/>
                </w:tcPr>
                <w:p w14:paraId="01CA8503">
                  <w:r>
                    <w:rPr>
                      <w:rStyle w:val="11"/>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0938957A">
                  <w:r>
                    <w:rPr>
                      <w:rStyle w:val="11"/>
                      <w:rFonts w:hint="eastAsia"/>
                    </w:rPr>
                    <w:t>喷雾</w:t>
                  </w:r>
                </w:p>
              </w:tc>
            </w:tr>
            <w:tr w14:paraId="02C58C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8CDFC8">
                  <w:r>
                    <w:rPr>
                      <w:rStyle w:val="11"/>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5C746B29">
                  <w:r>
                    <w:rPr>
                      <w:rStyle w:val="11"/>
                      <w:rFonts w:hint="eastAsia"/>
                    </w:rPr>
                    <w:t>白腐病</w:t>
                  </w:r>
                </w:p>
              </w:tc>
              <w:tc>
                <w:tcPr>
                  <w:tcW w:w="0" w:type="auto"/>
                  <w:tcBorders>
                    <w:top w:val="outset" w:color="auto" w:sz="6" w:space="0"/>
                    <w:left w:val="outset" w:color="auto" w:sz="6" w:space="0"/>
                    <w:bottom w:val="outset" w:color="auto" w:sz="6" w:space="0"/>
                    <w:right w:val="outset" w:color="auto" w:sz="6" w:space="0"/>
                  </w:tcBorders>
                  <w:vAlign w:val="center"/>
                </w:tcPr>
                <w:p w14:paraId="1E2B31A9">
                  <w:r>
                    <w:rPr>
                      <w:rStyle w:val="11"/>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05B37D43">
                  <w:r>
                    <w:rPr>
                      <w:rStyle w:val="11"/>
                      <w:rFonts w:hint="eastAsia"/>
                    </w:rPr>
                    <w:t>喷雾</w:t>
                  </w:r>
                </w:p>
              </w:tc>
            </w:tr>
            <w:tr w14:paraId="141EB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DB8321">
                  <w:r>
                    <w:rPr>
                      <w:rStyle w:val="11"/>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1C0C8C77">
                  <w:r>
                    <w:rPr>
                      <w:rStyle w:val="11"/>
                      <w:rFonts w:hint="eastAsia"/>
                    </w:rPr>
                    <w:t>黑痘病</w:t>
                  </w:r>
                </w:p>
              </w:tc>
              <w:tc>
                <w:tcPr>
                  <w:tcW w:w="0" w:type="auto"/>
                  <w:tcBorders>
                    <w:top w:val="outset" w:color="auto" w:sz="6" w:space="0"/>
                    <w:left w:val="outset" w:color="auto" w:sz="6" w:space="0"/>
                    <w:bottom w:val="outset" w:color="auto" w:sz="6" w:space="0"/>
                    <w:right w:val="outset" w:color="auto" w:sz="6" w:space="0"/>
                  </w:tcBorders>
                  <w:vAlign w:val="center"/>
                </w:tcPr>
                <w:p w14:paraId="493D508A">
                  <w:r>
                    <w:rPr>
                      <w:rStyle w:val="11"/>
                      <w:rFonts w:hint="eastAsia"/>
                    </w:rPr>
                    <w:t>2000-4000倍液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779506BF">
                  <w:r>
                    <w:rPr>
                      <w:rStyle w:val="11"/>
                      <w:rFonts w:hint="eastAsia"/>
                    </w:rPr>
                    <w:t>喷雾</w:t>
                  </w:r>
                </w:p>
              </w:tc>
            </w:tr>
            <w:tr w14:paraId="0DE9A1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C15D87">
                  <w:r>
                    <w:rPr>
                      <w:rStyle w:val="11"/>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600CB9E8">
                  <w:r>
                    <w:rPr>
                      <w:rStyle w:val="11"/>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378D36FD">
                  <w:r>
                    <w:rPr>
                      <w:rStyle w:val="11"/>
                      <w:rFonts w:hint="eastAsia"/>
                    </w:rPr>
                    <w:t>2000-4000倍液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526664C2">
                  <w:r>
                    <w:rPr>
                      <w:rStyle w:val="11"/>
                      <w:rFonts w:hint="eastAsia"/>
                    </w:rPr>
                    <w:t>喷雾</w:t>
                  </w:r>
                </w:p>
              </w:tc>
            </w:tr>
            <w:tr w14:paraId="21D3B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D8591A">
                  <w:r>
                    <w:rPr>
                      <w:rStyle w:val="11"/>
                      <w:rFonts w:hint="eastAsia"/>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1C90C65E">
                  <w:r>
                    <w:rPr>
                      <w:rStyle w:val="11"/>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9B937BF">
                  <w:r>
                    <w:rPr>
                      <w:rStyle w:val="11"/>
                      <w:rFonts w:hint="eastAsia"/>
                    </w:rPr>
                    <w:t>15-30毫升/亩</w:t>
                  </w:r>
                </w:p>
              </w:tc>
              <w:tc>
                <w:tcPr>
                  <w:tcW w:w="0" w:type="auto"/>
                  <w:tcBorders>
                    <w:top w:val="outset" w:color="auto" w:sz="6" w:space="0"/>
                    <w:left w:val="outset" w:color="auto" w:sz="6" w:space="0"/>
                    <w:bottom w:val="outset" w:color="auto" w:sz="6" w:space="0"/>
                    <w:right w:val="outset" w:color="auto" w:sz="6" w:space="0"/>
                  </w:tcBorders>
                  <w:vAlign w:val="center"/>
                </w:tcPr>
                <w:p w14:paraId="0A02FCC0">
                  <w:r>
                    <w:rPr>
                      <w:rStyle w:val="11"/>
                      <w:rFonts w:hint="eastAsia"/>
                    </w:rPr>
                    <w:t>喷雾</w:t>
                  </w:r>
                </w:p>
              </w:tc>
            </w:tr>
            <w:tr w14:paraId="39D6D1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2C92E5">
                  <w:r>
                    <w:rPr>
                      <w:rStyle w:val="11"/>
                      <w:rFonts w:hint="eastAsia"/>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4568A04B">
                  <w:r>
                    <w:rPr>
                      <w:rStyle w:val="11"/>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4D0417FA">
                  <w:r>
                    <w:rPr>
                      <w:rStyle w:val="11"/>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16290F39">
                  <w:r>
                    <w:rPr>
                      <w:rStyle w:val="11"/>
                      <w:rFonts w:hint="eastAsia"/>
                    </w:rPr>
                    <w:t>喷雾</w:t>
                  </w:r>
                </w:p>
              </w:tc>
            </w:tr>
            <w:tr w14:paraId="68221A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126568">
                  <w:r>
                    <w:rPr>
                      <w:rStyle w:val="11"/>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14C946E4">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46675E9B">
                  <w:r>
                    <w:rPr>
                      <w:rStyle w:val="11"/>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FC582A0">
                  <w:r>
                    <w:rPr>
                      <w:rStyle w:val="11"/>
                      <w:rFonts w:hint="eastAsia"/>
                    </w:rPr>
                    <w:t>喷雾</w:t>
                  </w:r>
                </w:p>
              </w:tc>
            </w:tr>
            <w:tr w14:paraId="6B19E5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9D5BF0">
                  <w:r>
                    <w:rPr>
                      <w:rStyle w:val="11"/>
                      <w:rFonts w:hint="eastAsia"/>
                    </w:rPr>
                    <w:t>芒果</w:t>
                  </w:r>
                </w:p>
              </w:tc>
              <w:tc>
                <w:tcPr>
                  <w:tcW w:w="0" w:type="auto"/>
                  <w:tcBorders>
                    <w:top w:val="outset" w:color="auto" w:sz="6" w:space="0"/>
                    <w:left w:val="outset" w:color="auto" w:sz="6" w:space="0"/>
                    <w:bottom w:val="outset" w:color="auto" w:sz="6" w:space="0"/>
                    <w:right w:val="outset" w:color="auto" w:sz="6" w:space="0"/>
                  </w:tcBorders>
                  <w:vAlign w:val="center"/>
                </w:tcPr>
                <w:p w14:paraId="7FB11DE5">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0D329E0E">
                  <w:r>
                    <w:rPr>
                      <w:rStyle w:val="11"/>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1F770D8A">
                  <w:r>
                    <w:rPr>
                      <w:rStyle w:val="11"/>
                      <w:rFonts w:hint="eastAsia"/>
                    </w:rPr>
                    <w:t>喷雾</w:t>
                  </w:r>
                </w:p>
              </w:tc>
            </w:tr>
            <w:tr w14:paraId="76DB27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BEFFC4">
                  <w:r>
                    <w:rPr>
                      <w:rStyle w:val="11"/>
                      <w:rFonts w:hint="eastAsia"/>
                    </w:rPr>
                    <w:t>猕猴桃树</w:t>
                  </w:r>
                </w:p>
              </w:tc>
              <w:tc>
                <w:tcPr>
                  <w:tcW w:w="0" w:type="auto"/>
                  <w:tcBorders>
                    <w:top w:val="outset" w:color="auto" w:sz="6" w:space="0"/>
                    <w:left w:val="outset" w:color="auto" w:sz="6" w:space="0"/>
                    <w:bottom w:val="outset" w:color="auto" w:sz="6" w:space="0"/>
                    <w:right w:val="outset" w:color="auto" w:sz="6" w:space="0"/>
                  </w:tcBorders>
                  <w:vAlign w:val="center"/>
                </w:tcPr>
                <w:p w14:paraId="638ACC7F">
                  <w:r>
                    <w:rPr>
                      <w:rStyle w:val="11"/>
                      <w:rFonts w:hint="eastAsia"/>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0DD4E630">
                  <w:r>
                    <w:rPr>
                      <w:rStyle w:val="11"/>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3F9554AF">
                  <w:r>
                    <w:rPr>
                      <w:rStyle w:val="11"/>
                      <w:rFonts w:hint="eastAsia"/>
                    </w:rPr>
                    <w:t>喷雾</w:t>
                  </w:r>
                </w:p>
              </w:tc>
            </w:tr>
            <w:tr w14:paraId="1C8EC5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3ED030">
                  <w:r>
                    <w:rPr>
                      <w:rStyle w:val="11"/>
                      <w:rFonts w:hint="eastAsia"/>
                    </w:rPr>
                    <w:t>樱桃树</w:t>
                  </w:r>
                </w:p>
              </w:tc>
              <w:tc>
                <w:tcPr>
                  <w:tcW w:w="0" w:type="auto"/>
                  <w:tcBorders>
                    <w:top w:val="outset" w:color="auto" w:sz="6" w:space="0"/>
                    <w:left w:val="outset" w:color="auto" w:sz="6" w:space="0"/>
                    <w:bottom w:val="outset" w:color="auto" w:sz="6" w:space="0"/>
                    <w:right w:val="outset" w:color="auto" w:sz="6" w:space="0"/>
                  </w:tcBorders>
                  <w:vAlign w:val="center"/>
                </w:tcPr>
                <w:p w14:paraId="4F8A6525">
                  <w:r>
                    <w:rPr>
                      <w:rStyle w:val="11"/>
                      <w:rFonts w:hint="eastAsia"/>
                    </w:rPr>
                    <w:t>褐腐病</w:t>
                  </w:r>
                </w:p>
              </w:tc>
              <w:tc>
                <w:tcPr>
                  <w:tcW w:w="0" w:type="auto"/>
                  <w:tcBorders>
                    <w:top w:val="outset" w:color="auto" w:sz="6" w:space="0"/>
                    <w:left w:val="outset" w:color="auto" w:sz="6" w:space="0"/>
                    <w:bottom w:val="outset" w:color="auto" w:sz="6" w:space="0"/>
                    <w:right w:val="outset" w:color="auto" w:sz="6" w:space="0"/>
                  </w:tcBorders>
                  <w:vAlign w:val="center"/>
                </w:tcPr>
                <w:p w14:paraId="61288501">
                  <w:r>
                    <w:rPr>
                      <w:rStyle w:val="11"/>
                      <w:rFonts w:hint="eastAsia"/>
                    </w:rPr>
                    <w:t>1500-2000倍液</w:t>
                  </w:r>
                </w:p>
              </w:tc>
              <w:tc>
                <w:tcPr>
                  <w:tcW w:w="0" w:type="auto"/>
                  <w:tcBorders>
                    <w:top w:val="outset" w:color="auto" w:sz="6" w:space="0"/>
                    <w:left w:val="outset" w:color="auto" w:sz="6" w:space="0"/>
                    <w:bottom w:val="outset" w:color="auto" w:sz="6" w:space="0"/>
                    <w:right w:val="outset" w:color="auto" w:sz="6" w:space="0"/>
                  </w:tcBorders>
                  <w:vAlign w:val="center"/>
                </w:tcPr>
                <w:p w14:paraId="09834FC4">
                  <w:r>
                    <w:rPr>
                      <w:rStyle w:val="11"/>
                      <w:rFonts w:hint="eastAsia"/>
                    </w:rPr>
                    <w:t>喷雾</w:t>
                  </w:r>
                </w:p>
              </w:tc>
            </w:tr>
            <w:tr w14:paraId="1491A5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F24ED4">
                  <w:r>
                    <w:rPr>
                      <w:rStyle w:val="11"/>
                      <w:rFonts w:hint="eastAsia"/>
                    </w:rPr>
                    <w:t>人参</w:t>
                  </w:r>
                </w:p>
              </w:tc>
              <w:tc>
                <w:tcPr>
                  <w:tcW w:w="0" w:type="auto"/>
                  <w:tcBorders>
                    <w:top w:val="outset" w:color="auto" w:sz="6" w:space="0"/>
                    <w:left w:val="outset" w:color="auto" w:sz="6" w:space="0"/>
                    <w:bottom w:val="outset" w:color="auto" w:sz="6" w:space="0"/>
                    <w:right w:val="outset" w:color="auto" w:sz="6" w:space="0"/>
                  </w:tcBorders>
                  <w:vAlign w:val="center"/>
                </w:tcPr>
                <w:p w14:paraId="062F63B2">
                  <w:r>
                    <w:rPr>
                      <w:rStyle w:val="11"/>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289AA82E">
                  <w:r>
                    <w:rPr>
                      <w:rStyle w:val="11"/>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22656EE1">
                  <w:r>
                    <w:rPr>
                      <w:rStyle w:val="11"/>
                      <w:rFonts w:hint="eastAsia"/>
                    </w:rPr>
                    <w:t>喷雾</w:t>
                  </w:r>
                </w:p>
              </w:tc>
            </w:tr>
            <w:tr w14:paraId="720507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F48BCE">
                  <w:r>
                    <w:rPr>
                      <w:rStyle w:val="11"/>
                      <w:rFonts w:hint="eastAsia"/>
                    </w:rPr>
                    <w:t>三七</w:t>
                  </w:r>
                </w:p>
              </w:tc>
              <w:tc>
                <w:tcPr>
                  <w:tcW w:w="0" w:type="auto"/>
                  <w:tcBorders>
                    <w:top w:val="outset" w:color="auto" w:sz="6" w:space="0"/>
                    <w:left w:val="outset" w:color="auto" w:sz="6" w:space="0"/>
                    <w:bottom w:val="outset" w:color="auto" w:sz="6" w:space="0"/>
                    <w:right w:val="outset" w:color="auto" w:sz="6" w:space="0"/>
                  </w:tcBorders>
                  <w:vAlign w:val="center"/>
                </w:tcPr>
                <w:p w14:paraId="6356F2C3">
                  <w:r>
                    <w:rPr>
                      <w:rStyle w:val="11"/>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04B150BB">
                  <w:r>
                    <w:rPr>
                      <w:rStyle w:val="11"/>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774AAC28">
                  <w:r>
                    <w:rPr>
                      <w:rStyle w:val="11"/>
                      <w:rFonts w:hint="eastAsia"/>
                    </w:rPr>
                    <w:t>喷雾</w:t>
                  </w:r>
                </w:p>
              </w:tc>
            </w:tr>
            <w:tr w14:paraId="7ED062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164400">
                  <w:r>
                    <w:rPr>
                      <w:rStyle w:val="11"/>
                      <w:rFonts w:hint="eastAsia"/>
                    </w:rPr>
                    <w:t>豇豆</w:t>
                  </w:r>
                </w:p>
              </w:tc>
              <w:tc>
                <w:tcPr>
                  <w:tcW w:w="0" w:type="auto"/>
                  <w:tcBorders>
                    <w:top w:val="outset" w:color="auto" w:sz="6" w:space="0"/>
                    <w:left w:val="outset" w:color="auto" w:sz="6" w:space="0"/>
                    <w:bottom w:val="outset" w:color="auto" w:sz="6" w:space="0"/>
                    <w:right w:val="outset" w:color="auto" w:sz="6" w:space="0"/>
                  </w:tcBorders>
                  <w:vAlign w:val="center"/>
                </w:tcPr>
                <w:p w14:paraId="74B08673">
                  <w:r>
                    <w:rPr>
                      <w:rStyle w:val="11"/>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39B42973">
                  <w:r>
                    <w:rPr>
                      <w:rStyle w:val="11"/>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08B8AABD">
                  <w:r>
                    <w:rPr>
                      <w:rStyle w:val="11"/>
                      <w:rFonts w:hint="eastAsia"/>
                    </w:rPr>
                    <w:t>喷雾</w:t>
                  </w:r>
                </w:p>
              </w:tc>
            </w:tr>
            <w:tr w14:paraId="778B4E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ACCCD4">
                  <w:r>
                    <w:rPr>
                      <w:rStyle w:val="11"/>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563B1C0E">
                  <w:r>
                    <w:rPr>
                      <w:rStyle w:val="11"/>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1AA6B5A0">
                  <w:r>
                    <w:rPr>
                      <w:rStyle w:val="11"/>
                      <w:rFonts w:hint="eastAsia"/>
                    </w:rPr>
                    <w:t>15-30毫升/亩</w:t>
                  </w:r>
                </w:p>
              </w:tc>
              <w:tc>
                <w:tcPr>
                  <w:tcW w:w="0" w:type="auto"/>
                  <w:tcBorders>
                    <w:top w:val="outset" w:color="auto" w:sz="6" w:space="0"/>
                    <w:left w:val="outset" w:color="auto" w:sz="6" w:space="0"/>
                    <w:bottom w:val="outset" w:color="auto" w:sz="6" w:space="0"/>
                    <w:right w:val="outset" w:color="auto" w:sz="6" w:space="0"/>
                  </w:tcBorders>
                  <w:vAlign w:val="center"/>
                </w:tcPr>
                <w:p w14:paraId="6184B326">
                  <w:r>
                    <w:rPr>
                      <w:rStyle w:val="11"/>
                      <w:rFonts w:hint="eastAsia"/>
                    </w:rPr>
                    <w:t>喷雾</w:t>
                  </w:r>
                </w:p>
              </w:tc>
            </w:tr>
          </w:tbl>
          <w:p w14:paraId="2DC6D700">
            <w:pPr>
              <w:rPr>
                <w:rFonts w:ascii="Times New Roman" w:hAnsi="Times New Roman" w:cs="Times New Roman"/>
                <w:sz w:val="20"/>
                <w:szCs w:val="20"/>
              </w:rPr>
            </w:pPr>
          </w:p>
        </w:tc>
      </w:tr>
      <w:tr w14:paraId="22FBFDDB">
        <w:tblPrEx>
          <w:tblCellMar>
            <w:top w:w="0" w:type="dxa"/>
            <w:left w:w="0" w:type="dxa"/>
            <w:bottom w:w="0" w:type="dxa"/>
            <w:right w:w="0" w:type="dxa"/>
          </w:tblCellMar>
        </w:tblPrEx>
        <w:trPr>
          <w:tblCellSpacing w:w="0" w:type="dxa"/>
        </w:trPr>
        <w:tc>
          <w:tcPr>
            <w:tcW w:w="0" w:type="auto"/>
            <w:vAlign w:val="center"/>
          </w:tcPr>
          <w:p w14:paraId="3FAA06B5">
            <w:r>
              <w:rPr>
                <w:rStyle w:val="10"/>
                <w:rFonts w:hint="eastAsia"/>
              </w:rPr>
              <w:t>使用技术要求:</w:t>
            </w:r>
            <w:r>
              <w:rPr>
                <w:rFonts w:hint="eastAsia"/>
              </w:rPr>
              <w:br w:type="textWrapping"/>
            </w:r>
            <w:r>
              <w:rPr>
                <w:rStyle w:val="11"/>
                <w:rFonts w:hint="eastAsia"/>
              </w:rPr>
              <w:t>1、配药前请摇匀，配药时采用二次稀释法；配好的药液要立即使用； 2、在葡萄粒黄豆大小之前完成用药，每亩用药液量不超过25毫升，按稀释倍数施用；在果树上使用时按稀释倍数，根据果树冠层大小确定合适的用水量，均匀喷雾处理；其他根据作物大小，确定合适的用水量，按每亩推荐用药量施用； 3、在病害发生前或发生初期使用，灰霉病在花期开始进行喷雾处理效果最佳；建议蔬菜、瓜类、中药材等每隔7-10天施用一次；建议果树每隔10-15天施用一次； 4、预计病害重发生时，建议使用高剂量； 5、大风天或预计1小时内降雨，请勿施药； 6、安全间隔期：黄瓜和豇豆为3天，番茄、辣椒、甜瓜、苦瓜和草莓为5天，西瓜、马铃薯和人参为7天，葡萄、樱桃树、猕猴桃树、荔枝树、芒果和洋葱为14天，三七为21天； 7、每季最多施用次数：黄瓜、番茄、辣椒、西瓜、草莓、葡萄、人参、苦瓜、樱桃、荔枝、豇豆、猕猴桃、甜瓜、三七和洋葱2次，芒果和马铃薯3次。</w:t>
            </w:r>
          </w:p>
        </w:tc>
      </w:tr>
      <w:tr w14:paraId="42E29126">
        <w:tblPrEx>
          <w:tblCellMar>
            <w:top w:w="0" w:type="dxa"/>
            <w:left w:w="0" w:type="dxa"/>
            <w:bottom w:w="0" w:type="dxa"/>
            <w:right w:w="0" w:type="dxa"/>
          </w:tblCellMar>
        </w:tblPrEx>
        <w:trPr>
          <w:tblCellSpacing w:w="0" w:type="dxa"/>
        </w:trPr>
        <w:tc>
          <w:tcPr>
            <w:tcW w:w="0" w:type="auto"/>
            <w:vAlign w:val="center"/>
          </w:tcPr>
          <w:p w14:paraId="70EE824C">
            <w:r>
              <w:rPr>
                <w:rStyle w:val="10"/>
                <w:rFonts w:hint="eastAsia"/>
              </w:rPr>
              <w:t>产品性能:</w:t>
            </w:r>
            <w:r>
              <w:rPr>
                <w:rFonts w:hint="eastAsia"/>
              </w:rPr>
              <w:br w:type="textWrapping"/>
            </w:r>
            <w:r>
              <w:rPr>
                <w:rStyle w:val="11"/>
                <w:rFonts w:hint="eastAsia"/>
              </w:rPr>
              <w:t>本品为低毒内吸性杀菌剂，由新的吡啶乙基苯酰胺类杀菌剂氟吡菌酰胺和甲氧基丙烯酸酯类杀菌剂肟菌酯复配而成，具有保护作用和一定的治疗作用。</w:t>
            </w:r>
          </w:p>
        </w:tc>
      </w:tr>
      <w:tr w14:paraId="6A7D7EEF">
        <w:tblPrEx>
          <w:tblCellMar>
            <w:top w:w="0" w:type="dxa"/>
            <w:left w:w="0" w:type="dxa"/>
            <w:bottom w:w="0" w:type="dxa"/>
            <w:right w:w="0" w:type="dxa"/>
          </w:tblCellMar>
        </w:tblPrEx>
        <w:trPr>
          <w:tblCellSpacing w:w="0" w:type="dxa"/>
        </w:trPr>
        <w:tc>
          <w:tcPr>
            <w:tcW w:w="0" w:type="auto"/>
            <w:vAlign w:val="center"/>
          </w:tcPr>
          <w:p w14:paraId="48F21C23">
            <w:r>
              <w:rPr>
                <w:rStyle w:val="10"/>
                <w:rFonts w:hint="eastAsia"/>
              </w:rPr>
              <w:t>注意事项：</w:t>
            </w:r>
            <w:r>
              <w:rPr>
                <w:rFonts w:hint="eastAsia"/>
              </w:rPr>
              <w:br w:type="textWrapping"/>
            </w:r>
            <w:r>
              <w:rPr>
                <w:rStyle w:val="11"/>
                <w:rFonts w:hint="eastAsia"/>
              </w:rPr>
              <w:t>1．使用时应戴防护镜、口罩和手套，穿防护服，并禁止饮食、吸烟、饮水等； 2．施药后用肥皂和足量清水彻底清洗手、面部以及其它可能接触药液的身体部位； 3．本品对水生生物有极高毒性风险，药品及废液严禁污染各类水域、土壤等环境；水产养殖区、河塘等水体附近禁用；严禁在河塘清洗施药器械； 4．鸟类保护区禁用； 5．如果施药田地紧邻桑树园，则该桑树园最外围一行桑树的叶子不可使用； 6．空包装应三次清洗后妥善处理； 7．避免孕妇及哺乳期妇女接触。</w:t>
            </w:r>
          </w:p>
        </w:tc>
      </w:tr>
      <w:tr w14:paraId="3974358C">
        <w:trPr>
          <w:tblCellSpacing w:w="0" w:type="dxa"/>
        </w:trPr>
        <w:tc>
          <w:tcPr>
            <w:tcW w:w="0" w:type="auto"/>
            <w:vAlign w:val="center"/>
          </w:tcPr>
          <w:p w14:paraId="2A8986BF">
            <w:r>
              <w:rPr>
                <w:rStyle w:val="10"/>
                <w:rFonts w:hint="eastAsia"/>
              </w:rPr>
              <w:t>中毒急救措施：</w:t>
            </w:r>
            <w:r>
              <w:rPr>
                <w:rFonts w:hint="eastAsia"/>
              </w:rPr>
              <w:br w:type="textWrapping"/>
            </w:r>
            <w:r>
              <w:rPr>
                <w:rStyle w:val="11"/>
                <w:rFonts w:hint="eastAsia"/>
              </w:rPr>
              <w:t>1. 一般建议：将中毒者从危险区域转移，脱去受污染衣物并妥善处置，转移时需保持中毒者处于稳定的侧卧体位； 2. 如皮肤接触：用肥皂和大量清水彻底清洗，如有条件，先用聚乙二醇400清洗再用清水冲洗，如仍有不适，应立即就医； 3. 如误入眼睛：立即用大量清水冲洗至少15分钟；如戴隐形眼镜，先冲洗5分钟，摘掉眼镜后再继续冲洗，如仍有不适，应立即就医； 4. 如误吸入：将患者移到空气新鲜处，使其保持温暖和休息，如仍有不适，应立即就医； 5. 如误食：禁止催吐，用水漱口，并立即携此标签就医； 6.无已知或预知的中毒症状，无特效解毒剂，建议医生根据患者症状对症治疗，大量吞食两小时内应考虑洗胃，可考虑给服活性炭和硫酸钠； 7. 如发生中毒事故或化学事故请拨打国家化学事故应急响应专线0532-83889090。</w:t>
            </w:r>
          </w:p>
        </w:tc>
      </w:tr>
      <w:tr w14:paraId="76EC58E3">
        <w:tblPrEx>
          <w:tblCellMar>
            <w:top w:w="0" w:type="dxa"/>
            <w:left w:w="0" w:type="dxa"/>
            <w:bottom w:w="0" w:type="dxa"/>
            <w:right w:w="0" w:type="dxa"/>
          </w:tblCellMar>
        </w:tblPrEx>
        <w:trPr>
          <w:tblCellSpacing w:w="0" w:type="dxa"/>
        </w:trPr>
        <w:tc>
          <w:tcPr>
            <w:tcW w:w="0" w:type="auto"/>
            <w:vAlign w:val="center"/>
          </w:tcPr>
          <w:p w14:paraId="7F62C4B2">
            <w:r>
              <w:rPr>
                <w:rStyle w:val="10"/>
                <w:rFonts w:hint="eastAsia"/>
              </w:rPr>
              <w:t>储存和运输方法：</w:t>
            </w:r>
            <w:r>
              <w:rPr>
                <w:rFonts w:hint="eastAsia"/>
              </w:rPr>
              <w:br w:type="textWrapping"/>
            </w:r>
            <w:r>
              <w:rPr>
                <w:rStyle w:val="11"/>
                <w:rFonts w:hint="eastAsia"/>
              </w:rPr>
              <w:t>1. 本品应以原包装贮存于阴凉、干燥和通风处；避免阳光或强光源照射； 2. 不能与食品、饮料、粮食、饲料等混合储存和运输； 3. 置于儿童接触不到的地方，加锁保管； 4. 存贮温度为-10~40°C； 5. 运输时应注意防水防潮，避免雨淋；搬运时轻搬轻放，不可倒置； 6. 远离火源或热源。</w:t>
            </w:r>
          </w:p>
        </w:tc>
      </w:tr>
      <w:tr w14:paraId="18A37D46">
        <w:tblPrEx>
          <w:tblCellMar>
            <w:top w:w="0" w:type="dxa"/>
            <w:left w:w="0" w:type="dxa"/>
            <w:bottom w:w="0" w:type="dxa"/>
            <w:right w:w="0" w:type="dxa"/>
          </w:tblCellMar>
        </w:tblPrEx>
        <w:trPr>
          <w:tblCellSpacing w:w="0" w:type="dxa"/>
        </w:trPr>
        <w:tc>
          <w:tcPr>
            <w:tcW w:w="0" w:type="auto"/>
            <w:vAlign w:val="center"/>
          </w:tcPr>
          <w:p w14:paraId="2AB364AC">
            <w:r>
              <w:rPr>
                <w:rStyle w:val="10"/>
                <w:rFonts w:hint="eastAsia"/>
              </w:rPr>
              <w:t>质量保证期：</w:t>
            </w:r>
            <w:r>
              <w:rPr>
                <w:rStyle w:val="11"/>
                <w:rFonts w:hint="eastAsia"/>
              </w:rPr>
              <w:t>3年</w:t>
            </w:r>
          </w:p>
        </w:tc>
      </w:tr>
      <w:tr w14:paraId="6B5CAE09">
        <w:tblPrEx>
          <w:tblCellMar>
            <w:top w:w="0" w:type="dxa"/>
            <w:left w:w="0" w:type="dxa"/>
            <w:bottom w:w="0" w:type="dxa"/>
            <w:right w:w="0" w:type="dxa"/>
          </w:tblCellMar>
        </w:tblPrEx>
        <w:trPr>
          <w:tblCellSpacing w:w="0" w:type="dxa"/>
        </w:trPr>
        <w:tc>
          <w:tcPr>
            <w:tcW w:w="0" w:type="auto"/>
            <w:vAlign w:val="center"/>
          </w:tcPr>
          <w:p w14:paraId="54473AB0">
            <w:r>
              <w:rPr>
                <w:rStyle w:val="10"/>
                <w:rFonts w:hint="eastAsia"/>
              </w:rPr>
              <w:t>备注：</w:t>
            </w:r>
          </w:p>
        </w:tc>
      </w:tr>
    </w:tbl>
    <w:p w14:paraId="538D28C6">
      <w:pPr>
        <w:rPr>
          <w:rFonts w:hint="eastAsia"/>
        </w:rPr>
      </w:pPr>
    </w:p>
    <w:sectPr>
      <w:footerReference r:id="rId3"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rPr>
      <w:id w:val="839042516"/>
      <w:docPartObj>
        <w:docPartGallery w:val="AutoText"/>
      </w:docPartObj>
    </w:sdtPr>
    <w:sdtEndPr>
      <w:rPr>
        <w:rFonts w:hint="eastAsia"/>
      </w:rPr>
    </w:sdtEndPr>
    <w:sdtContent>
      <w:p w14:paraId="126C918D">
        <w:pPr>
          <w:pStyle w:val="3"/>
          <w:jc w:val="center"/>
          <w:rPr>
            <w:rFonts w:hint="eastAsia"/>
          </w:rPr>
        </w:pPr>
        <w:r>
          <w:rPr>
            <w:rFonts w:hint="eastAsia"/>
          </w:rPr>
          <w:fldChar w:fldCharType="begin"/>
        </w:r>
        <w:r>
          <w:rPr>
            <w:rFonts w:hint="eastAsia"/>
          </w:rPr>
          <w:instrText xml:space="preserve">PAGE   \* MERGEFORMAT</w:instrText>
        </w:r>
        <w:r>
          <w:fldChar w:fldCharType="separate"/>
        </w:r>
        <w:r>
          <w:rPr>
            <w:lang w:val="zh-CN"/>
          </w:rPr>
          <w:t>39</w:t>
        </w:r>
        <w:r>
          <w:rPr>
            <w:rFonts w:hint="eastAsia"/>
          </w:rPr>
          <w:fldChar w:fldCharType="end"/>
        </w:r>
      </w:p>
    </w:sdtContent>
  </w:sdt>
  <w:p w14:paraId="092C0BAC">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056B03"/>
    <w:rsid w:val="00056B03"/>
    <w:rsid w:val="00BF7FD5"/>
    <w:rsid w:val="36C73FA8"/>
    <w:rsid w:val="4F9C3DCC"/>
    <w:rsid w:val="7ABB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locked/>
    <w:uiPriority w:val="99"/>
    <w:rPr>
      <w:rFonts w:hint="eastAsia" w:ascii="宋体" w:hAnsi="宋体" w:eastAsia="宋体" w:cs="宋体"/>
      <w:sz w:val="18"/>
      <w:szCs w:val="18"/>
    </w:rPr>
  </w:style>
  <w:style w:type="character" w:customStyle="1" w:styleId="8">
    <w:name w:val="页脚 Char"/>
    <w:basedOn w:val="6"/>
    <w:link w:val="3"/>
    <w:locked/>
    <w:uiPriority w:val="99"/>
    <w:rPr>
      <w:rFonts w:hint="eastAsia" w:ascii="宋体" w:hAnsi="宋体" w:eastAsia="宋体" w:cs="宋体"/>
      <w:sz w:val="18"/>
      <w:szCs w:val="18"/>
    </w:rPr>
  </w:style>
  <w:style w:type="character" w:customStyle="1" w:styleId="9">
    <w:name w:val="批注框文本 Char"/>
    <w:basedOn w:val="6"/>
    <w:link w:val="2"/>
    <w:semiHidden/>
    <w:locked/>
    <w:uiPriority w:val="99"/>
    <w:rPr>
      <w:rFonts w:hint="eastAsia" w:ascii="宋体" w:hAnsi="宋体" w:eastAsia="宋体" w:cs="宋体"/>
      <w:sz w:val="18"/>
      <w:szCs w:val="18"/>
    </w:rPr>
  </w:style>
  <w:style w:type="character" w:customStyle="1" w:styleId="10">
    <w:name w:val="style4"/>
    <w:basedOn w:val="6"/>
    <w:uiPriority w:val="0"/>
  </w:style>
  <w:style w:type="character" w:customStyle="1" w:styleId="11">
    <w:name w:val="style7"/>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4E02-FFF1-4408-9FE1-4DFA9A276AD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40</Pages>
  <Words>941</Words>
  <Characters>977</Characters>
  <Lines>280</Lines>
  <Paragraphs>79</Paragraphs>
  <TotalTime>1</TotalTime>
  <ScaleCrop>false</ScaleCrop>
  <LinksUpToDate>false</LinksUpToDate>
  <CharactersWithSpaces>991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2023-09-24T07:57:00Z</dcterms:created>
  <dc:creator>fgp</dc:creator>
  <cp:lastModifiedBy>zys</cp:lastModifiedBy>
  <cp:lastPrinted>2021-08-30T00:45:00Z</cp:lastPrinted>
  <dcterms:modified xsi:type="dcterms:W3CDTF">2025-04-03T07:32:38Z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eyJoZGlkIjoiZDliZTgxZjExNTU0ZmQ4YWNmOTU4N2RkNTAxYWJiYzUiLCJ1c2VySWQiOiIxMTg1NDE4MTY3In0=</vt:lpwstr>
  </property>
  <property fmtid="{D5CDD505-2E9C-101B-9397-08002B2CF9AE}" pid="3" name="KSOProductBuildVer">
    <vt:lpwstr>2052-12.1.0.20305</vt:lpwstr>
  </property>
  <property fmtid="{D5CDD505-2E9C-101B-9397-08002B2CF9AE}" pid="4" name="ICV">
    <vt:lpwstr>7B7E22B574B64649AA6E4692890EA955_13</vt:lpwstr>
  </property>
</Properties>
</file>