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hint="eastAsia" w:ascii="黑体" w:hAnsi="黑体" w:eastAsia="黑体"/>
                <w:sz w:val="21"/>
                <w:szCs w:val="21"/>
              </w:rPr>
              <w:t>35.240.68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0"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B0</w:t>
            </w:r>
            <w:r>
              <w:rPr>
                <w:rFonts w:hint="eastAsia" w:ascii="黑体" w:hAnsi="黑体" w:eastAsia="黑体"/>
                <w:sz w:val="21"/>
                <w:szCs w:val="21"/>
              </w:rPr>
              <w:t>4</w:t>
            </w:r>
            <w:r>
              <w:rPr>
                <w:rFonts w:ascii="黑体" w:hAnsi="黑体" w:eastAsia="黑体"/>
                <w:sz w:val="21"/>
                <w:szCs w:val="21"/>
              </w:rPr>
              <w:fldChar w:fldCharType="end"/>
            </w:r>
            <w:bookmarkEnd w:id="0"/>
          </w:p>
        </w:tc>
      </w:tr>
    </w:tbl>
    <w:tbl>
      <w:tblPr>
        <w:tblStyle w:val="28"/>
        <w:tblpPr w:leftFromText="181" w:rightFromText="181" w:horzAnchor="margin" w:tblpX="3857" w:tblpY="5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28" w:hRule="atLeast"/>
        </w:trPr>
        <w:tc>
          <w:tcPr>
            <w:tcW w:w="4990" w:type="dxa"/>
          </w:tcPr>
          <w:p>
            <w:pPr>
              <w:pStyle w:val="50"/>
              <w:framePr w:w="0" w:hRule="auto" w:wrap="auto" w:vAnchor="margin" w:hAnchor="text" w:xAlign="left" w:yAlign="inline"/>
              <w:ind w:firstLine="420"/>
            </w:pPr>
            <w:bookmarkStart w:id="1" w:name="_Hlk26473981"/>
            <w:r>
              <w:fldChar w:fldCharType="begin">
                <w:ffData>
                  <w:name w:val="c1"/>
                  <w:enabled/>
                  <w:calcOnExit w:val="0"/>
                  <w:textInput>
                    <w:maxLength w:val="8"/>
                  </w:textInput>
                </w:ffData>
              </w:fldChar>
            </w:r>
            <w:bookmarkStart w:id="2" w:name="c1"/>
            <w:r>
              <w:instrText xml:space="preserve"> FORMTEXT </w:instrText>
            </w:r>
            <w:r>
              <w:fldChar w:fldCharType="separate"/>
            </w:r>
            <w:r>
              <w:t>NY</w:t>
            </w:r>
            <w:r>
              <w:fldChar w:fldCharType="end"/>
            </w:r>
            <w:bookmarkEnd w:id="2"/>
          </w:p>
        </w:tc>
      </w:tr>
    </w:tbl>
    <w:p>
      <w:pPr>
        <w:pStyle w:val="51"/>
        <w:framePr w:w="9639" w:h="624" w:hRule="exact" w:hSpace="181" w:vSpace="181" w:hAnchor="page" w:x="1305" w:y="2269"/>
        <w:rPr>
          <w:rFonts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3"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农业</w:t>
      </w:r>
      <w:r>
        <w:rPr>
          <w:rFonts w:ascii="黑体" w:eastAsia="黑体"/>
          <w:b w:val="0"/>
          <w:bCs w:val="0"/>
          <w:w w:val="100"/>
          <w:sz w:val="48"/>
        </w:rPr>
        <w:fldChar w:fldCharType="end"/>
      </w:r>
      <w:bookmarkEnd w:id="3"/>
      <w:r>
        <w:rPr>
          <w:rFonts w:hint="eastAsia" w:ascii="黑体" w:hAnsi="黑体" w:eastAsia="黑体"/>
          <w:b w:val="0"/>
          <w:bCs w:val="0"/>
          <w:w w:val="100"/>
          <w:sz w:val="48"/>
          <w:szCs w:val="48"/>
        </w:rPr>
        <w:t>行业标准</w:t>
      </w:r>
    </w:p>
    <w:bookmarkEnd w:id="1"/>
    <w:p>
      <w:pPr>
        <w:pStyle w:val="196"/>
        <w:framePr/>
        <w:rPr>
          <w:lang w:val="fr-FR"/>
        </w:rPr>
      </w:pP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t>NT</w:t>
      </w:r>
      <w:r>
        <w:rPr>
          <w:lang w:val="fr-FR"/>
        </w:rPr>
        <w:t>/T</w:t>
      </w:r>
      <w:r>
        <w:fldChar w:fldCharType="end"/>
      </w:r>
      <w:bookmarkEnd w:id="4"/>
      <w:r>
        <w:rPr>
          <w:lang w:val="fr-FR"/>
        </w:rPr>
        <w:t xml:space="preserve"> </w:t>
      </w:r>
      <w:r>
        <w:fldChar w:fldCharType="begin">
          <w:ffData>
            <w:name w:val="NSTD_CODE_F"/>
            <w:enabled/>
            <w:calcOnExit w:val="0"/>
            <w:textInput>
              <w:default w:val="XXXXX"/>
            </w:textInput>
          </w:ffData>
        </w:fldChar>
      </w:r>
      <w:bookmarkStart w:id="5" w:name="NSTD_CODE_F"/>
      <w:r>
        <w:rPr>
          <w:lang w:val="fr-FR"/>
        </w:rPr>
        <w:instrText xml:space="preserve"> FORMTEXT </w:instrText>
      </w:r>
      <w:r>
        <w:fldChar w:fldCharType="separate"/>
      </w:r>
      <w:r>
        <w:rPr>
          <w:lang w:val="fr-FR"/>
        </w:rPr>
        <w:t>XXXXX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197"/>
        <w:framePr/>
        <w:rPr>
          <w:rFonts w:hAnsi="黑体"/>
          <w:lang w:val="fr-FR"/>
        </w:rPr>
      </w:pPr>
      <w:r>
        <w:rPr>
          <w:rFonts w:hAnsi="黑体"/>
        </w:rPr>
        <w:fldChar w:fldCharType="begin">
          <w:ffData>
            <w:name w:val="OSTD_CODE"/>
            <w:enabled/>
            <w:calcOnExit w:val="0"/>
            <w:textInput/>
          </w:ffData>
        </w:fldChar>
      </w:r>
      <w:bookmarkStart w:id="7" w:name="OSTD_CODE"/>
      <w:r>
        <w:rPr>
          <w:rFonts w:hAnsi="黑体"/>
          <w:lang w:val="fr-FR"/>
        </w:rPr>
        <w:instrText xml:space="preserve"> FORMTEXT </w:instrText>
      </w:r>
      <w:r>
        <w:rPr>
          <w:rFonts w:hAnsi="黑体"/>
        </w:rPr>
        <w:fldChar w:fldCharType="separate"/>
      </w:r>
      <w:r>
        <w:rPr>
          <w:rFonts w:hAnsi="黑体"/>
        </w:rPr>
        <w:t>代替</w:t>
      </w:r>
      <w:r>
        <w:rPr>
          <w:rFonts w:hAnsi="黑体"/>
          <w:lang w:val="fr-FR"/>
        </w:rPr>
        <w:t xml:space="preserve"> XX/T</w:t>
      </w:r>
      <w:r>
        <w:rPr>
          <w:rFonts w:hAnsi="黑体"/>
        </w:rPr>
        <w:fldChar w:fldCharType="end"/>
      </w:r>
      <w:bookmarkEnd w:id="7"/>
    </w:p>
    <w:p>
      <w:pPr>
        <w:spacing w:line="240" w:lineRule="auto"/>
        <w:rPr>
          <w:rFonts w:ascii="黑体" w:hAnsi="黑体" w:eastAsia="黑体"/>
          <w:kern w:val="0"/>
          <w:sz w:val="10"/>
          <w:szCs w:val="10"/>
          <w:lang w:val="fr-FR"/>
        </w:rPr>
      </w:pPr>
      <w:r>
        <w:rPr>
          <w:rFonts w:ascii="黑体" w:hAnsi="黑体" w:eastAsia="黑体"/>
          <w:kern w:val="0"/>
          <w:sz w:val="10"/>
          <w:szCs w:val="10"/>
        </w:rPr>
        <w:pict>
          <v:line id="Line 2"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F4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lang w:val="fr-FR"/>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棉花株型与熟性数量化指标监测通用技术要求</w:t>
      </w:r>
      <w:r>
        <w:fldChar w:fldCharType="end"/>
      </w:r>
      <w:bookmarkEnd w:id="8"/>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hint="eastAsia" w:eastAsia="黑体"/>
          <w:szCs w:val="28"/>
        </w:rPr>
        <w:t>General Technical Requirements for monitoring of cotton plant type and maturity quantitative index</w:t>
      </w:r>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spacing w:before="440" w:after="160"/>
        <w:textAlignment w:val="bottom"/>
        <w:rPr>
          <w:sz w:val="24"/>
          <w:szCs w:val="28"/>
        </w:rPr>
      </w:pPr>
      <w:r>
        <w:rPr>
          <w:rFonts w:hint="eastAsia"/>
          <w:sz w:val="24"/>
          <w:szCs w:val="28"/>
          <w:lang w:val="en-US" w:eastAsia="zh-CN"/>
        </w:rPr>
        <w:t xml:space="preserve"> </w:t>
      </w:r>
      <w:r>
        <w:rPr>
          <w:rFonts w:hint="eastAsia"/>
          <w:sz w:val="24"/>
          <w:szCs w:val="28"/>
          <w:lang w:eastAsia="zh-CN"/>
        </w:rPr>
        <w:t>（征求意见稿）</w:t>
      </w:r>
      <w:bookmarkStart w:id="56" w:name="_GoBack"/>
      <w:bookmarkEnd w:id="56"/>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9"/>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p>
    <w:p>
      <w:pPr>
        <w:pStyle w:val="194"/>
        <w:framePr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2"/>
        <w:framePr w:h="584" w:hRule="exact" w:hSpace="181" w:vSpace="181" w:y="14800"/>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021" w:left="1134" w:header="1418" w:footer="1134" w:gutter="284"/>
          <w:cols w:space="425" w:num="1"/>
          <w:titlePg/>
          <w:docGrid w:linePitch="312" w:charSpace="0"/>
        </w:sectPr>
      </w:pPr>
      <w:r>
        <w:rPr>
          <w:rFonts w:hAnsi="黑体"/>
          <w:spacing w:val="20"/>
          <w:sz w:val="28"/>
        </w:rPr>
        <w:fldChar w:fldCharType="begin">
          <w:ffData>
            <w:name w:val="fm"/>
            <w:enabled/>
            <w:calcOnExit w:val="0"/>
            <w:textInput/>
          </w:ffData>
        </w:fldChar>
      </w:r>
      <w:bookmarkStart w:id="17" w:name="fm"/>
      <w:r>
        <w:rPr>
          <w:rFonts w:hAnsi="黑体"/>
          <w:spacing w:val="20"/>
          <w:sz w:val="28"/>
        </w:rPr>
        <w:instrText xml:space="preserve"> FORMTEXT </w:instrText>
      </w:r>
      <w:r>
        <w:rPr>
          <w:rFonts w:hAnsi="黑体"/>
          <w:spacing w:val="20"/>
          <w:sz w:val="28"/>
        </w:rPr>
        <w:fldChar w:fldCharType="separate"/>
      </w:r>
      <w:r>
        <w:rPr>
          <w:rFonts w:hint="eastAsia" w:hAnsi="黑体"/>
          <w:spacing w:val="20"/>
          <w:sz w:val="28"/>
        </w:rPr>
        <w:t>中华人民共和国农业部</w:t>
      </w:r>
      <w:r>
        <w:rPr>
          <w:rFonts w:hAnsi="黑体"/>
          <w:spacing w:val="20"/>
          <w:sz w:val="28"/>
        </w:rPr>
        <w:fldChar w:fldCharType="end"/>
      </w:r>
      <w:bookmarkEnd w:id="17"/>
      <w:r>
        <w:rPr>
          <w:rFonts w:ascii="Times New Roman"/>
          <w:w w:val="100"/>
          <w:sz w:val="28"/>
          <w:szCs w:val="28"/>
        </w:rPr>
        <w:t>  </w:t>
      </w:r>
      <w:r>
        <w:rPr>
          <w:rStyle w:val="230"/>
          <w:rFonts w:hint="eastAsia" w:hAnsi="黑体"/>
          <w:position w:val="0"/>
        </w:rPr>
        <w:t>发</w:t>
      </w:r>
      <w:r>
        <w:rPr>
          <w:rStyle w:val="230"/>
          <w:rFonts w:hint="eastAsia" w:hAnsi="黑体"/>
          <w:spacing w:val="0"/>
          <w:position w:val="0"/>
        </w:rPr>
        <w:t>布</w:t>
      </w:r>
      <w:r>
        <w:rPr>
          <w:rFonts w:ascii="宋体" w:hAnsi="宋体"/>
          <w:sz w:val="28"/>
          <w:szCs w:val="28"/>
        </w:rPr>
        <w:pict>
          <v:line id="Line 3"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caV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">
            <v:path arrowok="t"/>
            <v:fill focussize="0,0"/>
            <v:stroke/>
            <v:imagedata o:title=""/>
            <o:lock v:ext="edit"/>
            <w10:anchorlock/>
          </v:line>
        </w:pict>
      </w:r>
    </w:p>
    <w:sdt>
      <w:sdtPr>
        <w:rPr>
          <w:rFonts w:ascii="宋体" w:hAnsi="宋体"/>
        </w:rPr>
        <w:id w:val="147455080"/>
        <w:docPartObj>
          <w:docPartGallery w:val="Table of Contents"/>
          <w:docPartUnique/>
        </w:docPartObj>
      </w:sdtPr>
      <w:sdtEndPr>
        <w:rPr>
          <w:rFonts w:ascii="宋体" w:hAnsi="宋体"/>
        </w:rPr>
      </w:sdtEndPr>
      <w:sdtContent>
        <w:p>
          <w:pPr>
            <w:spacing w:line="240" w:lineRule="auto"/>
            <w:jc w:val="center"/>
            <w:rPr>
              <w:rFonts w:ascii="黑体" w:hAnsi="黑体" w:eastAsia="黑体" w:cs="黑体"/>
              <w:sz w:val="32"/>
              <w:szCs w:val="32"/>
            </w:rPr>
          </w:pPr>
          <w:bookmarkStart w:id="18" w:name="_Toc29612"/>
          <w:r>
            <w:rPr>
              <w:rFonts w:hint="eastAsia" w:ascii="黑体" w:hAnsi="Times New Roman" w:eastAsia="黑体"/>
              <w:spacing w:val="320"/>
              <w:kern w:val="0"/>
              <w:sz w:val="32"/>
              <w:szCs w:val="20"/>
            </w:rPr>
            <w:t>目次</w:t>
          </w:r>
        </w:p>
        <w:p>
          <w:pPr>
            <w:pStyle w:val="19"/>
            <w:tabs>
              <w:tab w:val="right" w:leader="dot" w:pos="9354"/>
            </w:tabs>
          </w:pPr>
          <w:r>
            <w:fldChar w:fldCharType="begin"/>
          </w:r>
          <w:r>
            <w:instrText xml:space="preserve">TOC \o "1-1" \h \u </w:instrText>
          </w:r>
          <w:r>
            <w:fldChar w:fldCharType="separate"/>
          </w:r>
          <w:r>
            <w:fldChar w:fldCharType="begin"/>
          </w:r>
          <w:r>
            <w:instrText xml:space="preserve"> HYPERLINK \l "_Toc18935" </w:instrText>
          </w:r>
          <w:r>
            <w:fldChar w:fldCharType="separate"/>
          </w:r>
          <w:r>
            <w:rPr>
              <w:rFonts w:hint="eastAsia"/>
            </w:rPr>
            <w:t>前</w:t>
          </w:r>
          <w:r>
            <w:t>言</w:t>
          </w:r>
          <w:r>
            <w:tab/>
          </w:r>
          <w:r>
            <w:fldChar w:fldCharType="begin"/>
          </w:r>
          <w:r>
            <w:instrText xml:space="preserve"> PAGEREF _Toc18935 \h </w:instrText>
          </w:r>
          <w:r>
            <w:fldChar w:fldCharType="separate"/>
          </w:r>
          <w:r>
            <w:t>I</w:t>
          </w:r>
          <w:r>
            <w:fldChar w:fldCharType="end"/>
          </w:r>
          <w:r>
            <w:fldChar w:fldCharType="end"/>
          </w:r>
        </w:p>
        <w:p>
          <w:pPr>
            <w:pStyle w:val="19"/>
            <w:tabs>
              <w:tab w:val="right" w:leader="dot" w:pos="9354"/>
            </w:tabs>
          </w:pPr>
          <w:r>
            <w:fldChar w:fldCharType="begin"/>
          </w:r>
          <w:r>
            <w:instrText xml:space="preserve"> HYPERLINK \l "_Toc4332" </w:instrText>
          </w:r>
          <w:r>
            <w:fldChar w:fldCharType="separate"/>
          </w:r>
          <w:r>
            <w:rPr>
              <w:rFonts w:hint="eastAsia"/>
            </w:rPr>
            <w:t>引</w:t>
          </w:r>
          <w:r>
            <w:t>言</w:t>
          </w:r>
          <w:r>
            <w:tab/>
          </w:r>
          <w:r>
            <w:fldChar w:fldCharType="begin"/>
          </w:r>
          <w:r>
            <w:instrText xml:space="preserve"> PAGEREF _Toc4332 \h </w:instrText>
          </w:r>
          <w:r>
            <w:fldChar w:fldCharType="separate"/>
          </w:r>
          <w:r>
            <w:t>II</w:t>
          </w:r>
          <w:r>
            <w:fldChar w:fldCharType="end"/>
          </w:r>
          <w:r>
            <w:fldChar w:fldCharType="end"/>
          </w:r>
        </w:p>
        <w:p>
          <w:pPr>
            <w:pStyle w:val="19"/>
            <w:tabs>
              <w:tab w:val="right" w:leader="dot" w:pos="9354"/>
            </w:tabs>
          </w:pPr>
          <w:r>
            <w:fldChar w:fldCharType="begin"/>
          </w:r>
          <w:r>
            <w:instrText xml:space="preserve"> HYPERLINK \l "_Toc9730" </w:instrText>
          </w:r>
          <w:r>
            <w:fldChar w:fldCharType="separate"/>
          </w:r>
          <w:r>
            <w:rPr>
              <w:rFonts w:hint="eastAsia" w:ascii="黑体" w:eastAsia="黑体"/>
            </w:rPr>
            <w:t xml:space="preserve">1 </w:t>
          </w:r>
          <w:r>
            <w:rPr>
              <w:rFonts w:hint="eastAsia"/>
            </w:rPr>
            <w:t>范围</w:t>
          </w:r>
          <w:r>
            <w:tab/>
          </w:r>
          <w:r>
            <w:fldChar w:fldCharType="begin"/>
          </w:r>
          <w:r>
            <w:instrText xml:space="preserve"> PAGEREF _Toc9730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"_Toc14929"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_Toc14929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"_Toc3686"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_Toc3686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"_Toc31758" </w:instrText>
          </w:r>
          <w:r>
            <w:fldChar w:fldCharType="separate"/>
          </w:r>
          <w:r>
            <w:rPr>
              <w:rFonts w:hint="eastAsia" w:ascii="黑体" w:eastAsia="黑体"/>
            </w:rPr>
            <w:t xml:space="preserve">4 </w:t>
          </w:r>
          <w:r>
            <w:rPr>
              <w:rFonts w:hint="eastAsia"/>
            </w:rPr>
            <w:t>株型数量化</w:t>
          </w:r>
          <w:r>
            <w:tab/>
          </w:r>
          <w:r>
            <w:fldChar w:fldCharType="begin"/>
          </w:r>
          <w:r>
            <w:instrText xml:space="preserve"> PAGEREF _Toc31758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"_Toc24204" </w:instrText>
          </w:r>
          <w:r>
            <w:fldChar w:fldCharType="separate"/>
          </w:r>
          <w:r>
            <w:rPr>
              <w:rFonts w:hint="eastAsia" w:ascii="黑体" w:eastAsia="黑体"/>
            </w:rPr>
            <w:t xml:space="preserve">5 </w:t>
          </w:r>
          <w:r>
            <w:rPr>
              <w:rFonts w:hint="eastAsia"/>
            </w:rPr>
            <w:t>熟性数量化</w:t>
          </w:r>
          <w:r>
            <w:tab/>
          </w:r>
          <w:r>
            <w:fldChar w:fldCharType="begin"/>
          </w:r>
          <w:r>
            <w:instrText xml:space="preserve"> PAGEREF _Toc24204 \h </w:instrText>
          </w:r>
          <w:r>
            <w:fldChar w:fldCharType="separate"/>
          </w:r>
          <w:r>
            <w:t>2</w:t>
          </w:r>
          <w:r>
            <w:fldChar w:fldCharType="end"/>
          </w:r>
          <w:r>
            <w:fldChar w:fldCharType="end"/>
          </w:r>
        </w:p>
        <w:p>
          <w:pPr>
            <w:pStyle w:val="19"/>
            <w:tabs>
              <w:tab w:val="right" w:leader="dot" w:pos="9354"/>
            </w:tabs>
          </w:pPr>
          <w:r>
            <w:fldChar w:fldCharType="begin"/>
          </w:r>
          <w:r>
            <w:instrText xml:space="preserve"> HYPERLINK \l "_Toc14624" </w:instrText>
          </w:r>
          <w:r>
            <w:fldChar w:fldCharType="separate"/>
          </w:r>
          <w:r>
            <w:rPr>
              <w:rFonts w:hint="eastAsia"/>
            </w:rPr>
            <w:t>附录</w:t>
          </w:r>
          <w:r>
            <w:tab/>
          </w:r>
          <w:r>
            <w:fldChar w:fldCharType="begin"/>
          </w:r>
          <w:r>
            <w:instrText xml:space="preserve"> PAGEREF _Toc14624 \h </w:instrText>
          </w:r>
          <w:r>
            <w:fldChar w:fldCharType="separate"/>
          </w:r>
          <w:r>
            <w:t>4</w:t>
          </w:r>
          <w:r>
            <w:fldChar w:fldCharType="end"/>
          </w:r>
          <w:r>
            <w:fldChar w:fldCharType="end"/>
          </w:r>
        </w:p>
        <w:p>
          <w:pPr>
            <w:sectPr>
              <w:headerReference r:id="rId11" w:type="default"/>
              <w:footerReference r:id="rId12" w:type="default"/>
              <w:pgSz w:w="11906" w:h="16838"/>
              <w:pgMar w:top="1928" w:right="1134" w:bottom="1134" w:left="1134" w:header="1418" w:footer="1134" w:gutter="284"/>
              <w:pgNumType w:fmt="upperRoman" w:start="1"/>
              <w:cols w:space="425" w:num="1"/>
              <w:formProt w:val="0"/>
              <w:docGrid w:linePitch="312" w:charSpace="0"/>
            </w:sectPr>
          </w:pPr>
          <w:r>
            <w:fldChar w:fldCharType="end"/>
          </w:r>
        </w:p>
      </w:sdtContent>
    </w:sdt>
    <w:p/>
    <w:p>
      <w:pPr>
        <w:pStyle w:val="90"/>
        <w:numPr>
          <w:ilvl w:val="0"/>
          <w:numId w:val="0"/>
        </w:numPr>
        <w:spacing w:after="360"/>
      </w:pPr>
      <w:bookmarkStart w:id="19" w:name="_Toc18935"/>
      <w:r>
        <w:rPr>
          <w:spacing w:val="320"/>
        </w:rPr>
        <w:t>前</w:t>
      </w:r>
      <w:r>
        <w:t>言</w:t>
      </w:r>
      <w:bookmarkEnd w:id="18"/>
      <w:bookmarkEnd w:id="19"/>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请注意本文件的某些内容可能涉及专利。本文件的发布机构不承担识别这些专利的责任。</w:t>
      </w:r>
    </w:p>
    <w:p>
      <w:pPr>
        <w:pStyle w:val="57"/>
        <w:ind w:firstLine="420"/>
      </w:pPr>
      <w:r>
        <w:rPr>
          <w:rFonts w:hint="eastAsia"/>
        </w:rPr>
        <w:t>本文件由农业农村部市场与信息化司提出。</w:t>
      </w:r>
    </w:p>
    <w:p>
      <w:pPr>
        <w:pStyle w:val="57"/>
        <w:ind w:firstLine="420"/>
      </w:pPr>
      <w:r>
        <w:rPr>
          <w:rFonts w:hint="eastAsia"/>
        </w:rPr>
        <w:t>本文件由农业农村部农业信息化标准化技术委员会归口。</w:t>
      </w:r>
    </w:p>
    <w:p>
      <w:pPr>
        <w:pStyle w:val="57"/>
        <w:ind w:firstLine="420"/>
      </w:pPr>
      <w:r>
        <w:rPr>
          <w:rFonts w:hint="eastAsia"/>
        </w:rPr>
        <w:t>本文件起草单位：中国农业科学院棉花研究所。</w:t>
      </w:r>
    </w:p>
    <w:p>
      <w:pPr>
        <w:pStyle w:val="57"/>
        <w:ind w:firstLine="420"/>
      </w:pPr>
      <w:r>
        <w:rPr>
          <w:rFonts w:hint="eastAsia"/>
        </w:rPr>
        <w:t>本文件主要起草人：李亚兵、杨北方、韩迎春、冯璐、王国平、雷亚平、王占彪、李小飞、范正义、熊世武、邢芳芳、辛明华、杜文丽。</w:t>
      </w:r>
    </w:p>
    <w:p>
      <w:pPr>
        <w:pStyle w:val="57"/>
        <w:ind w:firstLine="420"/>
        <w:rPr>
          <w:color w:val="FF0000"/>
        </w:rPr>
      </w:pPr>
      <w:r>
        <w:rPr>
          <w:rFonts w:hint="eastAsia"/>
        </w:rPr>
        <w:t>本文件为首次发布。</w:t>
      </w:r>
    </w:p>
    <w:p>
      <w:pPr>
        <w:pStyle w:val="57"/>
        <w:ind w:firstLine="420"/>
      </w:pPr>
    </w:p>
    <w:p>
      <w:r>
        <w:br w:type="page"/>
      </w:r>
    </w:p>
    <w:p>
      <w:pPr>
        <w:pStyle w:val="90"/>
        <w:spacing w:after="360"/>
      </w:pPr>
      <w:bookmarkStart w:id="20" w:name="_Toc4332"/>
      <w:bookmarkStart w:id="21" w:name="_Toc25187"/>
      <w:r>
        <w:rPr>
          <w:rFonts w:hint="eastAsia"/>
          <w:spacing w:val="320"/>
        </w:rPr>
        <w:t>引</w:t>
      </w:r>
      <w:r>
        <w:t>言</w:t>
      </w:r>
      <w:bookmarkEnd w:id="20"/>
      <w:bookmarkEnd w:id="21"/>
    </w:p>
    <w:p>
      <w:pPr>
        <w:pStyle w:val="57"/>
        <w:ind w:firstLine="420"/>
        <w:rPr>
          <w:color w:val="FF0000"/>
        </w:rPr>
        <w:sectPr>
          <w:pgSz w:w="11906" w:h="16838"/>
          <w:pgMar w:top="1928" w:right="1134" w:bottom="1134" w:left="1134" w:header="1418" w:footer="1134" w:gutter="284"/>
          <w:pgNumType w:fmt="upperRoman" w:start="1"/>
          <w:cols w:space="425" w:num="1"/>
          <w:formProt w:val="0"/>
          <w:docGrid w:linePitch="312" w:charSpace="0"/>
        </w:sectPr>
      </w:pPr>
      <w:r>
        <w:rPr>
          <w:rFonts w:hint="eastAsia"/>
        </w:rPr>
        <w:t>为提高棉花生产管理的精准性，提高棉花生产资源利用效率，实现棉花提质增效，基于长势和气候监测，提出棉花长势重要指标株型和熟性的数量化要求，编制本标准。</w:t>
      </w:r>
    </w:p>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58603332E36436FA82934C29EB2342D"/>
        </w:placeholder>
      </w:sdtPr>
      <w:sdtContent>
        <w:p>
          <w:pPr>
            <w:pStyle w:val="178"/>
            <w:spacing w:beforeLines="100" w:afterLines="220"/>
          </w:pPr>
          <w:bookmarkStart w:id="23" w:name="NEW_STAND_NAME"/>
          <w:r>
            <w:rPr>
              <w:rFonts w:hint="eastAsia"/>
            </w:rPr>
            <w:t>棉花株型与熟性数量化指标监测通用技术要求</w:t>
          </w:r>
        </w:p>
      </w:sdtContent>
    </w:sdt>
    <w:bookmarkEnd w:id="23"/>
    <w:p>
      <w:pPr>
        <w:pStyle w:val="105"/>
        <w:spacing w:before="240" w:after="240"/>
      </w:pPr>
      <w:bookmarkStart w:id="24" w:name="_Toc26718930"/>
      <w:bookmarkStart w:id="25" w:name="_Toc26648465"/>
      <w:bookmarkStart w:id="26" w:name="_Toc97195091"/>
      <w:bookmarkStart w:id="27" w:name="_Toc13688"/>
      <w:bookmarkStart w:id="28" w:name="_Toc26986771"/>
      <w:bookmarkStart w:id="29" w:name="_Toc9730"/>
      <w:bookmarkStart w:id="30" w:name="_Toc26986530"/>
      <w:bookmarkStart w:id="31" w:name="_Toc17233333"/>
      <w:bookmarkStart w:id="32" w:name="_Toc24884218"/>
      <w:bookmarkStart w:id="33" w:name="_Toc17233325"/>
      <w:bookmarkStart w:id="34" w:name="_Toc24884211"/>
      <w:r>
        <w:rPr>
          <w:rFonts w:hint="eastAsia"/>
        </w:rPr>
        <w:t>范围</w:t>
      </w:r>
      <w:bookmarkEnd w:id="24"/>
      <w:bookmarkEnd w:id="25"/>
      <w:bookmarkEnd w:id="26"/>
      <w:bookmarkEnd w:id="27"/>
      <w:bookmarkEnd w:id="28"/>
      <w:bookmarkEnd w:id="29"/>
      <w:bookmarkEnd w:id="30"/>
      <w:bookmarkEnd w:id="31"/>
      <w:bookmarkEnd w:id="32"/>
      <w:bookmarkEnd w:id="33"/>
      <w:bookmarkEnd w:id="34"/>
    </w:p>
    <w:p>
      <w:pPr>
        <w:pStyle w:val="57"/>
        <w:ind w:firstLine="420"/>
      </w:pPr>
      <w:bookmarkStart w:id="35" w:name="_Toc26718931"/>
      <w:bookmarkStart w:id="36" w:name="_Toc12671"/>
      <w:bookmarkStart w:id="37" w:name="_Toc17233334"/>
      <w:bookmarkStart w:id="38" w:name="_Toc24884219"/>
      <w:bookmarkStart w:id="39" w:name="_Toc17233326"/>
      <w:bookmarkStart w:id="40" w:name="_Toc26648466"/>
      <w:bookmarkStart w:id="41" w:name="_Toc24884212"/>
      <w:bookmarkStart w:id="42" w:name="_Toc97195092"/>
      <w:bookmarkStart w:id="43" w:name="_Toc26986772"/>
      <w:bookmarkStart w:id="44" w:name="_Toc26986531"/>
      <w:r>
        <w:rPr>
          <w:rFonts w:hint="eastAsia"/>
        </w:rPr>
        <w:t>本文件规定了棉花株型与熟性数量化指标监测中传感器的选择、监测点的设置、监测数据的采集及计算等内容。</w:t>
      </w:r>
    </w:p>
    <w:p>
      <w:pPr>
        <w:pStyle w:val="57"/>
        <w:ind w:firstLine="420"/>
      </w:pPr>
      <w:r>
        <w:rPr>
          <w:rFonts w:hint="eastAsia"/>
        </w:rPr>
        <w:t>本文件适用于农田尺度棉花株型与熟性数量化指标的监测。</w:t>
      </w:r>
    </w:p>
    <w:p>
      <w:pPr>
        <w:pStyle w:val="105"/>
        <w:spacing w:before="240" w:after="240"/>
      </w:pPr>
      <w:bookmarkStart w:id="45" w:name="_Toc14929"/>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28acccb2-98eb-41ac-a69d-3ad21702c45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rPr>
          <w:rFonts w:hint="eastAsia"/>
        </w:rPr>
        <w:t>GB/T 7027   信息分类和编码的基本原则与方法</w:t>
      </w:r>
    </w:p>
    <w:p>
      <w:pPr>
        <w:pStyle w:val="57"/>
        <w:ind w:firstLine="420"/>
      </w:pPr>
      <w:r>
        <w:rPr>
          <w:rFonts w:hint="eastAsia"/>
        </w:rPr>
        <w:t>GB/T 7665   传感器通用术语</w:t>
      </w:r>
    </w:p>
    <w:p>
      <w:pPr>
        <w:pStyle w:val="231"/>
        <w:ind w:firstLine="420"/>
      </w:pPr>
      <w:r>
        <w:fldChar w:fldCharType="begin"/>
      </w:r>
      <w:r>
        <w:instrText xml:space="preserve"> HYPERLINK "javascript:void(0)" </w:instrText>
      </w:r>
      <w:r>
        <w:fldChar w:fldCharType="separate"/>
      </w:r>
      <w:r>
        <w:t>GB/T 33745</w:t>
      </w:r>
      <w:r>
        <w:fldChar w:fldCharType="end"/>
      </w:r>
      <w:r>
        <w:rPr>
          <w:rFonts w:hint="eastAsia"/>
        </w:rPr>
        <w:t xml:space="preserve">  物联网术语</w:t>
      </w:r>
    </w:p>
    <w:p>
      <w:pPr>
        <w:pStyle w:val="57"/>
        <w:ind w:firstLine="420"/>
      </w:pPr>
      <w:r>
        <w:rPr>
          <w:rFonts w:hint="eastAsia"/>
        </w:rPr>
        <w:t>GB/T 37802—2019  农田信息监测点选址要求和监测规范</w:t>
      </w:r>
    </w:p>
    <w:p>
      <w:pPr>
        <w:pStyle w:val="105"/>
        <w:spacing w:before="240" w:after="240"/>
      </w:pPr>
      <w:bookmarkStart w:id="46" w:name="_Toc3686"/>
      <w:bookmarkStart w:id="47" w:name="_Toc9410"/>
      <w:bookmarkStart w:id="48" w:name="_Toc97195093"/>
      <w:r>
        <w:rPr>
          <w:rFonts w:hint="eastAsia"/>
          <w:szCs w:val="21"/>
        </w:rPr>
        <w:t>术语和定义</w:t>
      </w:r>
      <w:bookmarkEnd w:id="46"/>
      <w:bookmarkEnd w:id="47"/>
      <w:bookmarkEnd w:id="48"/>
    </w:p>
    <w:sdt>
      <w:sdtPr>
        <w:id w:val="-1909835108"/>
        <w:placeholder>
          <w:docPart w:val="1B58C7E3895545BBA28A38F0E4A528E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9" w:name="_Toc26986532"/>
          <w:bookmarkEnd w:id="49"/>
          <w:r>
            <w:rPr>
              <w:rFonts w:hint="eastAsia"/>
            </w:rPr>
            <w:t>GB/T 7665、GB/T 33745</w:t>
          </w:r>
          <w:r>
            <w:t>界定的以及下列术语和定义适用于本文件。</w:t>
          </w:r>
        </w:p>
      </w:sdtContent>
    </w:sdt>
    <w:p>
      <w:pPr>
        <w:pStyle w:val="224"/>
        <w:ind w:left="420" w:hanging="420" w:hangingChars="200"/>
        <w:outlineLvl w:val="1"/>
        <w:rPr>
          <w:rFonts w:ascii="黑体" w:hAnsi="黑体" w:eastAsia="黑体"/>
        </w:rPr>
      </w:pPr>
      <w:r>
        <w:rPr>
          <w:rFonts w:ascii="黑体" w:hAnsi="黑体" w:eastAsia="黑体"/>
        </w:rPr>
        <w:br w:type="textWrapping"/>
      </w:r>
      <w:r>
        <w:rPr>
          <w:rFonts w:hint="eastAsia" w:ascii="黑体" w:hAnsi="黑体" w:eastAsia="黑体"/>
        </w:rPr>
        <w:t>熟性  maturity</w:t>
      </w:r>
    </w:p>
    <w:p>
      <w:pPr>
        <w:pStyle w:val="57"/>
        <w:ind w:firstLine="420"/>
      </w:pPr>
      <w:r>
        <w:rPr>
          <w:rFonts w:hint="eastAsia"/>
        </w:rPr>
        <w:t>棉花生长发育进程和生殖生长发生速度。</w:t>
      </w:r>
    </w:p>
    <w:p>
      <w:pPr>
        <w:pStyle w:val="224"/>
        <w:ind w:left="420" w:hanging="420" w:hangingChars="200"/>
        <w:outlineLvl w:val="1"/>
        <w:rPr>
          <w:rFonts w:ascii="黑体" w:hAnsi="黑体" w:eastAsia="黑体"/>
          <w:color w:val="FF0000"/>
        </w:rPr>
      </w:pPr>
      <w:r>
        <w:rPr>
          <w:rFonts w:ascii="黑体" w:hAnsi="黑体" w:eastAsia="黑体"/>
          <w:color w:val="FF0000"/>
        </w:rPr>
        <w:br w:type="textWrapping"/>
      </w:r>
      <w:r>
        <w:rPr>
          <w:rFonts w:hint="eastAsia" w:ascii="黑体" w:hAnsi="黑体" w:eastAsia="黑体"/>
        </w:rPr>
        <w:t>株型  plant architecture</w:t>
      </w:r>
    </w:p>
    <w:p>
      <w:pPr>
        <w:pStyle w:val="57"/>
        <w:ind w:firstLine="420"/>
      </w:pPr>
      <w:r>
        <w:rPr>
          <w:rFonts w:hint="eastAsia"/>
        </w:rPr>
        <w:t>棉花成株的形状。</w:t>
      </w:r>
    </w:p>
    <w:p>
      <w:pPr>
        <w:pStyle w:val="57"/>
        <w:ind w:left="420" w:leftChars="200" w:firstLine="0" w:firstLineChars="0"/>
      </w:pPr>
      <w:r>
        <w:rPr>
          <w:rFonts w:hint="eastAsia" w:ascii="黑体" w:hAnsi="黑体" w:eastAsia="黑体" w:cs="黑体"/>
        </w:rPr>
        <w:t>注：</w:t>
      </w:r>
      <w:r>
        <w:rPr>
          <w:rFonts w:hint="eastAsia"/>
        </w:rPr>
        <w:t>棉花株型主要指地上部分各种器官的时空分布特点，包括塔形、筒形、球形等类型。群体光合有效辐射透射率是其最直接的数量化指标。</w:t>
      </w:r>
    </w:p>
    <w:p>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光合有效辐射透射率 transmittance of photosynthetically active radiation，TPAR</w:t>
      </w:r>
    </w:p>
    <w:p>
      <w:pPr>
        <w:pStyle w:val="57"/>
        <w:ind w:firstLine="420"/>
      </w:pPr>
      <w:r>
        <w:rPr>
          <w:rFonts w:hint="eastAsia"/>
        </w:rPr>
        <w:t>作物冠层内光合有效辐射入射量占冠层上方光合有效辐射总入射量的比率。</w:t>
      </w:r>
    </w:p>
    <w:p>
      <w:pPr>
        <w:pStyle w:val="224"/>
        <w:ind w:left="420" w:hanging="420" w:hangingChars="200"/>
        <w:rPr>
          <w:rFonts w:ascii="黑体" w:hAnsi="黑体" w:eastAsia="黑体"/>
        </w:rPr>
      </w:pPr>
    </w:p>
    <w:p>
      <w:pPr>
        <w:pStyle w:val="57"/>
        <w:ind w:firstLine="0" w:firstLineChars="0"/>
        <w:rPr>
          <w:rFonts w:ascii="黑体" w:hAnsi="黑体" w:eastAsia="黑体"/>
        </w:rPr>
      </w:pPr>
      <w:r>
        <w:t xml:space="preserve">    </w:t>
      </w:r>
      <w:r>
        <w:rPr>
          <w:rFonts w:hint="eastAsia" w:ascii="黑体" w:hAnsi="黑体" w:eastAsia="黑体"/>
        </w:rPr>
        <w:t xml:space="preserve">株型数量化 </w:t>
      </w:r>
      <w:r>
        <w:rPr>
          <w:rFonts w:ascii="黑体" w:hAnsi="黑体" w:eastAsia="黑体"/>
        </w:rPr>
        <w:t xml:space="preserve"> plant architecture </w:t>
      </w:r>
      <w:r>
        <w:rPr>
          <w:rFonts w:hint="eastAsia" w:ascii="黑体" w:hAnsi="黑体" w:eastAsia="黑体"/>
        </w:rPr>
        <w:t>quan</w:t>
      </w:r>
      <w:r>
        <w:rPr>
          <w:rFonts w:ascii="黑体" w:hAnsi="黑体" w:eastAsia="黑体"/>
        </w:rPr>
        <w:t>tification</w:t>
      </w:r>
    </w:p>
    <w:p>
      <w:pPr>
        <w:pStyle w:val="57"/>
        <w:ind w:firstLine="420" w:firstLineChars="0"/>
      </w:pPr>
      <w:r>
        <w:rPr>
          <w:rFonts w:hint="eastAsia"/>
        </w:rPr>
        <w:t>用特定指标数字化描述植株株型结构特征的方法。</w:t>
      </w:r>
    </w:p>
    <w:p>
      <w:pPr>
        <w:pStyle w:val="57"/>
        <w:ind w:firstLine="420"/>
      </w:pPr>
      <w:r>
        <w:rPr>
          <w:rFonts w:hint="eastAsia" w:ascii="黑体" w:hAnsi="黑体" w:eastAsia="黑体" w:cs="黑体"/>
        </w:rPr>
        <w:t>注：</w:t>
      </w:r>
      <w:r>
        <w:rPr>
          <w:rFonts w:hint="eastAsia"/>
        </w:rPr>
        <w:t>株型数量化通常用作物冠层群体</w:t>
      </w:r>
      <w:r>
        <w:rPr>
          <w:rFonts w:hint="eastAsia" w:ascii="黑体" w:hAnsi="黑体" w:eastAsia="黑体" w:cs="黑体"/>
        </w:rPr>
        <w:t>光合有效辐射透射率</w:t>
      </w:r>
      <w:r>
        <w:rPr>
          <w:rFonts w:hint="eastAsia"/>
        </w:rPr>
        <w:t>（3.3）描述株型结构特征。</w:t>
      </w:r>
    </w:p>
    <w:p>
      <w:pPr>
        <w:pStyle w:val="57"/>
        <w:ind w:firstLine="0" w:firstLineChars="0"/>
        <w:rPr>
          <w:rFonts w:ascii="黑体" w:hAnsi="黑体" w:eastAsia="黑体"/>
        </w:rPr>
      </w:pPr>
      <w:r>
        <w:rPr>
          <w:rFonts w:hint="eastAsia" w:ascii="黑体" w:hAnsi="黑体" w:eastAsia="黑体"/>
        </w:rPr>
        <w:t>3</w:t>
      </w:r>
      <w:r>
        <w:rPr>
          <w:rFonts w:ascii="黑体" w:hAnsi="黑体" w:eastAsia="黑体"/>
        </w:rPr>
        <w:t>.5</w:t>
      </w:r>
    </w:p>
    <w:p>
      <w:pPr>
        <w:pStyle w:val="57"/>
        <w:ind w:firstLine="0" w:firstLineChars="0"/>
        <w:rPr>
          <w:rFonts w:ascii="黑体" w:hAnsi="黑体" w:eastAsia="黑体"/>
        </w:rPr>
      </w:pPr>
      <w:r>
        <w:t xml:space="preserve">    </w:t>
      </w:r>
      <w:r>
        <w:rPr>
          <w:rFonts w:hint="eastAsia" w:ascii="黑体" w:hAnsi="黑体" w:eastAsia="黑体"/>
        </w:rPr>
        <w:t xml:space="preserve">熟性数量化 </w:t>
      </w:r>
      <w:r>
        <w:rPr>
          <w:rFonts w:ascii="黑体" w:hAnsi="黑体" w:eastAsia="黑体"/>
        </w:rPr>
        <w:t xml:space="preserve"> </w:t>
      </w:r>
      <w:r>
        <w:rPr>
          <w:rFonts w:hint="eastAsia" w:ascii="黑体" w:hAnsi="黑体" w:eastAsia="黑体"/>
        </w:rPr>
        <w:t>crop</w:t>
      </w:r>
      <w:r>
        <w:rPr>
          <w:rFonts w:ascii="黑体" w:hAnsi="黑体" w:eastAsia="黑体"/>
        </w:rPr>
        <w:t xml:space="preserve"> </w:t>
      </w:r>
      <w:r>
        <w:rPr>
          <w:rFonts w:hint="eastAsia" w:ascii="黑体" w:hAnsi="黑体" w:eastAsia="黑体"/>
        </w:rPr>
        <w:t>maturirty</w:t>
      </w:r>
      <w:r>
        <w:rPr>
          <w:rFonts w:ascii="黑体" w:hAnsi="黑体" w:eastAsia="黑体"/>
        </w:rPr>
        <w:t xml:space="preserve"> quantification</w:t>
      </w:r>
    </w:p>
    <w:p>
      <w:pPr>
        <w:pStyle w:val="57"/>
        <w:ind w:firstLine="420" w:firstLineChars="0"/>
      </w:pPr>
      <w:r>
        <w:rPr>
          <w:rFonts w:hint="eastAsia"/>
        </w:rPr>
        <w:t>用数字描述棉花不同生育期特定发育阶段指示性状的方法。</w:t>
      </w:r>
    </w:p>
    <w:p>
      <w:pPr>
        <w:pStyle w:val="57"/>
        <w:ind w:firstLine="420" w:firstLineChars="0"/>
      </w:pPr>
      <w:r>
        <w:rPr>
          <w:rFonts w:hint="eastAsia" w:ascii="黑体" w:hAnsi="黑体" w:eastAsia="黑体" w:cs="黑体"/>
        </w:rPr>
        <w:t>注：</w:t>
      </w:r>
      <w:r>
        <w:rPr>
          <w:rFonts w:hint="eastAsia"/>
        </w:rPr>
        <w:t>熟性数量化用于描述棉花的生育进程的发生速度。</w:t>
      </w:r>
    </w:p>
    <w:p>
      <w:pPr>
        <w:pStyle w:val="105"/>
        <w:spacing w:before="240" w:after="240"/>
        <w:rPr>
          <w:szCs w:val="21"/>
        </w:rPr>
      </w:pPr>
      <w:bookmarkStart w:id="50" w:name="_Toc31758"/>
      <w:bookmarkStart w:id="51" w:name="_Toc21244"/>
      <w:r>
        <w:rPr>
          <w:rFonts w:hint="eastAsia"/>
          <w:szCs w:val="21"/>
        </w:rPr>
        <w:t>株型数量化</w:t>
      </w:r>
      <w:bookmarkEnd w:id="50"/>
      <w:bookmarkEnd w:id="51"/>
    </w:p>
    <w:p>
      <w:pPr>
        <w:pStyle w:val="224"/>
        <w:spacing w:beforeLines="50" w:afterLines="50"/>
        <w:ind w:left="420" w:hanging="420" w:hangingChars="200"/>
        <w:outlineLvl w:val="1"/>
        <w:rPr>
          <w:rFonts w:ascii="黑体" w:hAnsi="黑体" w:eastAsia="黑体"/>
        </w:rPr>
      </w:pPr>
      <w:r>
        <w:rPr>
          <w:rFonts w:hint="eastAsia" w:ascii="黑体" w:hAnsi="黑体" w:eastAsia="黑体"/>
        </w:rPr>
        <w:t>光合有效辐射传感器选择</w:t>
      </w:r>
    </w:p>
    <w:p>
      <w:pPr>
        <w:pStyle w:val="57"/>
        <w:ind w:firstLine="420"/>
      </w:pPr>
      <w:r>
        <w:t>光合有效辐射传感器</w:t>
      </w:r>
      <w:r>
        <w:rPr>
          <w:rFonts w:hint="eastAsia"/>
        </w:rPr>
        <w:t>：</w:t>
      </w:r>
    </w:p>
    <w:p>
      <w:pPr>
        <w:pStyle w:val="57"/>
        <w:numPr>
          <w:ilvl w:val="0"/>
          <w:numId w:val="32"/>
        </w:numPr>
        <w:ind w:firstLine="420"/>
      </w:pPr>
      <w:r>
        <w:rPr>
          <w:rFonts w:hint="eastAsia"/>
        </w:rPr>
        <w:t>测量光谱</w:t>
      </w:r>
      <w:r>
        <w:t>范围</w:t>
      </w:r>
      <w:r>
        <w:rPr>
          <w:rFonts w:hint="eastAsia"/>
        </w:rPr>
        <w:t>应</w:t>
      </w:r>
      <w:r>
        <w:t>为400 nm</w:t>
      </w:r>
      <w:r>
        <w:rPr>
          <w:rFonts w:hint="eastAsia" w:cs="Arial"/>
        </w:rPr>
        <w:t>～</w:t>
      </w:r>
      <w:r>
        <w:t>700</w:t>
      </w:r>
      <w:r>
        <w:rPr>
          <w:rFonts w:hint="eastAsia"/>
        </w:rPr>
        <w:t xml:space="preserve"> </w:t>
      </w:r>
      <w:r>
        <w:t>nm；</w:t>
      </w:r>
    </w:p>
    <w:p>
      <w:pPr>
        <w:pStyle w:val="57"/>
        <w:numPr>
          <w:ilvl w:val="0"/>
          <w:numId w:val="32"/>
        </w:numPr>
        <w:ind w:firstLine="420"/>
      </w:pPr>
      <w:r>
        <w:t>量程不</w:t>
      </w:r>
      <w:r>
        <w:rPr>
          <w:rFonts w:hint="eastAsia"/>
        </w:rPr>
        <w:t>应</w:t>
      </w:r>
      <w:r>
        <w:t>低于2500</w:t>
      </w:r>
      <w:r>
        <w:rPr>
          <w:rFonts w:hint="eastAsia"/>
        </w:rPr>
        <w:t xml:space="preserve"> </w:t>
      </w:r>
      <w:r>
        <w:t>µmol•m</w:t>
      </w:r>
      <w:r>
        <w:rPr>
          <w:vertAlign w:val="superscript"/>
        </w:rPr>
        <w:t>-2</w:t>
      </w:r>
      <w:r>
        <w:t>•s</w:t>
      </w:r>
      <w:r>
        <w:rPr>
          <w:vertAlign w:val="superscript"/>
        </w:rPr>
        <w:t>-1</w:t>
      </w:r>
      <w:r>
        <w:rPr>
          <w:rFonts w:hint="eastAsia"/>
        </w:rPr>
        <w:t>；</w:t>
      </w:r>
    </w:p>
    <w:p>
      <w:pPr>
        <w:pStyle w:val="57"/>
        <w:numPr>
          <w:ilvl w:val="0"/>
          <w:numId w:val="32"/>
        </w:numPr>
        <w:ind w:firstLine="420"/>
      </w:pPr>
      <w:r>
        <w:t>分辨率不</w:t>
      </w:r>
      <w:r>
        <w:rPr>
          <w:rFonts w:hint="eastAsia"/>
        </w:rPr>
        <w:t>应</w:t>
      </w:r>
      <w:r>
        <w:t>大于1</w:t>
      </w:r>
      <w:r>
        <w:rPr>
          <w:rFonts w:hint="eastAsia"/>
        </w:rPr>
        <w:t xml:space="preserve"> </w:t>
      </w:r>
      <w:r>
        <w:t>µmol•m</w:t>
      </w:r>
      <w:r>
        <w:rPr>
          <w:vertAlign w:val="superscript"/>
        </w:rPr>
        <w:t>-2</w:t>
      </w:r>
      <w:r>
        <w:t>•s</w:t>
      </w:r>
      <w:r>
        <w:rPr>
          <w:vertAlign w:val="superscript"/>
        </w:rPr>
        <w:t>-1</w:t>
      </w:r>
      <w:r>
        <w:rPr>
          <w:rFonts w:hint="eastAsia"/>
        </w:rPr>
        <w:t>；</w:t>
      </w:r>
    </w:p>
    <w:p>
      <w:pPr>
        <w:pStyle w:val="57"/>
        <w:numPr>
          <w:ilvl w:val="0"/>
          <w:numId w:val="32"/>
        </w:numPr>
        <w:ind w:firstLine="420"/>
      </w:pPr>
      <w:r>
        <w:t>工作温度范围不</w:t>
      </w:r>
      <w:r>
        <w:rPr>
          <w:rFonts w:hint="eastAsia"/>
        </w:rPr>
        <w:t>应</w:t>
      </w:r>
      <w:r>
        <w:t>小于-30</w:t>
      </w:r>
      <w:r>
        <w:rPr>
          <w:rFonts w:hint="eastAsia" w:hAnsi="宋体" w:cs="宋体"/>
        </w:rPr>
        <w:t>℃</w:t>
      </w:r>
      <w:r>
        <w:rPr>
          <w:rFonts w:hint="eastAsia" w:cs="Arial"/>
        </w:rPr>
        <w:t>～</w:t>
      </w:r>
      <w:r>
        <w:t>75</w:t>
      </w:r>
      <w:r>
        <w:rPr>
          <w:rFonts w:hint="eastAsia" w:hAnsi="宋体" w:cs="宋体"/>
        </w:rPr>
        <w:t>℃</w:t>
      </w:r>
      <w:r>
        <w:rPr>
          <w:rFonts w:hint="eastAsia"/>
        </w:rPr>
        <w:t>；</w:t>
      </w:r>
    </w:p>
    <w:p>
      <w:pPr>
        <w:pStyle w:val="57"/>
        <w:numPr>
          <w:ilvl w:val="0"/>
          <w:numId w:val="32"/>
        </w:numPr>
        <w:ind w:firstLine="420"/>
      </w:pPr>
      <w:r>
        <w:t>稳定性</w:t>
      </w:r>
      <w:r>
        <w:rPr>
          <w:rFonts w:hint="eastAsia"/>
        </w:rPr>
        <w:t>应</w:t>
      </w:r>
      <w:r>
        <w:t>保持在年变化小于±2%</w:t>
      </w:r>
      <w:r>
        <w:rPr>
          <w:rFonts w:hint="eastAsia"/>
        </w:rPr>
        <w:t>；</w:t>
      </w:r>
    </w:p>
    <w:p>
      <w:pPr>
        <w:pStyle w:val="57"/>
        <w:numPr>
          <w:ilvl w:val="0"/>
          <w:numId w:val="32"/>
        </w:numPr>
        <w:ind w:firstLine="420"/>
      </w:pPr>
      <w:r>
        <w:t>供电电压</w:t>
      </w:r>
      <w:r>
        <w:rPr>
          <w:rFonts w:hint="eastAsia"/>
        </w:rPr>
        <w:t>宜</w:t>
      </w:r>
      <w:r>
        <w:t>为DC5</w:t>
      </w:r>
      <w:r>
        <w:rPr>
          <w:rFonts w:hint="eastAsia"/>
        </w:rPr>
        <w:t xml:space="preserve"> </w:t>
      </w:r>
      <w:r>
        <w:t>V</w:t>
      </w:r>
      <w:r>
        <w:rPr>
          <w:rFonts w:hint="eastAsia" w:cs="Arial"/>
        </w:rPr>
        <w:t>～</w:t>
      </w:r>
      <w:r>
        <w:t>DC9</w:t>
      </w:r>
      <w:r>
        <w:rPr>
          <w:rFonts w:hint="eastAsia"/>
        </w:rPr>
        <w:t xml:space="preserve"> </w:t>
      </w:r>
      <w:r>
        <w:t>V。</w:t>
      </w:r>
    </w:p>
    <w:p>
      <w:pPr>
        <w:pStyle w:val="224"/>
        <w:spacing w:beforeLines="50" w:afterLines="50"/>
        <w:ind w:left="420" w:hanging="420" w:hangingChars="200"/>
        <w:outlineLvl w:val="1"/>
        <w:rPr>
          <w:rFonts w:ascii="黑体" w:hAnsi="黑体" w:eastAsia="黑体"/>
        </w:rPr>
      </w:pPr>
      <w:r>
        <w:rPr>
          <w:rFonts w:hint="eastAsia" w:ascii="黑体" w:hAnsi="黑体" w:eastAsia="黑体"/>
        </w:rPr>
        <w:t>监测点选择</w:t>
      </w:r>
    </w:p>
    <w:p>
      <w:pPr>
        <w:pStyle w:val="66"/>
        <w:spacing w:before="120" w:after="120"/>
        <w:rPr>
          <w:rFonts w:ascii="宋体" w:eastAsia="宋体"/>
        </w:rPr>
      </w:pPr>
      <w:r>
        <w:rPr>
          <w:rFonts w:ascii="宋体" w:eastAsia="宋体"/>
        </w:rPr>
        <w:t>监测点应选择</w:t>
      </w:r>
      <w:r>
        <w:rPr>
          <w:rFonts w:hint="eastAsia" w:ascii="宋体" w:eastAsia="宋体"/>
        </w:rPr>
        <w:t>在</w:t>
      </w:r>
      <w:r>
        <w:rPr>
          <w:rFonts w:ascii="宋体" w:eastAsia="宋体"/>
        </w:rPr>
        <w:t>能代表全田整体长势特征的位置。</w:t>
      </w:r>
    </w:p>
    <w:p>
      <w:pPr>
        <w:pStyle w:val="66"/>
        <w:spacing w:before="120" w:after="120"/>
        <w:rPr>
          <w:rFonts w:ascii="宋体" w:eastAsia="宋体"/>
        </w:rPr>
      </w:pPr>
      <w:r>
        <w:rPr>
          <w:rFonts w:ascii="宋体" w:eastAsia="宋体"/>
        </w:rPr>
        <w:t>监测点周边环境选择应符合GB/T 37802</w:t>
      </w:r>
      <w:r>
        <w:rPr>
          <w:rFonts w:hint="eastAsia" w:ascii="宋体" w:eastAsia="宋体"/>
        </w:rPr>
        <w:t>—2019</w:t>
      </w:r>
      <w:r>
        <w:rPr>
          <w:rFonts w:ascii="宋体" w:eastAsia="宋体"/>
        </w:rPr>
        <w:t>中4.1.1、4.1.2和4.1.5的规定。</w:t>
      </w:r>
    </w:p>
    <w:p>
      <w:pPr>
        <w:pStyle w:val="66"/>
        <w:spacing w:before="120" w:after="120"/>
        <w:rPr>
          <w:rFonts w:ascii="宋体" w:eastAsia="宋体"/>
        </w:rPr>
      </w:pPr>
      <w:r>
        <w:rPr>
          <w:rFonts w:ascii="宋体" w:eastAsia="宋体"/>
        </w:rPr>
        <w:t>监测点数量对于不大于</w:t>
      </w:r>
      <w:r>
        <w:rPr>
          <w:rFonts w:hint="eastAsia" w:ascii="宋体" w:eastAsia="宋体"/>
        </w:rPr>
        <w:t>50亩</w:t>
      </w:r>
      <w:r>
        <w:rPr>
          <w:rFonts w:ascii="宋体" w:eastAsia="宋体"/>
        </w:rPr>
        <w:t>连片田块</w:t>
      </w:r>
      <w:r>
        <w:rPr>
          <w:rFonts w:hint="eastAsia" w:ascii="宋体" w:eastAsia="宋体"/>
        </w:rPr>
        <w:t>应</w:t>
      </w:r>
      <w:r>
        <w:rPr>
          <w:rFonts w:ascii="宋体" w:eastAsia="宋体"/>
        </w:rPr>
        <w:t>不少于3个</w:t>
      </w:r>
      <w:r>
        <w:rPr>
          <w:rFonts w:hint="eastAsia" w:ascii="宋体" w:eastAsia="宋体"/>
        </w:rPr>
        <w:t>；</w:t>
      </w:r>
      <w:r>
        <w:rPr>
          <w:rFonts w:ascii="宋体" w:eastAsia="宋体"/>
        </w:rPr>
        <w:t>超过</w:t>
      </w:r>
      <w:r>
        <w:rPr>
          <w:rFonts w:hint="eastAsia" w:ascii="宋体" w:eastAsia="宋体"/>
        </w:rPr>
        <w:t>50亩</w:t>
      </w:r>
      <w:r>
        <w:rPr>
          <w:rFonts w:ascii="宋体" w:eastAsia="宋体"/>
        </w:rPr>
        <w:t>的连片地块，每增加</w:t>
      </w:r>
      <w:r>
        <w:rPr>
          <w:rFonts w:hint="eastAsia" w:ascii="宋体" w:eastAsia="宋体"/>
        </w:rPr>
        <w:t>20亩</w:t>
      </w:r>
      <w:r>
        <w:rPr>
          <w:rFonts w:ascii="宋体" w:eastAsia="宋体"/>
        </w:rPr>
        <w:t>对应增加1个监测点。</w:t>
      </w:r>
    </w:p>
    <w:p>
      <w:pPr>
        <w:pStyle w:val="166"/>
        <w:numPr>
          <w:ilvl w:val="0"/>
          <w:numId w:val="0"/>
        </w:numPr>
        <w:ind w:firstLine="360" w:firstLineChars="200"/>
        <w:rPr>
          <w:sz w:val="18"/>
          <w:szCs w:val="18"/>
        </w:rPr>
      </w:pPr>
      <w:r>
        <w:rPr>
          <w:rFonts w:hint="eastAsia"/>
          <w:sz w:val="18"/>
          <w:szCs w:val="18"/>
        </w:rPr>
        <w:t>注：亩是常用的非法定计量单位，1亩约等于667m</w:t>
      </w:r>
      <w:r>
        <w:rPr>
          <w:rFonts w:hint="eastAsia"/>
          <w:sz w:val="18"/>
          <w:szCs w:val="18"/>
          <w:vertAlign w:val="superscript"/>
        </w:rPr>
        <w:t>2</w:t>
      </w:r>
      <w:r>
        <w:rPr>
          <w:rFonts w:hint="eastAsia"/>
          <w:sz w:val="18"/>
          <w:szCs w:val="18"/>
        </w:rPr>
        <w:t>。</w:t>
      </w:r>
    </w:p>
    <w:p>
      <w:pPr>
        <w:pStyle w:val="224"/>
        <w:spacing w:beforeLines="50" w:afterLines="50"/>
        <w:ind w:left="420" w:hanging="420" w:hangingChars="200"/>
        <w:outlineLvl w:val="1"/>
        <w:rPr>
          <w:rFonts w:ascii="黑体" w:hAnsi="黑体" w:eastAsia="黑体"/>
        </w:rPr>
      </w:pPr>
      <w:r>
        <w:rPr>
          <w:rFonts w:hint="eastAsia" w:ascii="黑体" w:hAnsi="黑体" w:eastAsia="黑体"/>
        </w:rPr>
        <w:t>数据采集</w:t>
      </w:r>
    </w:p>
    <w:p>
      <w:pPr>
        <w:pStyle w:val="66"/>
        <w:spacing w:before="120" w:after="120"/>
      </w:pPr>
      <w:r>
        <w:t>光合有效辐射监测方法</w:t>
      </w:r>
    </w:p>
    <w:p>
      <w:pPr>
        <w:pStyle w:val="66"/>
        <w:numPr>
          <w:ilvl w:val="3"/>
          <w:numId w:val="0"/>
        </w:numPr>
        <w:spacing w:before="120" w:after="120"/>
        <w:ind w:firstLine="420" w:firstLineChars="200"/>
        <w:rPr>
          <w:rFonts w:ascii="宋体" w:eastAsia="宋体"/>
        </w:rPr>
      </w:pPr>
      <w:r>
        <w:rPr>
          <w:rFonts w:ascii="宋体" w:eastAsia="宋体"/>
        </w:rPr>
        <w:t>光合有效辐射传感器</w:t>
      </w:r>
      <w:r>
        <w:rPr>
          <w:rFonts w:hint="eastAsia" w:ascii="宋体" w:eastAsia="宋体"/>
        </w:rPr>
        <w:t>组件与</w:t>
      </w:r>
      <w:r>
        <w:rPr>
          <w:rFonts w:ascii="宋体" w:eastAsia="宋体"/>
        </w:rPr>
        <w:t>LoRa</w:t>
      </w:r>
      <w:r>
        <w:rPr>
          <w:rFonts w:hint="eastAsia" w:ascii="宋体" w:eastAsia="宋体"/>
        </w:rPr>
        <w:t>（远距离无线电,Long Range Radio）</w:t>
      </w:r>
      <w:r>
        <w:rPr>
          <w:rFonts w:ascii="宋体" w:eastAsia="宋体"/>
        </w:rPr>
        <w:t>数据</w:t>
      </w:r>
      <w:r>
        <w:rPr>
          <w:rFonts w:hint="eastAsia" w:ascii="宋体" w:eastAsia="宋体"/>
        </w:rPr>
        <w:t>采集节点连接，测定框架放置位置横向宽度为作物的一个完整播种条幅，</w:t>
      </w:r>
      <w:r>
        <w:rPr>
          <w:rFonts w:ascii="宋体" w:eastAsia="宋体"/>
        </w:rPr>
        <w:t>垂直于作物种植行向，</w:t>
      </w:r>
      <w:r>
        <w:rPr>
          <w:rFonts w:hint="eastAsia" w:ascii="宋体" w:eastAsia="宋体"/>
        </w:rPr>
        <w:t>纵向高出作物冠层2</w:t>
      </w:r>
      <w:r>
        <w:rPr>
          <w:rFonts w:ascii="宋体" w:eastAsia="宋体"/>
        </w:rPr>
        <w:t>0</w:t>
      </w:r>
      <w:r>
        <w:rPr>
          <w:rFonts w:hint="eastAsia" w:ascii="宋体" w:eastAsia="宋体"/>
        </w:rPr>
        <w:t xml:space="preserve"> cm以上</w:t>
      </w:r>
      <w:r>
        <w:rPr>
          <w:rFonts w:ascii="宋体" w:eastAsia="宋体"/>
        </w:rPr>
        <w:t>。</w:t>
      </w:r>
    </w:p>
    <w:p>
      <w:pPr>
        <w:pStyle w:val="166"/>
        <w:numPr>
          <w:ilvl w:val="0"/>
          <w:numId w:val="0"/>
        </w:numPr>
        <w:ind w:firstLine="360" w:firstLineChars="200"/>
        <w:rPr>
          <w:sz w:val="18"/>
          <w:szCs w:val="18"/>
        </w:rPr>
      </w:pPr>
      <w:r>
        <w:rPr>
          <w:rFonts w:hint="eastAsia" w:ascii="黑体" w:hAnsi="黑体" w:eastAsia="黑体" w:cs="黑体"/>
          <w:sz w:val="18"/>
          <w:szCs w:val="18"/>
        </w:rPr>
        <w:t>注：</w:t>
      </w:r>
      <w:r>
        <w:rPr>
          <w:sz w:val="18"/>
          <w:szCs w:val="18"/>
        </w:rPr>
        <w:t>光合有效辐射传感器</w:t>
      </w:r>
      <w:r>
        <w:rPr>
          <w:rFonts w:hint="eastAsia"/>
          <w:sz w:val="18"/>
          <w:szCs w:val="18"/>
        </w:rPr>
        <w:t>组件是由多个光合有效辐射传感器与测定框架组合在一起，用于作物群体光合有效辐射量监测。测定框架用于固定传感器，传感器采用空间网格法，按照20 cm×20 cm设置。LoRa数据采集节点由LoRa模块和数据采集模块组成，用于传感器数据采集与无线局域网内数据传输。</w:t>
      </w:r>
    </w:p>
    <w:p>
      <w:pPr>
        <w:pStyle w:val="66"/>
        <w:spacing w:before="120" w:after="120"/>
      </w:pPr>
      <w:r>
        <w:t>数据采集频率设定</w:t>
      </w:r>
    </w:p>
    <w:p>
      <w:pPr>
        <w:pStyle w:val="57"/>
        <w:ind w:firstLine="420"/>
      </w:pPr>
      <w:r>
        <w:t>自动连续监测</w:t>
      </w:r>
      <w:r>
        <w:rPr>
          <w:rFonts w:hint="eastAsia"/>
        </w:rPr>
        <w:t>光合有效辐射</w:t>
      </w:r>
      <w:r>
        <w:t>日</w:t>
      </w:r>
      <w:r>
        <w:rPr>
          <w:rFonts w:hint="eastAsia"/>
        </w:rPr>
        <w:t>变化</w:t>
      </w:r>
      <w:r>
        <w:t>，</w:t>
      </w:r>
      <w:r>
        <w:rPr>
          <w:rFonts w:hint="eastAsia"/>
        </w:rPr>
        <w:t>宜</w:t>
      </w:r>
      <w:r>
        <w:t>每</w:t>
      </w:r>
      <w:r>
        <w:rPr>
          <w:rFonts w:hint="eastAsia"/>
        </w:rPr>
        <w:t>30 min测定一次；手动测定宜在中午1</w:t>
      </w:r>
      <w:r>
        <w:t>1</w:t>
      </w:r>
      <w:r>
        <w:rPr>
          <w:rFonts w:hint="eastAsia"/>
        </w:rPr>
        <w:t>:0</w:t>
      </w:r>
      <w:r>
        <w:t>0</w:t>
      </w:r>
      <w:r>
        <w:rPr>
          <w:rFonts w:hint="eastAsia" w:cs="Arial"/>
        </w:rPr>
        <w:t>～</w:t>
      </w:r>
      <w:r>
        <w:t>11</w:t>
      </w:r>
      <w:r>
        <w:rPr>
          <w:rFonts w:hint="eastAsia"/>
        </w:rPr>
        <w:t>:3</w:t>
      </w:r>
      <w:r>
        <w:t>0</w:t>
      </w:r>
      <w:r>
        <w:rPr>
          <w:rFonts w:hint="eastAsia"/>
        </w:rPr>
        <w:t>测定</w:t>
      </w:r>
      <w:r>
        <w:t>。</w:t>
      </w:r>
    </w:p>
    <w:p>
      <w:pPr>
        <w:pStyle w:val="224"/>
        <w:spacing w:beforeLines="50" w:afterLines="50"/>
        <w:ind w:left="420" w:hanging="420" w:hangingChars="200"/>
        <w:outlineLvl w:val="1"/>
        <w:rPr>
          <w:rFonts w:ascii="黑体" w:hAnsi="黑体" w:eastAsia="黑体"/>
        </w:rPr>
      </w:pPr>
      <w:r>
        <w:rPr>
          <w:rFonts w:hint="eastAsia" w:ascii="黑体" w:hAnsi="黑体" w:eastAsia="黑体"/>
        </w:rPr>
        <w:t>数据结构与计算</w:t>
      </w:r>
    </w:p>
    <w:p>
      <w:pPr>
        <w:pStyle w:val="66"/>
        <w:spacing w:before="120" w:after="120"/>
      </w:pPr>
      <w:r>
        <w:t>数据结构</w:t>
      </w:r>
    </w:p>
    <w:p>
      <w:pPr>
        <w:pStyle w:val="57"/>
        <w:ind w:firstLine="420"/>
      </w:pPr>
      <w:r>
        <w:rPr>
          <w:rFonts w:hint="eastAsia"/>
        </w:rPr>
        <w:t>按照水平距离、垂直距离、采集数据、采集时间4个字段存储数据。</w:t>
      </w:r>
    </w:p>
    <w:p>
      <w:pPr>
        <w:pStyle w:val="66"/>
        <w:spacing w:before="120" w:after="120"/>
      </w:pPr>
      <w:r>
        <w:rPr>
          <w:rFonts w:hint="eastAsia"/>
        </w:rPr>
        <w:t>数据计算</w:t>
      </w:r>
    </w:p>
    <w:p>
      <w:pPr>
        <w:pStyle w:val="57"/>
        <w:ind w:firstLine="420"/>
      </w:pPr>
      <w:r>
        <w:rPr>
          <w:rFonts w:hint="eastAsia"/>
        </w:rPr>
        <w:t>利用空间统计学工具见附录A.1，</w:t>
      </w:r>
      <w:r>
        <w:t>通过克里金插值法</w:t>
      </w:r>
      <w:r>
        <w:rPr>
          <w:rFonts w:hint="eastAsia"/>
        </w:rPr>
        <w:t>见附录A.2</w:t>
      </w:r>
      <w:r>
        <w:t>对整个</w:t>
      </w:r>
      <w:r>
        <w:rPr>
          <w:rFonts w:hint="eastAsia"/>
        </w:rPr>
        <w:t>作物冠层群体</w:t>
      </w:r>
      <w:r>
        <w:t>光合有效辐射数据进行</w:t>
      </w:r>
      <w:r>
        <w:rPr>
          <w:rFonts w:hint="eastAsia"/>
        </w:rPr>
        <w:t>空间</w:t>
      </w:r>
      <w:r>
        <w:t>插值</w:t>
      </w:r>
      <w:r>
        <w:rPr>
          <w:rFonts w:hint="eastAsia"/>
        </w:rPr>
        <w:t>，差值距离为0</w:t>
      </w:r>
      <w:r>
        <w:t>.01</w:t>
      </w:r>
      <w:r>
        <w:rPr>
          <w:rFonts w:hint="eastAsia"/>
        </w:rPr>
        <w:t xml:space="preserve"> cm</w:t>
      </w:r>
      <w:r>
        <w:t>。利用3/8扩展辛普森方法（Simpson）</w:t>
      </w:r>
      <w:r>
        <w:rPr>
          <w:rFonts w:hint="eastAsia"/>
        </w:rPr>
        <w:t>见附录A.3</w:t>
      </w:r>
      <w:r>
        <w:t>计算</w:t>
      </w:r>
      <w:r>
        <w:rPr>
          <w:rFonts w:hint="eastAsia"/>
        </w:rPr>
        <w:t>棉花</w:t>
      </w:r>
      <w:r>
        <w:t>群体</w:t>
      </w:r>
      <w:r>
        <w:rPr>
          <w:rFonts w:hint="eastAsia"/>
        </w:rPr>
        <w:t>透</w:t>
      </w:r>
      <w:r>
        <w:t>射率。</w:t>
      </w:r>
    </w:p>
    <w:p>
      <w:pPr>
        <w:pStyle w:val="105"/>
        <w:spacing w:before="240" w:after="240"/>
      </w:pPr>
      <w:bookmarkStart w:id="52" w:name="_Toc24204"/>
      <w:bookmarkStart w:id="53" w:name="_Toc27575"/>
      <w:r>
        <w:rPr>
          <w:rFonts w:hint="eastAsia"/>
        </w:rPr>
        <w:t>熟性数量化</w:t>
      </w:r>
      <w:bookmarkEnd w:id="52"/>
      <w:bookmarkEnd w:id="53"/>
    </w:p>
    <w:p>
      <w:pPr>
        <w:pStyle w:val="224"/>
        <w:spacing w:beforeLines="50" w:afterLines="50"/>
        <w:ind w:left="420" w:hanging="420" w:hangingChars="200"/>
        <w:outlineLvl w:val="1"/>
        <w:rPr>
          <w:rFonts w:ascii="黑体" w:hAnsi="黑体" w:eastAsia="黑体"/>
        </w:rPr>
      </w:pPr>
      <w:r>
        <w:rPr>
          <w:rFonts w:hint="eastAsia" w:ascii="黑体" w:hAnsi="黑体" w:eastAsia="黑体"/>
        </w:rPr>
        <w:t>熟性指标数字化编码</w:t>
      </w:r>
    </w:p>
    <w:p>
      <w:pPr>
        <w:pStyle w:val="166"/>
        <w:numPr>
          <w:ilvl w:val="3"/>
          <w:numId w:val="0"/>
        </w:numPr>
        <w:ind w:firstLine="420" w:firstLineChars="200"/>
      </w:pPr>
      <w:r>
        <w:rPr>
          <w:rFonts w:hint="eastAsia"/>
        </w:rPr>
        <w:t>熟性指标数字化编码基本原则应符合GB</w:t>
      </w:r>
      <w:r>
        <w:t xml:space="preserve">/T 7027 </w:t>
      </w:r>
      <w:r>
        <w:rPr>
          <w:rFonts w:hint="eastAsia"/>
        </w:rPr>
        <w:t>的规定。熟性指标数字化编码的相关信息见表1。</w:t>
      </w:r>
    </w:p>
    <w:p>
      <w:pPr>
        <w:pStyle w:val="113"/>
        <w:spacing w:before="120" w:after="120"/>
      </w:pPr>
      <w:r>
        <w:rPr>
          <w:rFonts w:hint="eastAsia"/>
        </w:rPr>
        <w:t>熟性数字化编码</w:t>
      </w:r>
    </w:p>
    <w:tbl>
      <w:tblPr>
        <w:tblStyle w:val="27"/>
        <w:tblW w:w="0" w:type="auto"/>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0" w:type="dxa"/>
          <w:bottom w:w="0" w:type="dxa"/>
          <w:right w:w="0" w:type="dxa"/>
        </w:tblCellMar>
      </w:tblPr>
      <w:tblGrid>
        <w:gridCol w:w="1600"/>
        <w:gridCol w:w="4235"/>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600" w:type="dxa"/>
            <w:tcBorders>
              <w:top w:val="single" w:color="000000" w:sz="8" w:space="0"/>
              <w:bottom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数字编码</w:t>
            </w:r>
          </w:p>
        </w:tc>
        <w:tc>
          <w:tcPr>
            <w:tcW w:w="4235" w:type="dxa"/>
            <w:tcBorders>
              <w:top w:val="single" w:color="000000" w:sz="8" w:space="0"/>
              <w:bottom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代表项目</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600" w:type="dxa"/>
            <w:tcBorders>
              <w:top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1</w:t>
            </w:r>
          </w:p>
        </w:tc>
        <w:tc>
          <w:tcPr>
            <w:tcW w:w="4235" w:type="dxa"/>
            <w:tcBorders>
              <w:top w:val="single" w:color="000000" w:sz="8" w:space="0"/>
            </w:tcBorders>
            <w:shd w:val="clear" w:color="auto" w:fill="auto"/>
            <w:vAlign w:val="center"/>
          </w:tcPr>
          <w:p>
            <w:pPr>
              <w:pStyle w:val="25"/>
              <w:adjustRightInd w:val="0"/>
              <w:snapToGrid w:val="0"/>
              <w:spacing w:before="0" w:beforeAutospacing="0" w:after="0" w:afterAutospacing="0"/>
              <w:ind w:firstLine="720" w:firstLineChars="400"/>
              <w:rPr>
                <w:rFonts w:ascii="Times New Roman" w:hAnsi="Times New Roman" w:cs="Times New Roman"/>
                <w:sz w:val="18"/>
                <w:szCs w:val="21"/>
              </w:rPr>
            </w:pPr>
            <w:r>
              <w:rPr>
                <w:rFonts w:hint="eastAsia" w:ascii="Times New Roman" w:hAnsi="Times New Roman" w:cs="Times New Roman"/>
                <w:sz w:val="18"/>
                <w:szCs w:val="21"/>
              </w:rPr>
              <w:t xml:space="preserve">蕾 </w:t>
            </w:r>
            <w:r>
              <w:rPr>
                <w:rFonts w:ascii="Times New Roman" w:hAnsi="Times New Roman" w:cs="Times New Roman"/>
                <w:sz w:val="18"/>
                <w:szCs w:val="21"/>
              </w:rPr>
              <w:t xml:space="preserve">  </w:t>
            </w:r>
            <w:r>
              <w:rPr>
                <w:rFonts w:hint="eastAsia" w:ascii="Times New Roman" w:hAnsi="Times New Roman" w:cs="Times New Roman"/>
                <w:sz w:val="18"/>
                <w:szCs w:val="21"/>
              </w:rPr>
              <w:t xml:space="preserve">   square</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60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2</w:t>
            </w:r>
          </w:p>
        </w:tc>
        <w:tc>
          <w:tcPr>
            <w:tcW w:w="4235" w:type="dxa"/>
            <w:shd w:val="clear" w:color="auto" w:fill="auto"/>
            <w:vAlign w:val="center"/>
          </w:tcPr>
          <w:p>
            <w:pPr>
              <w:pStyle w:val="25"/>
              <w:adjustRightInd w:val="0"/>
              <w:snapToGrid w:val="0"/>
              <w:spacing w:before="0" w:beforeAutospacing="0" w:after="0" w:afterAutospacing="0"/>
              <w:ind w:firstLine="720" w:firstLineChars="400"/>
              <w:rPr>
                <w:rFonts w:ascii="Times New Roman" w:hAnsi="Times New Roman" w:cs="Times New Roman"/>
                <w:sz w:val="18"/>
                <w:szCs w:val="21"/>
              </w:rPr>
            </w:pPr>
            <w:r>
              <w:rPr>
                <w:rFonts w:hint="eastAsia" w:ascii="Times New Roman" w:hAnsi="Times New Roman" w:cs="Times New Roman"/>
                <w:sz w:val="18"/>
                <w:szCs w:val="21"/>
              </w:rPr>
              <w:t xml:space="preserve">花   </w:t>
            </w:r>
            <w:r>
              <w:rPr>
                <w:rFonts w:ascii="Times New Roman" w:hAnsi="Times New Roman" w:cs="Times New Roman"/>
                <w:sz w:val="18"/>
                <w:szCs w:val="21"/>
              </w:rPr>
              <w:t xml:space="preserve"> </w:t>
            </w:r>
            <w:r>
              <w:rPr>
                <w:rFonts w:hint="eastAsia" w:ascii="Times New Roman" w:hAnsi="Times New Roman" w:cs="Times New Roman"/>
                <w:sz w:val="18"/>
                <w:szCs w:val="21"/>
              </w:rPr>
              <w:t xml:space="preserve">  f</w:t>
            </w:r>
            <w:r>
              <w:rPr>
                <w:rFonts w:ascii="Times New Roman" w:hAnsi="Times New Roman" w:cs="Times New Roman"/>
                <w:sz w:val="18"/>
                <w:szCs w:val="21"/>
              </w:rPr>
              <w:t>lower</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60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3</w:t>
            </w:r>
          </w:p>
        </w:tc>
        <w:tc>
          <w:tcPr>
            <w:tcW w:w="4235" w:type="dxa"/>
            <w:shd w:val="clear" w:color="auto" w:fill="auto"/>
            <w:vAlign w:val="center"/>
          </w:tcPr>
          <w:p>
            <w:pPr>
              <w:pStyle w:val="25"/>
              <w:adjustRightInd w:val="0"/>
              <w:snapToGrid w:val="0"/>
              <w:spacing w:before="0" w:beforeAutospacing="0" w:after="0" w:afterAutospacing="0"/>
              <w:ind w:firstLine="720" w:firstLineChars="400"/>
              <w:rPr>
                <w:rFonts w:ascii="Times New Roman" w:hAnsi="Times New Roman" w:cs="Times New Roman"/>
                <w:sz w:val="18"/>
                <w:szCs w:val="21"/>
              </w:rPr>
            </w:pPr>
            <w:r>
              <w:rPr>
                <w:rFonts w:hint="eastAsia" w:ascii="Times New Roman" w:hAnsi="Times New Roman" w:cs="Times New Roman"/>
                <w:sz w:val="18"/>
                <w:szCs w:val="21"/>
              </w:rPr>
              <w:t xml:space="preserve">幼铃   </w:t>
            </w:r>
            <w:r>
              <w:rPr>
                <w:rFonts w:ascii="Times New Roman" w:hAnsi="Times New Roman" w:cs="Times New Roman"/>
                <w:sz w:val="18"/>
                <w:szCs w:val="21"/>
              </w:rPr>
              <w:t xml:space="preserve"> </w:t>
            </w:r>
            <w:r>
              <w:rPr>
                <w:rFonts w:hint="eastAsia" w:ascii="Times New Roman" w:hAnsi="Times New Roman" w:cs="Times New Roman"/>
                <w:sz w:val="18"/>
                <w:szCs w:val="21"/>
              </w:rPr>
              <w:t>l</w:t>
            </w:r>
            <w:r>
              <w:rPr>
                <w:rFonts w:ascii="Times New Roman" w:hAnsi="Times New Roman" w:cs="Times New Roman"/>
                <w:sz w:val="18"/>
                <w:szCs w:val="21"/>
              </w:rPr>
              <w:t>ittle boll</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60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4</w:t>
            </w:r>
          </w:p>
        </w:tc>
        <w:tc>
          <w:tcPr>
            <w:tcW w:w="4235" w:type="dxa"/>
            <w:shd w:val="clear" w:color="auto" w:fill="auto"/>
            <w:vAlign w:val="center"/>
          </w:tcPr>
          <w:p>
            <w:pPr>
              <w:pStyle w:val="25"/>
              <w:adjustRightInd w:val="0"/>
              <w:snapToGrid w:val="0"/>
              <w:spacing w:before="0" w:beforeAutospacing="0" w:after="0" w:afterAutospacing="0"/>
              <w:ind w:firstLine="720" w:firstLineChars="400"/>
              <w:rPr>
                <w:rFonts w:ascii="Times New Roman" w:hAnsi="Times New Roman" w:cs="Times New Roman"/>
                <w:sz w:val="18"/>
                <w:szCs w:val="21"/>
              </w:rPr>
            </w:pPr>
            <w:r>
              <w:rPr>
                <w:rFonts w:hint="eastAsia" w:ascii="Times New Roman" w:hAnsi="Times New Roman" w:cs="Times New Roman"/>
                <w:sz w:val="18"/>
                <w:szCs w:val="21"/>
              </w:rPr>
              <w:t xml:space="preserve">成铃 </w:t>
            </w:r>
            <w:r>
              <w:rPr>
                <w:rFonts w:ascii="Times New Roman" w:hAnsi="Times New Roman" w:cs="Times New Roman"/>
                <w:sz w:val="18"/>
                <w:szCs w:val="21"/>
              </w:rPr>
              <w:t xml:space="preserve"> </w:t>
            </w:r>
            <w:r>
              <w:rPr>
                <w:rFonts w:hint="eastAsia" w:ascii="Times New Roman" w:hAnsi="Times New Roman" w:cs="Times New Roman"/>
                <w:sz w:val="18"/>
                <w:szCs w:val="21"/>
              </w:rPr>
              <w:t xml:space="preserve">  b</w:t>
            </w:r>
            <w:r>
              <w:rPr>
                <w:rFonts w:ascii="Times New Roman" w:hAnsi="Times New Roman" w:cs="Times New Roman"/>
                <w:sz w:val="18"/>
                <w:szCs w:val="21"/>
              </w:rPr>
              <w:t>oll</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60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5</w:t>
            </w:r>
          </w:p>
        </w:tc>
        <w:tc>
          <w:tcPr>
            <w:tcW w:w="4235" w:type="dxa"/>
            <w:shd w:val="clear" w:color="auto" w:fill="auto"/>
            <w:vAlign w:val="center"/>
          </w:tcPr>
          <w:p>
            <w:pPr>
              <w:pStyle w:val="25"/>
              <w:adjustRightInd w:val="0"/>
              <w:snapToGrid w:val="0"/>
              <w:spacing w:before="0" w:beforeAutospacing="0" w:after="0" w:afterAutospacing="0"/>
              <w:ind w:firstLine="720" w:firstLineChars="400"/>
              <w:rPr>
                <w:rFonts w:ascii="Times New Roman" w:hAnsi="Times New Roman" w:cs="Times New Roman"/>
                <w:sz w:val="18"/>
                <w:szCs w:val="21"/>
              </w:rPr>
            </w:pPr>
            <w:r>
              <w:rPr>
                <w:rFonts w:hint="eastAsia" w:ascii="Times New Roman" w:hAnsi="Times New Roman" w:cs="Times New Roman"/>
                <w:sz w:val="18"/>
                <w:szCs w:val="21"/>
              </w:rPr>
              <w:t>吐絮    o</w:t>
            </w:r>
            <w:r>
              <w:rPr>
                <w:rFonts w:ascii="Times New Roman" w:hAnsi="Times New Roman" w:cs="Times New Roman"/>
                <w:sz w:val="18"/>
                <w:szCs w:val="21"/>
              </w:rPr>
              <w:t>pening boll</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60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6</w:t>
            </w:r>
          </w:p>
        </w:tc>
        <w:tc>
          <w:tcPr>
            <w:tcW w:w="4235" w:type="dxa"/>
            <w:shd w:val="clear" w:color="auto" w:fill="auto"/>
            <w:vAlign w:val="center"/>
          </w:tcPr>
          <w:p>
            <w:pPr>
              <w:pStyle w:val="25"/>
              <w:adjustRightInd w:val="0"/>
              <w:snapToGrid w:val="0"/>
              <w:spacing w:before="0" w:beforeAutospacing="0" w:after="0" w:afterAutospacing="0"/>
              <w:ind w:firstLine="720" w:firstLineChars="400"/>
              <w:rPr>
                <w:rFonts w:ascii="Times New Roman" w:hAnsi="Times New Roman" w:cs="Times New Roman"/>
                <w:sz w:val="18"/>
                <w:szCs w:val="21"/>
              </w:rPr>
            </w:pPr>
            <w:r>
              <w:rPr>
                <w:rFonts w:hint="eastAsia" w:ascii="Times New Roman" w:hAnsi="Times New Roman" w:cs="Times New Roman"/>
                <w:sz w:val="18"/>
                <w:szCs w:val="21"/>
              </w:rPr>
              <w:t>烂铃    r</w:t>
            </w:r>
            <w:r>
              <w:rPr>
                <w:rFonts w:ascii="Times New Roman" w:hAnsi="Times New Roman" w:cs="Times New Roman"/>
                <w:sz w:val="18"/>
                <w:szCs w:val="21"/>
              </w:rPr>
              <w:t>ot boll</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60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7</w:t>
            </w:r>
          </w:p>
        </w:tc>
        <w:tc>
          <w:tcPr>
            <w:tcW w:w="4235" w:type="dxa"/>
            <w:shd w:val="clear" w:color="auto" w:fill="auto"/>
            <w:vAlign w:val="center"/>
          </w:tcPr>
          <w:p>
            <w:pPr>
              <w:pStyle w:val="25"/>
              <w:adjustRightInd w:val="0"/>
              <w:snapToGrid w:val="0"/>
              <w:spacing w:before="0" w:beforeAutospacing="0" w:after="0" w:afterAutospacing="0"/>
              <w:ind w:firstLine="720" w:firstLineChars="400"/>
              <w:rPr>
                <w:rFonts w:ascii="Times New Roman" w:hAnsi="Times New Roman" w:cs="Times New Roman"/>
                <w:sz w:val="18"/>
                <w:szCs w:val="21"/>
              </w:rPr>
            </w:pPr>
            <w:r>
              <w:rPr>
                <w:rFonts w:hint="eastAsia" w:ascii="Times New Roman" w:hAnsi="Times New Roman" w:cs="Times New Roman"/>
                <w:sz w:val="18"/>
                <w:szCs w:val="21"/>
              </w:rPr>
              <w:t xml:space="preserve">脱落   </w:t>
            </w:r>
            <w:r>
              <w:rPr>
                <w:rFonts w:ascii="Times New Roman" w:hAnsi="Times New Roman" w:cs="Times New Roman"/>
                <w:sz w:val="18"/>
                <w:szCs w:val="21"/>
              </w:rPr>
              <w:t xml:space="preserve"> </w:t>
            </w:r>
            <w:r>
              <w:rPr>
                <w:rFonts w:hint="eastAsia" w:ascii="Times New Roman" w:hAnsi="Times New Roman" w:cs="Times New Roman"/>
                <w:sz w:val="18"/>
                <w:szCs w:val="21"/>
              </w:rPr>
              <w:t>s</w:t>
            </w:r>
            <w:r>
              <w:rPr>
                <w:rFonts w:ascii="Times New Roman" w:hAnsi="Times New Roman" w:cs="Times New Roman"/>
                <w:sz w:val="18"/>
                <w:szCs w:val="21"/>
              </w:rPr>
              <w:t>hedding</w:t>
            </w:r>
          </w:p>
        </w:tc>
      </w:tr>
    </w:tbl>
    <w:p>
      <w:pPr>
        <w:pStyle w:val="57"/>
        <w:ind w:firstLine="0" w:firstLineChars="0"/>
      </w:pPr>
    </w:p>
    <w:p>
      <w:pPr>
        <w:pStyle w:val="224"/>
        <w:spacing w:beforeLines="50" w:afterLines="50"/>
        <w:ind w:left="420" w:hanging="420" w:hangingChars="200"/>
        <w:outlineLvl w:val="1"/>
        <w:rPr>
          <w:rFonts w:ascii="黑体" w:hAnsi="黑体" w:eastAsia="黑体"/>
        </w:rPr>
      </w:pPr>
      <w:r>
        <w:rPr>
          <w:rFonts w:hint="eastAsia" w:ascii="黑体" w:hAnsi="黑体" w:eastAsia="黑体"/>
        </w:rPr>
        <w:t>数据采集要求</w:t>
      </w:r>
    </w:p>
    <w:p>
      <w:pPr>
        <w:pStyle w:val="66"/>
        <w:spacing w:before="120" w:after="120"/>
      </w:pPr>
      <w:r>
        <w:rPr>
          <w:rFonts w:hint="eastAsia"/>
        </w:rPr>
        <w:t>数据采集点的选择</w:t>
      </w:r>
    </w:p>
    <w:p>
      <w:pPr>
        <w:pStyle w:val="166"/>
        <w:numPr>
          <w:ilvl w:val="3"/>
          <w:numId w:val="0"/>
        </w:numPr>
        <w:ind w:firstLine="420" w:firstLineChars="200"/>
      </w:pPr>
      <w:r>
        <w:rPr>
          <w:rFonts w:hint="eastAsia"/>
        </w:rPr>
        <w:t>应选择地块内有代表性的连续10株～20株棉花，采用手持移动终端设备，录入株式图调查数据，上传到服务器。</w:t>
      </w:r>
    </w:p>
    <w:p>
      <w:pPr>
        <w:pStyle w:val="166"/>
        <w:numPr>
          <w:ilvl w:val="0"/>
          <w:numId w:val="0"/>
        </w:numPr>
        <w:ind w:firstLine="360" w:firstLineChars="200"/>
        <w:rPr>
          <w:sz w:val="18"/>
          <w:szCs w:val="18"/>
        </w:rPr>
      </w:pPr>
      <w:r>
        <w:rPr>
          <w:rFonts w:hint="eastAsia" w:ascii="黑体" w:hAnsi="黑体" w:eastAsia="黑体" w:cs="黑体"/>
          <w:sz w:val="18"/>
          <w:szCs w:val="18"/>
        </w:rPr>
        <w:t>注：</w:t>
      </w:r>
      <w:r>
        <w:rPr>
          <w:rFonts w:hint="eastAsia"/>
          <w:sz w:val="18"/>
          <w:szCs w:val="18"/>
        </w:rPr>
        <w:t>株式图反映棉花不同生育时期蕾、花、幼铃、成铃、烂铃、吐絮和脱落等生殖器官在棉株不同果枝上的空间分布。</w:t>
      </w:r>
    </w:p>
    <w:p>
      <w:pPr>
        <w:pStyle w:val="66"/>
        <w:spacing w:before="120" w:after="120"/>
      </w:pPr>
      <w:r>
        <w:rPr>
          <w:rFonts w:hint="eastAsia"/>
        </w:rPr>
        <w:t>数据采集内容</w:t>
      </w:r>
    </w:p>
    <w:p>
      <w:pPr>
        <w:pStyle w:val="166"/>
        <w:numPr>
          <w:ilvl w:val="3"/>
          <w:numId w:val="0"/>
        </w:numPr>
        <w:ind w:firstLine="420" w:firstLineChars="200"/>
      </w:pPr>
      <w:r>
        <w:rPr>
          <w:rFonts w:hint="eastAsia"/>
        </w:rPr>
        <w:t>熟性指标采集内容应包括但不限于作物播种日期、生长发育进程关键指标等。熟性指标相关信息见表2。</w:t>
      </w:r>
    </w:p>
    <w:p>
      <w:pPr>
        <w:pStyle w:val="113"/>
        <w:spacing w:before="120" w:after="120"/>
      </w:pPr>
      <w:r>
        <w:rPr>
          <w:rFonts w:hint="eastAsia"/>
        </w:rPr>
        <w:t>熟性数字化内容</w:t>
      </w:r>
    </w:p>
    <w:tbl>
      <w:tblPr>
        <w:tblStyle w:val="27"/>
        <w:tblW w:w="0" w:type="auto"/>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0" w:type="dxa"/>
          <w:bottom w:w="0" w:type="dxa"/>
          <w:right w:w="0" w:type="dxa"/>
        </w:tblCellMar>
      </w:tblPr>
      <w:tblGrid>
        <w:gridCol w:w="1874"/>
        <w:gridCol w:w="1560"/>
        <w:gridCol w:w="1134"/>
        <w:gridCol w:w="1275"/>
        <w:gridCol w:w="161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tcBorders>
              <w:top w:val="single" w:color="000000" w:sz="8" w:space="0"/>
              <w:bottom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数据名称</w:t>
            </w:r>
          </w:p>
        </w:tc>
        <w:tc>
          <w:tcPr>
            <w:tcW w:w="1560" w:type="dxa"/>
            <w:tcBorders>
              <w:top w:val="single" w:color="000000" w:sz="8" w:space="0"/>
              <w:bottom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数据类型</w:t>
            </w:r>
          </w:p>
        </w:tc>
        <w:tc>
          <w:tcPr>
            <w:tcW w:w="1134" w:type="dxa"/>
            <w:tcBorders>
              <w:top w:val="single" w:color="000000" w:sz="8" w:space="0"/>
              <w:bottom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精度</w:t>
            </w:r>
          </w:p>
        </w:tc>
        <w:tc>
          <w:tcPr>
            <w:tcW w:w="1275" w:type="dxa"/>
            <w:tcBorders>
              <w:top w:val="single" w:color="000000" w:sz="8" w:space="0"/>
              <w:bottom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范围</w:t>
            </w:r>
          </w:p>
        </w:tc>
        <w:tc>
          <w:tcPr>
            <w:tcW w:w="1610" w:type="dxa"/>
            <w:tcBorders>
              <w:top w:val="single" w:color="000000" w:sz="8" w:space="0"/>
              <w:bottom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计量单位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tcBorders>
              <w:top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播种日期</w:t>
            </w:r>
          </w:p>
        </w:tc>
        <w:tc>
          <w:tcPr>
            <w:tcW w:w="1560" w:type="dxa"/>
            <w:tcBorders>
              <w:top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字符串</w:t>
            </w:r>
          </w:p>
        </w:tc>
        <w:tc>
          <w:tcPr>
            <w:tcW w:w="1134" w:type="dxa"/>
            <w:tcBorders>
              <w:top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p>
        </w:tc>
        <w:tc>
          <w:tcPr>
            <w:tcW w:w="1275" w:type="dxa"/>
            <w:tcBorders>
              <w:top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p>
        </w:tc>
        <w:tc>
          <w:tcPr>
            <w:tcW w:w="1610" w:type="dxa"/>
            <w:tcBorders>
              <w:top w:val="single" w:color="000000" w:sz="8" w:space="0"/>
            </w:tcBorders>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调查日期</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字符串</w:t>
            </w:r>
          </w:p>
        </w:tc>
        <w:tc>
          <w:tcPr>
            <w:tcW w:w="113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p>
        </w:tc>
        <w:tc>
          <w:tcPr>
            <w:tcW w:w="1275"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p>
        </w:tc>
        <w:tc>
          <w:tcPr>
            <w:tcW w:w="161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株高</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单精度浮点数</w:t>
            </w:r>
          </w:p>
        </w:tc>
        <w:tc>
          <w:tcPr>
            <w:tcW w:w="113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1位小数</w:t>
            </w:r>
          </w:p>
        </w:tc>
        <w:tc>
          <w:tcPr>
            <w:tcW w:w="1275"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0</w:t>
            </w:r>
            <w:r>
              <w:rPr>
                <w:rFonts w:ascii="Times New Roman" w:hAnsi="Times New Roman" w:cs="Times New Roman"/>
                <w:sz w:val="18"/>
                <w:szCs w:val="21"/>
              </w:rPr>
              <w:t>-160</w:t>
            </w:r>
          </w:p>
        </w:tc>
        <w:tc>
          <w:tcPr>
            <w:tcW w:w="161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c</w:t>
            </w:r>
            <w:r>
              <w:rPr>
                <w:rFonts w:ascii="Times New Roman" w:hAnsi="Times New Roman" w:cs="Times New Roman"/>
                <w:sz w:val="18"/>
                <w:szCs w:val="21"/>
              </w:rPr>
              <w:t>m</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果枝始节</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整数</w:t>
            </w:r>
          </w:p>
        </w:tc>
        <w:tc>
          <w:tcPr>
            <w:tcW w:w="113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1位</w:t>
            </w:r>
          </w:p>
        </w:tc>
        <w:tc>
          <w:tcPr>
            <w:tcW w:w="1275"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ascii="Times New Roman" w:hAnsi="Times New Roman" w:cs="Times New Roman"/>
                <w:sz w:val="18"/>
                <w:szCs w:val="21"/>
              </w:rPr>
              <w:t>0-99</w:t>
            </w:r>
          </w:p>
        </w:tc>
        <w:tc>
          <w:tcPr>
            <w:tcW w:w="161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果枝数</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整数</w:t>
            </w:r>
          </w:p>
        </w:tc>
        <w:tc>
          <w:tcPr>
            <w:tcW w:w="113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2位</w:t>
            </w:r>
          </w:p>
        </w:tc>
        <w:tc>
          <w:tcPr>
            <w:tcW w:w="1275"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0</w:t>
            </w:r>
            <w:r>
              <w:rPr>
                <w:rFonts w:ascii="Times New Roman" w:hAnsi="Times New Roman" w:cs="Times New Roman"/>
                <w:sz w:val="18"/>
                <w:szCs w:val="21"/>
              </w:rPr>
              <w:t>-99</w:t>
            </w:r>
          </w:p>
        </w:tc>
        <w:tc>
          <w:tcPr>
            <w:tcW w:w="161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个</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蕾数</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整数</w:t>
            </w:r>
          </w:p>
        </w:tc>
        <w:tc>
          <w:tcPr>
            <w:tcW w:w="1134" w:type="dxa"/>
            <w:shd w:val="clear" w:color="auto" w:fill="auto"/>
            <w:vAlign w:val="center"/>
          </w:tcPr>
          <w:p>
            <w:pPr>
              <w:spacing w:line="240" w:lineRule="auto"/>
              <w:jc w:val="center"/>
              <w:rPr>
                <w:kern w:val="0"/>
                <w:sz w:val="18"/>
              </w:rPr>
            </w:pPr>
            <w:r>
              <w:rPr>
                <w:rFonts w:hint="eastAsia"/>
                <w:kern w:val="0"/>
                <w:sz w:val="18"/>
              </w:rPr>
              <w:t>2位</w:t>
            </w:r>
          </w:p>
        </w:tc>
        <w:tc>
          <w:tcPr>
            <w:tcW w:w="1275" w:type="dxa"/>
            <w:shd w:val="clear" w:color="auto" w:fill="auto"/>
            <w:vAlign w:val="center"/>
          </w:tcPr>
          <w:p>
            <w:pPr>
              <w:spacing w:line="240" w:lineRule="auto"/>
              <w:jc w:val="center"/>
              <w:rPr>
                <w:kern w:val="0"/>
                <w:sz w:val="18"/>
              </w:rPr>
            </w:pPr>
            <w:r>
              <w:rPr>
                <w:rFonts w:hint="eastAsia"/>
                <w:kern w:val="0"/>
                <w:sz w:val="18"/>
              </w:rPr>
              <w:t>0</w:t>
            </w:r>
            <w:r>
              <w:rPr>
                <w:kern w:val="0"/>
                <w:sz w:val="18"/>
              </w:rPr>
              <w:t>-99</w:t>
            </w:r>
          </w:p>
        </w:tc>
        <w:tc>
          <w:tcPr>
            <w:tcW w:w="1610" w:type="dxa"/>
            <w:shd w:val="clear" w:color="auto" w:fill="auto"/>
            <w:vAlign w:val="center"/>
          </w:tcPr>
          <w:p>
            <w:pPr>
              <w:spacing w:line="240" w:lineRule="auto"/>
              <w:jc w:val="center"/>
              <w:rPr>
                <w:kern w:val="0"/>
                <w:sz w:val="18"/>
              </w:rPr>
            </w:pPr>
            <w:r>
              <w:rPr>
                <w:rFonts w:hint="eastAsia"/>
                <w:kern w:val="0"/>
                <w:sz w:val="18"/>
              </w:rPr>
              <w:t>个</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花数</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整数</w:t>
            </w:r>
          </w:p>
        </w:tc>
        <w:tc>
          <w:tcPr>
            <w:tcW w:w="1134" w:type="dxa"/>
            <w:shd w:val="clear" w:color="auto" w:fill="auto"/>
            <w:vAlign w:val="center"/>
          </w:tcPr>
          <w:p>
            <w:pPr>
              <w:spacing w:line="240" w:lineRule="auto"/>
              <w:jc w:val="center"/>
              <w:rPr>
                <w:kern w:val="0"/>
                <w:sz w:val="18"/>
              </w:rPr>
            </w:pPr>
            <w:r>
              <w:rPr>
                <w:rFonts w:hint="eastAsia"/>
                <w:kern w:val="0"/>
                <w:sz w:val="18"/>
              </w:rPr>
              <w:t>2位</w:t>
            </w:r>
          </w:p>
        </w:tc>
        <w:tc>
          <w:tcPr>
            <w:tcW w:w="1275" w:type="dxa"/>
            <w:shd w:val="clear" w:color="auto" w:fill="auto"/>
            <w:vAlign w:val="center"/>
          </w:tcPr>
          <w:p>
            <w:pPr>
              <w:spacing w:line="240" w:lineRule="auto"/>
              <w:jc w:val="center"/>
              <w:rPr>
                <w:kern w:val="0"/>
                <w:sz w:val="18"/>
              </w:rPr>
            </w:pPr>
            <w:r>
              <w:rPr>
                <w:rFonts w:hint="eastAsia"/>
                <w:kern w:val="0"/>
                <w:sz w:val="18"/>
              </w:rPr>
              <w:t>0</w:t>
            </w:r>
            <w:r>
              <w:rPr>
                <w:kern w:val="0"/>
                <w:sz w:val="18"/>
              </w:rPr>
              <w:t>-99</w:t>
            </w:r>
          </w:p>
        </w:tc>
        <w:tc>
          <w:tcPr>
            <w:tcW w:w="1610" w:type="dxa"/>
            <w:shd w:val="clear" w:color="auto" w:fill="auto"/>
            <w:vAlign w:val="center"/>
          </w:tcPr>
          <w:p>
            <w:pPr>
              <w:spacing w:line="240" w:lineRule="auto"/>
              <w:jc w:val="center"/>
              <w:rPr>
                <w:kern w:val="0"/>
                <w:sz w:val="18"/>
              </w:rPr>
            </w:pPr>
            <w:r>
              <w:rPr>
                <w:rFonts w:hint="eastAsia"/>
                <w:kern w:val="0"/>
                <w:sz w:val="18"/>
              </w:rPr>
              <w:t>个</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幼铃数</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整数</w:t>
            </w:r>
          </w:p>
        </w:tc>
        <w:tc>
          <w:tcPr>
            <w:tcW w:w="1134" w:type="dxa"/>
            <w:shd w:val="clear" w:color="auto" w:fill="auto"/>
            <w:vAlign w:val="center"/>
          </w:tcPr>
          <w:p>
            <w:pPr>
              <w:spacing w:line="240" w:lineRule="auto"/>
              <w:jc w:val="center"/>
              <w:rPr>
                <w:kern w:val="0"/>
                <w:sz w:val="18"/>
              </w:rPr>
            </w:pPr>
            <w:r>
              <w:rPr>
                <w:rFonts w:hint="eastAsia"/>
                <w:kern w:val="0"/>
                <w:sz w:val="18"/>
              </w:rPr>
              <w:t>2位</w:t>
            </w:r>
          </w:p>
        </w:tc>
        <w:tc>
          <w:tcPr>
            <w:tcW w:w="1275" w:type="dxa"/>
            <w:shd w:val="clear" w:color="auto" w:fill="auto"/>
            <w:vAlign w:val="center"/>
          </w:tcPr>
          <w:p>
            <w:pPr>
              <w:spacing w:line="240" w:lineRule="auto"/>
              <w:jc w:val="center"/>
              <w:rPr>
                <w:kern w:val="0"/>
                <w:sz w:val="18"/>
              </w:rPr>
            </w:pPr>
            <w:r>
              <w:rPr>
                <w:rFonts w:hint="eastAsia"/>
                <w:kern w:val="0"/>
                <w:sz w:val="18"/>
              </w:rPr>
              <w:t>0</w:t>
            </w:r>
            <w:r>
              <w:rPr>
                <w:kern w:val="0"/>
                <w:sz w:val="18"/>
              </w:rPr>
              <w:t>-99</w:t>
            </w:r>
          </w:p>
        </w:tc>
        <w:tc>
          <w:tcPr>
            <w:tcW w:w="1610" w:type="dxa"/>
            <w:shd w:val="clear" w:color="auto" w:fill="auto"/>
            <w:vAlign w:val="center"/>
          </w:tcPr>
          <w:p>
            <w:pPr>
              <w:spacing w:line="240" w:lineRule="auto"/>
              <w:jc w:val="center"/>
              <w:rPr>
                <w:kern w:val="0"/>
                <w:sz w:val="18"/>
              </w:rPr>
            </w:pPr>
            <w:r>
              <w:rPr>
                <w:rFonts w:hint="eastAsia"/>
                <w:kern w:val="0"/>
                <w:sz w:val="18"/>
              </w:rPr>
              <w:t>个</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成铃数</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整数</w:t>
            </w:r>
          </w:p>
        </w:tc>
        <w:tc>
          <w:tcPr>
            <w:tcW w:w="1134" w:type="dxa"/>
            <w:shd w:val="clear" w:color="auto" w:fill="auto"/>
            <w:vAlign w:val="center"/>
          </w:tcPr>
          <w:p>
            <w:pPr>
              <w:spacing w:line="240" w:lineRule="auto"/>
              <w:jc w:val="center"/>
              <w:rPr>
                <w:kern w:val="0"/>
                <w:sz w:val="18"/>
              </w:rPr>
            </w:pPr>
            <w:r>
              <w:rPr>
                <w:rFonts w:hint="eastAsia"/>
                <w:kern w:val="0"/>
                <w:sz w:val="18"/>
              </w:rPr>
              <w:t>2位</w:t>
            </w:r>
          </w:p>
        </w:tc>
        <w:tc>
          <w:tcPr>
            <w:tcW w:w="1275" w:type="dxa"/>
            <w:shd w:val="clear" w:color="auto" w:fill="auto"/>
            <w:vAlign w:val="center"/>
          </w:tcPr>
          <w:p>
            <w:pPr>
              <w:spacing w:line="240" w:lineRule="auto"/>
              <w:jc w:val="center"/>
              <w:rPr>
                <w:kern w:val="0"/>
                <w:sz w:val="18"/>
              </w:rPr>
            </w:pPr>
            <w:r>
              <w:rPr>
                <w:rFonts w:hint="eastAsia"/>
                <w:kern w:val="0"/>
                <w:sz w:val="18"/>
              </w:rPr>
              <w:t>0</w:t>
            </w:r>
            <w:r>
              <w:rPr>
                <w:kern w:val="0"/>
                <w:sz w:val="18"/>
              </w:rPr>
              <w:t>-99</w:t>
            </w:r>
          </w:p>
        </w:tc>
        <w:tc>
          <w:tcPr>
            <w:tcW w:w="1610" w:type="dxa"/>
            <w:shd w:val="clear" w:color="auto" w:fill="auto"/>
            <w:vAlign w:val="center"/>
          </w:tcPr>
          <w:p>
            <w:pPr>
              <w:spacing w:line="240" w:lineRule="auto"/>
              <w:jc w:val="center"/>
              <w:rPr>
                <w:kern w:val="0"/>
                <w:sz w:val="18"/>
              </w:rPr>
            </w:pPr>
            <w:r>
              <w:rPr>
                <w:rFonts w:hint="eastAsia"/>
                <w:kern w:val="0"/>
                <w:sz w:val="18"/>
              </w:rPr>
              <w:t>个</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脱落数</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整数</w:t>
            </w:r>
          </w:p>
        </w:tc>
        <w:tc>
          <w:tcPr>
            <w:tcW w:w="1134" w:type="dxa"/>
            <w:shd w:val="clear" w:color="auto" w:fill="auto"/>
            <w:vAlign w:val="center"/>
          </w:tcPr>
          <w:p>
            <w:pPr>
              <w:spacing w:line="240" w:lineRule="auto"/>
              <w:jc w:val="center"/>
              <w:rPr>
                <w:kern w:val="0"/>
                <w:sz w:val="18"/>
              </w:rPr>
            </w:pPr>
            <w:r>
              <w:rPr>
                <w:rFonts w:hint="eastAsia"/>
                <w:kern w:val="0"/>
                <w:sz w:val="18"/>
              </w:rPr>
              <w:t>2位</w:t>
            </w:r>
          </w:p>
        </w:tc>
        <w:tc>
          <w:tcPr>
            <w:tcW w:w="1275" w:type="dxa"/>
            <w:shd w:val="clear" w:color="auto" w:fill="auto"/>
            <w:vAlign w:val="center"/>
          </w:tcPr>
          <w:p>
            <w:pPr>
              <w:spacing w:line="240" w:lineRule="auto"/>
              <w:jc w:val="center"/>
              <w:rPr>
                <w:kern w:val="0"/>
                <w:sz w:val="18"/>
              </w:rPr>
            </w:pPr>
            <w:r>
              <w:rPr>
                <w:rFonts w:hint="eastAsia"/>
                <w:kern w:val="0"/>
                <w:sz w:val="18"/>
              </w:rPr>
              <w:t>0</w:t>
            </w:r>
            <w:r>
              <w:rPr>
                <w:kern w:val="0"/>
                <w:sz w:val="18"/>
              </w:rPr>
              <w:t>-99</w:t>
            </w:r>
          </w:p>
        </w:tc>
        <w:tc>
          <w:tcPr>
            <w:tcW w:w="1610" w:type="dxa"/>
            <w:shd w:val="clear" w:color="auto" w:fill="auto"/>
            <w:vAlign w:val="center"/>
          </w:tcPr>
          <w:p>
            <w:pPr>
              <w:spacing w:line="240" w:lineRule="auto"/>
              <w:jc w:val="center"/>
              <w:rPr>
                <w:kern w:val="0"/>
                <w:sz w:val="18"/>
              </w:rPr>
            </w:pPr>
            <w:r>
              <w:rPr>
                <w:rFonts w:hint="eastAsia"/>
                <w:kern w:val="0"/>
                <w:sz w:val="18"/>
              </w:rPr>
              <w:t>个</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烂铃数</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整数</w:t>
            </w:r>
          </w:p>
        </w:tc>
        <w:tc>
          <w:tcPr>
            <w:tcW w:w="1134" w:type="dxa"/>
            <w:shd w:val="clear" w:color="auto" w:fill="auto"/>
            <w:vAlign w:val="center"/>
          </w:tcPr>
          <w:p>
            <w:pPr>
              <w:spacing w:line="240" w:lineRule="auto"/>
              <w:jc w:val="center"/>
              <w:rPr>
                <w:kern w:val="0"/>
                <w:sz w:val="18"/>
              </w:rPr>
            </w:pPr>
            <w:r>
              <w:rPr>
                <w:rFonts w:hint="eastAsia"/>
                <w:kern w:val="0"/>
                <w:sz w:val="18"/>
              </w:rPr>
              <w:t>2位</w:t>
            </w:r>
          </w:p>
        </w:tc>
        <w:tc>
          <w:tcPr>
            <w:tcW w:w="1275" w:type="dxa"/>
            <w:shd w:val="clear" w:color="auto" w:fill="auto"/>
            <w:vAlign w:val="center"/>
          </w:tcPr>
          <w:p>
            <w:pPr>
              <w:spacing w:line="240" w:lineRule="auto"/>
              <w:jc w:val="center"/>
              <w:rPr>
                <w:kern w:val="0"/>
                <w:sz w:val="18"/>
              </w:rPr>
            </w:pPr>
            <w:r>
              <w:rPr>
                <w:rFonts w:hint="eastAsia"/>
                <w:kern w:val="0"/>
                <w:sz w:val="18"/>
              </w:rPr>
              <w:t>0</w:t>
            </w:r>
            <w:r>
              <w:rPr>
                <w:kern w:val="0"/>
                <w:sz w:val="18"/>
              </w:rPr>
              <w:t>-99</w:t>
            </w:r>
          </w:p>
        </w:tc>
        <w:tc>
          <w:tcPr>
            <w:tcW w:w="1610" w:type="dxa"/>
            <w:shd w:val="clear" w:color="auto" w:fill="auto"/>
            <w:vAlign w:val="center"/>
          </w:tcPr>
          <w:p>
            <w:pPr>
              <w:spacing w:line="240" w:lineRule="auto"/>
              <w:jc w:val="center"/>
              <w:rPr>
                <w:kern w:val="0"/>
                <w:sz w:val="18"/>
              </w:rPr>
            </w:pPr>
            <w:r>
              <w:rPr>
                <w:rFonts w:hint="eastAsia"/>
                <w:kern w:val="0"/>
                <w:sz w:val="18"/>
              </w:rPr>
              <w:t>个</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1874"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吐絮数</w:t>
            </w:r>
          </w:p>
        </w:tc>
        <w:tc>
          <w:tcPr>
            <w:tcW w:w="1560" w:type="dxa"/>
            <w:shd w:val="clear" w:color="auto" w:fill="auto"/>
            <w:vAlign w:val="center"/>
          </w:tcPr>
          <w:p>
            <w:pPr>
              <w:pStyle w:val="25"/>
              <w:adjustRightInd w:val="0"/>
              <w:snapToGrid w:val="0"/>
              <w:spacing w:before="0" w:beforeAutospacing="0" w:after="0" w:afterAutospacing="0"/>
              <w:jc w:val="center"/>
              <w:rPr>
                <w:rFonts w:ascii="Times New Roman" w:hAnsi="Times New Roman" w:cs="Times New Roman"/>
                <w:sz w:val="18"/>
                <w:szCs w:val="21"/>
              </w:rPr>
            </w:pPr>
            <w:r>
              <w:rPr>
                <w:rFonts w:hint="eastAsia" w:ascii="Times New Roman" w:hAnsi="Times New Roman" w:cs="Times New Roman"/>
                <w:sz w:val="18"/>
                <w:szCs w:val="21"/>
              </w:rPr>
              <w:t>整数</w:t>
            </w:r>
          </w:p>
        </w:tc>
        <w:tc>
          <w:tcPr>
            <w:tcW w:w="1134" w:type="dxa"/>
            <w:shd w:val="clear" w:color="auto" w:fill="auto"/>
            <w:vAlign w:val="center"/>
          </w:tcPr>
          <w:p>
            <w:pPr>
              <w:spacing w:line="240" w:lineRule="auto"/>
              <w:jc w:val="center"/>
              <w:rPr>
                <w:kern w:val="0"/>
                <w:sz w:val="18"/>
              </w:rPr>
            </w:pPr>
            <w:r>
              <w:rPr>
                <w:rFonts w:hint="eastAsia"/>
                <w:kern w:val="0"/>
                <w:sz w:val="18"/>
              </w:rPr>
              <w:t>2位</w:t>
            </w:r>
          </w:p>
        </w:tc>
        <w:tc>
          <w:tcPr>
            <w:tcW w:w="1275" w:type="dxa"/>
            <w:shd w:val="clear" w:color="auto" w:fill="auto"/>
            <w:vAlign w:val="center"/>
          </w:tcPr>
          <w:p>
            <w:pPr>
              <w:spacing w:line="240" w:lineRule="auto"/>
              <w:jc w:val="center"/>
              <w:rPr>
                <w:kern w:val="0"/>
                <w:sz w:val="18"/>
              </w:rPr>
            </w:pPr>
            <w:r>
              <w:rPr>
                <w:rFonts w:hint="eastAsia"/>
                <w:kern w:val="0"/>
                <w:sz w:val="18"/>
              </w:rPr>
              <w:t>0</w:t>
            </w:r>
            <w:r>
              <w:rPr>
                <w:kern w:val="0"/>
                <w:sz w:val="18"/>
              </w:rPr>
              <w:t>-99</w:t>
            </w:r>
          </w:p>
        </w:tc>
        <w:tc>
          <w:tcPr>
            <w:tcW w:w="1610" w:type="dxa"/>
            <w:shd w:val="clear" w:color="auto" w:fill="auto"/>
            <w:vAlign w:val="center"/>
          </w:tcPr>
          <w:p>
            <w:pPr>
              <w:spacing w:line="240" w:lineRule="auto"/>
              <w:jc w:val="center"/>
              <w:rPr>
                <w:kern w:val="0"/>
                <w:sz w:val="18"/>
              </w:rPr>
            </w:pPr>
            <w:r>
              <w:rPr>
                <w:rFonts w:hint="eastAsia"/>
                <w:kern w:val="0"/>
                <w:sz w:val="18"/>
              </w:rPr>
              <w:t>个</w:t>
            </w:r>
          </w:p>
        </w:tc>
      </w:tr>
    </w:tbl>
    <w:p>
      <w:pPr>
        <w:pStyle w:val="166"/>
        <w:numPr>
          <w:ilvl w:val="0"/>
          <w:numId w:val="0"/>
        </w:numPr>
        <w:ind w:firstLine="360" w:firstLineChars="200"/>
        <w:rPr>
          <w:sz w:val="18"/>
          <w:szCs w:val="18"/>
        </w:rPr>
      </w:pPr>
    </w:p>
    <w:p>
      <w:pPr>
        <w:pStyle w:val="224"/>
        <w:spacing w:beforeLines="50" w:afterLines="50"/>
        <w:ind w:left="420" w:hanging="420" w:hangingChars="200"/>
        <w:outlineLvl w:val="1"/>
        <w:rPr>
          <w:rFonts w:ascii="黑体" w:hAnsi="黑体" w:eastAsia="黑体"/>
        </w:rPr>
      </w:pPr>
      <w:r>
        <w:rPr>
          <w:rFonts w:hint="eastAsia" w:ascii="黑体" w:hAnsi="黑体" w:eastAsia="黑体"/>
        </w:rPr>
        <w:t>采集数据指标要求</w:t>
      </w:r>
    </w:p>
    <w:p>
      <w:pPr>
        <w:pStyle w:val="57"/>
        <w:ind w:firstLine="420"/>
      </w:pPr>
      <w:r>
        <w:rPr>
          <w:rFonts w:hint="eastAsia"/>
        </w:rPr>
        <w:t>棉花蕾应为肉眼可见三角形生殖器官，约3 mm大小；花为当日开放白花；幼铃为直径小于2 cm的棉铃；成铃为直径大于2 cm的棉铃；烂铃指由于微生物侵染而引进霉烂的棉铃；吐絮指棉铃成熟开裂，子棉绽露于铃外；脱落指由于生理失调，病、虫为害和机械损伤造成的棉蕾或棉铃与植株分离。</w:t>
      </w:r>
    </w:p>
    <w:p>
      <w:pPr>
        <w:pStyle w:val="224"/>
        <w:spacing w:beforeLines="50" w:afterLines="50"/>
        <w:ind w:left="420" w:hanging="420" w:hangingChars="200"/>
        <w:outlineLvl w:val="1"/>
      </w:pPr>
      <w:r>
        <w:rPr>
          <w:rFonts w:hint="eastAsia" w:ascii="黑体" w:hAnsi="黑体" w:eastAsia="黑体"/>
        </w:rPr>
        <w:t>数据结构与计算</w:t>
      </w:r>
    </w:p>
    <w:p>
      <w:pPr>
        <w:pStyle w:val="66"/>
        <w:spacing w:before="120" w:after="120"/>
      </w:pPr>
      <w:r>
        <w:t>数据结构</w:t>
      </w:r>
    </w:p>
    <w:p>
      <w:pPr>
        <w:pStyle w:val="57"/>
        <w:ind w:firstLine="420"/>
      </w:pPr>
      <w:r>
        <w:rPr>
          <w:rFonts w:hint="eastAsia"/>
        </w:rPr>
        <w:t>棉花</w:t>
      </w:r>
      <w:r>
        <w:t>生长发育数据</w:t>
      </w:r>
      <w:r>
        <w:rPr>
          <w:rFonts w:hint="eastAsia"/>
        </w:rPr>
        <w:t>按照播种日期、调查日期、重复次数、株号、株高、首果枝位、果枝号、熟性数字化编码等字段存储。</w:t>
      </w:r>
    </w:p>
    <w:bookmarkEnd w:id="22"/>
    <w:p>
      <w:pPr>
        <w:pStyle w:val="66"/>
        <w:spacing w:before="120" w:after="120"/>
      </w:pPr>
      <w:bookmarkStart w:id="54" w:name="BookMark8"/>
      <w:r>
        <w:rPr>
          <w:rFonts w:hint="eastAsia"/>
        </w:rPr>
        <w:t>熟性数量化指标计算</w:t>
      </w:r>
    </w:p>
    <w:p>
      <w:pPr>
        <w:pStyle w:val="57"/>
        <w:ind w:firstLine="420"/>
      </w:pPr>
      <w:r>
        <w:rPr>
          <w:rFonts w:hint="eastAsia"/>
        </w:rPr>
        <w:t>应按照5.2</w:t>
      </w:r>
      <w:r>
        <w:t>.2</w:t>
      </w:r>
      <w:r>
        <w:rPr>
          <w:rFonts w:hint="eastAsia"/>
        </w:rPr>
        <w:t>熟性数字化内容，统计计算单株棉花的平均株高、果枝数、未开花果枝数、果枝发生速率、真叶数、脱落率等数据指标。</w:t>
      </w:r>
    </w:p>
    <w:p>
      <w:pPr>
        <w:pStyle w:val="90"/>
        <w:numPr>
          <w:ilvl w:val="0"/>
          <w:numId w:val="0"/>
        </w:numPr>
        <w:spacing w:after="360"/>
        <w:rPr>
          <w:spacing w:val="320"/>
        </w:rPr>
      </w:pPr>
    </w:p>
    <w:p>
      <w:pPr>
        <w:pStyle w:val="90"/>
        <w:numPr>
          <w:ilvl w:val="0"/>
          <w:numId w:val="0"/>
        </w:numPr>
        <w:spacing w:after="360"/>
        <w:rPr>
          <w:spacing w:val="320"/>
        </w:rPr>
      </w:pPr>
    </w:p>
    <w:p/>
    <w:p>
      <w:pPr>
        <w:pStyle w:val="90"/>
        <w:numPr>
          <w:ilvl w:val="0"/>
          <w:numId w:val="0"/>
        </w:numPr>
        <w:spacing w:after="360"/>
        <w:rPr>
          <w:rFonts w:eastAsia="宋体"/>
          <w:sz w:val="21"/>
          <w:szCs w:val="21"/>
        </w:rPr>
      </w:pPr>
      <w:bookmarkStart w:id="55" w:name="_Toc14624"/>
      <w:r>
        <w:rPr>
          <w:rFonts w:hint="eastAsia"/>
          <w:spacing w:val="320"/>
          <w:sz w:val="21"/>
          <w:szCs w:val="21"/>
        </w:rPr>
        <w:t>附录</w:t>
      </w:r>
      <w:bookmarkEnd w:id="55"/>
    </w:p>
    <w:p>
      <w:pPr>
        <w:pStyle w:val="57"/>
        <w:ind w:firstLine="0" w:firstLineChars="0"/>
        <w:jc w:val="center"/>
        <w:rPr>
          <w:rFonts w:ascii="黑体" w:hAnsi="黑体" w:eastAsia="黑体" w:cs="黑体"/>
          <w:sz w:val="28"/>
          <w:szCs w:val="28"/>
        </w:rPr>
      </w:pPr>
      <w:r>
        <w:rPr>
          <w:rFonts w:hint="eastAsia" w:ascii="黑体" w:hAnsi="黑体" w:eastAsia="黑体" w:cs="黑体"/>
          <w:szCs w:val="21"/>
        </w:rPr>
        <w:t>作物群体光合有效辐射透射率计算方法</w:t>
      </w:r>
    </w:p>
    <w:p>
      <w:pPr>
        <w:pStyle w:val="57"/>
        <w:ind w:firstLine="0" w:firstLineChars="0"/>
        <w:jc w:val="center"/>
      </w:pPr>
    </w:p>
    <w:p>
      <w:pPr>
        <w:pStyle w:val="224"/>
        <w:numPr>
          <w:ilvl w:val="2"/>
          <w:numId w:val="0"/>
        </w:numPr>
        <w:spacing w:beforeLines="50" w:afterLines="50"/>
        <w:ind w:left="-420" w:leftChars="-200" w:firstLine="420" w:firstLineChars="200"/>
        <w:outlineLvl w:val="1"/>
        <w:rPr>
          <w:rFonts w:ascii="黑体" w:hAnsi="黑体" w:eastAsia="黑体"/>
        </w:rPr>
      </w:pPr>
      <w:r>
        <w:rPr>
          <w:rFonts w:hint="eastAsia" w:ascii="黑体" w:hAnsi="黑体" w:eastAsia="黑体"/>
        </w:rPr>
        <w:t>A.1 空间统计学工具</w:t>
      </w:r>
    </w:p>
    <w:p>
      <w:pPr>
        <w:pStyle w:val="57"/>
        <w:ind w:firstLine="420"/>
        <w:jc w:val="left"/>
      </w:pPr>
      <w:r>
        <w:rPr>
          <w:rFonts w:hint="eastAsia"/>
        </w:rPr>
        <w:t>空间统计学是以区域化变量为基础、变异函数为基本工具研究分布于空间并呈现一定结构性（空间分布上有一定的相关性或连续性）和随机性的自然现象的科学。研究分析空间统计学数据需要应用相关空间统计学工具。</w:t>
      </w:r>
    </w:p>
    <w:p>
      <w:pPr>
        <w:pStyle w:val="224"/>
        <w:numPr>
          <w:ilvl w:val="2"/>
          <w:numId w:val="0"/>
        </w:numPr>
        <w:spacing w:beforeLines="50" w:afterLines="50"/>
        <w:ind w:left="-420" w:leftChars="-200" w:firstLine="420" w:firstLineChars="200"/>
        <w:outlineLvl w:val="1"/>
      </w:pPr>
      <w:r>
        <w:rPr>
          <w:rFonts w:hint="eastAsia" w:ascii="黑体" w:hAnsi="黑体" w:eastAsia="黑体"/>
        </w:rPr>
        <w:t>A.2 克里金插值法</w:t>
      </w:r>
    </w:p>
    <w:p>
      <w:pPr>
        <w:pStyle w:val="57"/>
        <w:ind w:firstLine="420"/>
        <w:jc w:val="left"/>
        <w:rPr>
          <w:lang w:val="zh-CN"/>
        </w:rPr>
      </w:pPr>
      <w:r>
        <w:rPr>
          <w:rFonts w:hint="eastAsia"/>
        </w:rPr>
        <w:t>空间插值是根据已知的空间数据估计 (预测) 未知空间数据值的数学方法。克里金法是研究棉花群体光合有效辐射的最佳插值方法。该法首先考虑了空间属性在空间位置的变异分布，然后提出变异模型，在估计值满足无偏性和最小方差后确定一个待插点的属性值。设区域化变量满足二阶平稳假设，待插点 X 的估计值</w:t>
      </w:r>
      <w:r>
        <w:rPr>
          <w:rFonts w:hint="eastAsia"/>
          <w:lang w:val="zh-CN"/>
        </w:rPr>
        <w:t>的计算公式如下：</w:t>
      </w:r>
    </w:p>
    <w:p>
      <w:pPr>
        <w:pStyle w:val="57"/>
        <w:ind w:firstLine="360"/>
        <w:jc w:val="left"/>
        <w:rPr>
          <w:sz w:val="18"/>
          <w:szCs w:val="18"/>
        </w:rPr>
      </w:pPr>
      <w:r>
        <w:rPr>
          <w:rFonts w:hint="eastAsia"/>
          <w:position w:val="-28"/>
          <w:sz w:val="18"/>
          <w:szCs w:val="18"/>
        </w:rPr>
        <w:object>
          <v:shape id="_x0000_i1025" o:spt="75" type="#_x0000_t75" style="height:33.75pt;width:102pt;" o:ole="t" filled="f" o:preferrelative="t" stroked="f" coordsize="21600,21600">
            <v:path/>
            <v:fill on="f" focussize="0,0"/>
            <v:stroke on="f" joinstyle="miter"/>
            <v:imagedata r:id="rId17" o:title=""/>
            <o:lock v:ext="edit" aspectratio="t"/>
            <w10:wrap type="none"/>
            <w10:anchorlock/>
          </v:shape>
          <o:OLEObject Type="Embed" ProgID="Equation.3" ShapeID="_x0000_i1025" DrawAspect="Content" ObjectID="_1468075725" r:id="rId16">
            <o:LockedField>false</o:LockedField>
          </o:OLEObject>
        </w:object>
      </w:r>
    </w:p>
    <w:p>
      <w:pPr>
        <w:pStyle w:val="57"/>
        <w:ind w:firstLine="420"/>
        <w:jc w:val="left"/>
        <w:rPr>
          <w:lang w:val="zh-CN"/>
        </w:rPr>
      </w:pPr>
      <w:r>
        <w:rPr>
          <w:rFonts w:hint="eastAsia"/>
          <w:lang w:val="zh-CN"/>
        </w:rPr>
        <w:object>
          <v:shape id="_x0000_i1026" o:spt="75" type="#_x0000_t75" style="height:33pt;width:149.25pt;" o:ole="t" filled="f" o:preferrelative="t" stroked="f" coordsize="21600,21600">
            <v:path/>
            <v:fill on="f" focussize="0,0"/>
            <v:stroke on="f" joinstyle="miter"/>
            <v:imagedata r:id="rId19" o:title=""/>
            <o:lock v:ext="edit" aspectratio="t"/>
            <w10:wrap type="none"/>
            <w10:anchorlock/>
          </v:shape>
          <o:OLEObject Type="Embed" ProgID="Equation.DSMT4" ShapeID="_x0000_i1026" DrawAspect="Content" ObjectID="_1468075726" r:id="rId18">
            <o:LockedField>false</o:LockedField>
          </o:OLEObject>
        </w:object>
      </w:r>
      <w:r>
        <w:rPr>
          <w:rFonts w:hint="eastAsia"/>
          <w:lang w:val="zh-CN"/>
        </w:rPr>
        <w:t>，</w:t>
      </w:r>
      <w:r>
        <w:rPr>
          <w:rFonts w:hint="eastAsia"/>
          <w:lang w:val="zh-CN"/>
        </w:rPr>
        <w:object>
          <v:shape id="_x0000_i1027" o:spt="75" type="#_x0000_t75" style="height:14.25pt;width:48pt;" o:ole="t" filled="f" o:preferrelative="t" stroked="f" coordsize="21600,21600">
            <v:path/>
            <v:fill on="f" focussize="0,0"/>
            <v:stroke on="f" joinstyle="miter"/>
            <v:imagedata r:id="rId21" o:title=""/>
            <o:lock v:ext="edit" aspectratio="t"/>
            <w10:wrap type="none"/>
            <w10:anchorlock/>
          </v:shape>
          <o:OLEObject Type="Embed" ProgID="Equation.DSMT4" ShapeID="_x0000_i1027" DrawAspect="Content" ObjectID="_1468075727" r:id="rId20">
            <o:LockedField>false</o:LockedField>
          </o:OLEObject>
        </w:object>
      </w:r>
    </w:p>
    <w:p>
      <w:pPr>
        <w:pStyle w:val="57"/>
        <w:ind w:firstLine="420"/>
        <w:jc w:val="left"/>
      </w:pPr>
      <w:r>
        <w:rPr>
          <w:rFonts w:hint="eastAsia"/>
        </w:rPr>
        <w:t>其中，Z(X</w:t>
      </w:r>
      <w:r>
        <w:rPr>
          <w:rFonts w:hint="eastAsia"/>
          <w:vertAlign w:val="subscript"/>
        </w:rPr>
        <w:t>i</w:t>
      </w:r>
      <w:r>
        <w:rPr>
          <w:rFonts w:hint="eastAsia"/>
        </w:rPr>
        <w:t>)是n个已知测试点的函数值，</w:t>
      </w:r>
      <w:r>
        <w:rPr>
          <w:rFonts w:hint="eastAsia" w:hAnsi="宋体" w:cs="宋体"/>
        </w:rPr>
        <w:t>λ</w:t>
      </w:r>
      <w:r>
        <w:rPr>
          <w:rFonts w:hint="eastAsia" w:hAnsi="宋体" w:cs="宋体"/>
          <w:vertAlign w:val="subscript"/>
        </w:rPr>
        <w:t>i</w:t>
      </w:r>
      <w:r>
        <w:rPr>
          <w:rFonts w:hint="eastAsia"/>
        </w:rPr>
        <w:t>是n个已知测试点的全系数，</w:t>
      </w:r>
      <w:r>
        <w:rPr>
          <w:rFonts w:hint="eastAsia" w:hAnsi="宋体" w:cs="宋体"/>
        </w:rPr>
        <w:t>λ</w:t>
      </w:r>
      <w:r>
        <w:rPr>
          <w:rFonts w:hint="eastAsia" w:hAnsi="宋体" w:cs="宋体"/>
          <w:vertAlign w:val="subscript"/>
        </w:rPr>
        <w:t>i</w:t>
      </w:r>
      <w:r>
        <w:rPr>
          <w:rFonts w:hint="eastAsia"/>
        </w:rPr>
        <w:t>的和等于1，</w:t>
      </w:r>
      <w:r>
        <w:rPr>
          <w:rFonts w:hint="eastAsia" w:hAnsi="宋体" w:cs="宋体"/>
        </w:rPr>
        <w:t>φ</w:t>
      </w:r>
      <w:r>
        <w:rPr>
          <w:rFonts w:hint="eastAsia"/>
        </w:rPr>
        <w:t>为拉格朗日算子，</w:t>
      </w:r>
      <w:r>
        <w:rPr>
          <w:rFonts w:hint="eastAsia" w:hAnsi="宋体" w:cs="宋体"/>
        </w:rPr>
        <w:t>γ(X</w:t>
      </w:r>
      <w:r>
        <w:rPr>
          <w:rFonts w:hint="eastAsia" w:hAnsi="宋体" w:cs="宋体"/>
          <w:vertAlign w:val="subscript"/>
        </w:rPr>
        <w:t>i</w:t>
      </w:r>
      <w:r>
        <w:rPr>
          <w:rFonts w:hint="eastAsia" w:hAnsi="宋体" w:cs="宋体"/>
        </w:rPr>
        <w:t>,X</w:t>
      </w:r>
      <w:r>
        <w:rPr>
          <w:rFonts w:hint="eastAsia" w:hAnsi="宋体" w:cs="宋体"/>
          <w:vertAlign w:val="subscript"/>
        </w:rPr>
        <w:t>0</w:t>
      </w:r>
      <w:r>
        <w:rPr>
          <w:rFonts w:hint="eastAsia" w:hAnsi="宋体" w:cs="宋体"/>
        </w:rPr>
        <w:t>）</w:t>
      </w:r>
      <w:r>
        <w:rPr>
          <w:rFonts w:hint="eastAsia"/>
        </w:rPr>
        <w:t>为已知测试点与待测点间的变异函数值，</w:t>
      </w:r>
      <w:r>
        <w:rPr>
          <w:rFonts w:hint="eastAsia" w:hAnsi="宋体" w:cs="宋体"/>
        </w:rPr>
        <w:t>γ(X</w:t>
      </w:r>
      <w:r>
        <w:rPr>
          <w:rFonts w:hint="eastAsia" w:hAnsi="宋体" w:cs="宋体"/>
          <w:vertAlign w:val="subscript"/>
        </w:rPr>
        <w:t>i</w:t>
      </w:r>
      <w:r>
        <w:rPr>
          <w:rFonts w:hint="eastAsia" w:hAnsi="宋体" w:cs="宋体"/>
        </w:rPr>
        <w:t>,X</w:t>
      </w:r>
      <w:r>
        <w:rPr>
          <w:rFonts w:hint="eastAsia" w:hAnsi="宋体" w:cs="宋体"/>
          <w:vertAlign w:val="subscript"/>
        </w:rPr>
        <w:t>j</w:t>
      </w:r>
      <w:r>
        <w:rPr>
          <w:rFonts w:hint="eastAsia" w:hAnsi="宋体" w:cs="宋体"/>
        </w:rPr>
        <w:t>）</w:t>
      </w:r>
      <w:r>
        <w:rPr>
          <w:rFonts w:hint="eastAsia"/>
        </w:rPr>
        <w:t>为已知测试点间的变异函数值，X</w:t>
      </w:r>
      <w:r>
        <w:rPr>
          <w:rFonts w:hint="eastAsia"/>
          <w:vertAlign w:val="subscript"/>
        </w:rPr>
        <w:t>0</w:t>
      </w:r>
      <w:r>
        <w:rPr>
          <w:rFonts w:hint="eastAsia"/>
        </w:rPr>
        <w:t>为待测点的估计值。</w:t>
      </w:r>
    </w:p>
    <w:p>
      <w:pPr>
        <w:pStyle w:val="57"/>
        <w:ind w:firstLine="420"/>
        <w:jc w:val="left"/>
      </w:pPr>
    </w:p>
    <w:p>
      <w:pPr>
        <w:pStyle w:val="224"/>
        <w:numPr>
          <w:ilvl w:val="2"/>
          <w:numId w:val="0"/>
        </w:numPr>
        <w:spacing w:beforeLines="50" w:afterLines="50"/>
        <w:ind w:left="-420" w:leftChars="-200" w:firstLine="420" w:firstLineChars="200"/>
        <w:outlineLvl w:val="1"/>
      </w:pPr>
      <w:r>
        <w:rPr>
          <w:rFonts w:hint="eastAsia" w:ascii="黑体" w:hAnsi="黑体" w:eastAsia="黑体"/>
        </w:rPr>
        <w:t>A.3 3/8扩展辛普森方法</w:t>
      </w:r>
    </w:p>
    <w:p>
      <w:pPr>
        <w:pStyle w:val="57"/>
        <w:ind w:firstLine="0" w:firstLineChars="0"/>
        <w:jc w:val="left"/>
      </w:pPr>
      <w:r>
        <w:rPr>
          <w:rFonts w:hint="eastAsia"/>
        </w:rPr>
        <w:t xml:space="preserve">    3/8扩展辛普森方法是一种数值积分的方法，利用该方法可计算整个测量区域的棉花冠层光合有效辐射量。3/8扩展辛普森方法计算遵循如下规则：</w:t>
      </w:r>
    </w:p>
    <w:p>
      <w:pPr>
        <w:pStyle w:val="57"/>
        <w:ind w:firstLine="0" w:firstLineChars="0"/>
        <w:jc w:val="center"/>
      </w:pPr>
      <w:r>
        <w:rPr>
          <w:rFonts w:hint="eastAsia"/>
          <w:position w:val="-24"/>
        </w:rPr>
        <w:object>
          <v:shape id="_x0000_i1028" o:spt="75" type="#_x0000_t75" style="height:30.75pt;width:291pt;" o:ole="t" filled="f" o:preferrelative="t" stroked="f" coordsize="21600,21600">
            <v:path/>
            <v:fill on="f" focussize="0,0"/>
            <v:stroke on="f" joinstyle="miter"/>
            <v:imagedata r:id="rId23" o:title=""/>
            <o:lock v:ext="edit" aspectratio="t"/>
            <w10:wrap type="none"/>
            <w10:anchorlock/>
          </v:shape>
          <o:OLEObject Type="Embed" ProgID="Equation.3" ShapeID="_x0000_i1028" DrawAspect="Content" ObjectID="_1468075728" r:id="rId22">
            <o:LockedField>false</o:LockedField>
          </o:OLEObject>
        </w:object>
      </w:r>
      <w:r>
        <w:rPr>
          <w:rFonts w:hint="eastAsia"/>
        </w:rPr>
        <w:object>
          <v:shape id="_x0000_i1029" o:spt="75" type="#_x0000_t75" style="height:30.75pt;width:285pt;" o:ole="t" filled="f" o:preferrelative="t" stroked="f" coordsize="21600,21600">
            <v:path/>
            <v:fill on="f" focussize="0,0"/>
            <v:stroke on="f" joinstyle="miter"/>
            <v:imagedata r:id="rId25" o:title=""/>
            <o:lock v:ext="edit" aspectratio="t"/>
            <w10:wrap type="none"/>
            <w10:anchorlock/>
          </v:shape>
          <o:OLEObject Type="Embed" ProgID="Equation.3" ShapeID="_x0000_i1029" DrawAspect="Content" ObjectID="_1468075729" r:id="rId24">
            <o:LockedField>false</o:LockedField>
          </o:OLEObject>
        </w:object>
      </w:r>
    </w:p>
    <w:p>
      <w:pPr>
        <w:pStyle w:val="57"/>
        <w:ind w:firstLine="420"/>
        <w:jc w:val="left"/>
      </w:pPr>
    </w:p>
    <w:p>
      <w:pPr>
        <w:pStyle w:val="57"/>
        <w:ind w:firstLine="420"/>
        <w:jc w:val="left"/>
      </w:pPr>
      <w:r>
        <w:rPr>
          <w:rFonts w:hint="eastAsia"/>
        </w:rPr>
        <w:t>其中，A</w:t>
      </w:r>
      <w:r>
        <w:rPr>
          <w:rFonts w:hint="eastAsia"/>
          <w:vertAlign w:val="subscript"/>
        </w:rPr>
        <w:t>i</w:t>
      </w:r>
      <w:r>
        <w:rPr>
          <w:rFonts w:hint="eastAsia"/>
        </w:rPr>
        <w:t>为第i行横截面的光合有效辐射量，Volume为</w:t>
      </w:r>
      <w:r>
        <w:rPr>
          <w:rFonts w:hint="eastAsia"/>
          <w:lang w:val="zh-CN"/>
        </w:rPr>
        <w:t>整个测试空间区域的</w:t>
      </w:r>
      <w:r>
        <w:rPr>
          <w:rFonts w:hint="eastAsia"/>
        </w:rPr>
        <w:t>总光合有效辐射量，</w:t>
      </w:r>
      <w:r>
        <w:rPr>
          <w:rFonts w:hint="eastAsia" w:hAnsi="宋体" w:cs="宋体"/>
        </w:rPr>
        <w:t>△</w:t>
      </w:r>
      <w:r>
        <w:rPr>
          <w:rFonts w:hint="eastAsia"/>
        </w:rPr>
        <w:t>x为空间网格数据的列间距，</w:t>
      </w:r>
      <w:r>
        <w:rPr>
          <w:rFonts w:hint="eastAsia" w:hAnsi="宋体" w:cs="宋体"/>
        </w:rPr>
        <w:t>△</w:t>
      </w:r>
      <w:r>
        <w:rPr>
          <w:rFonts w:hint="eastAsia"/>
        </w:rPr>
        <w:t>y为空间网格数据的行间距，G</w:t>
      </w:r>
      <w:r>
        <w:rPr>
          <w:rFonts w:hint="eastAsia"/>
          <w:vertAlign w:val="subscript"/>
        </w:rPr>
        <w:t>i,j</w:t>
      </w:r>
      <w:r>
        <w:rPr>
          <w:rFonts w:hint="eastAsia"/>
        </w:rPr>
        <w:t>为空间网格数据的第i行第j列的网格结点值，i表示纵向测试截面区域内的任意点的横坐标，j表示纵向测试截面区域内的任意点的纵坐标。</w:t>
      </w:r>
    </w:p>
    <w:p>
      <w:pPr>
        <w:pStyle w:val="57"/>
        <w:ind w:firstLine="420"/>
        <w:jc w:val="left"/>
      </w:pPr>
    </w:p>
    <w:p>
      <w:pPr>
        <w:pStyle w:val="57"/>
        <w:ind w:firstLine="420"/>
        <w:jc w:val="left"/>
      </w:pPr>
    </w:p>
    <w:p>
      <w:pPr>
        <w:pStyle w:val="57"/>
        <w:ind w:firstLine="0" w:firstLineChars="0"/>
        <w:jc w:val="center"/>
      </w:pPr>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6">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54"/>
    </w:p>
    <w:sectPr>
      <w:headerReference r:id="rId13" w:type="default"/>
      <w:footerReference r:id="rId14" w:type="default"/>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NT/T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NT/T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966C5B"/>
    <w:multiLevelType w:val="singleLevel"/>
    <w:tmpl w:val="1E966C5B"/>
    <w:lvl w:ilvl="0" w:tentative="0">
      <w:start w:val="1"/>
      <w:numFmt w:val="lowerLetter"/>
      <w:suff w:val="nothing"/>
      <w:lvlText w:val="%1）"/>
      <w:lvlJc w:val="left"/>
      <w:rPr>
        <w:rFonts w:hint="default"/>
        <w:color w:val="auto"/>
      </w:r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1134" w:firstLine="0"/>
      </w:pPr>
      <w:rPr>
        <w:rFonts w:hint="eastAsia" w:ascii="黑体" w:eastAsia="黑体"/>
        <w:b w:val="0"/>
        <w:i w:val="0"/>
        <w:sz w:val="21"/>
      </w:rPr>
    </w:lvl>
    <w:lvl w:ilvl="2" w:tentative="0">
      <w:start w:val="1"/>
      <w:numFmt w:val="decimal"/>
      <w:pStyle w:val="106"/>
      <w:suff w:val="nothing"/>
      <w:lvlText w:val="%1%2.%3　"/>
      <w:lvlJc w:val="left"/>
      <w:pPr>
        <w:ind w:left="2268"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oNotDisplayPageBoundaries w:val="true"/>
  <w:bordersDoNotSurroundHeader w:val="true"/>
  <w:bordersDoNotSurroundFooter w:val="true"/>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NhYzljN2M1YzNkMWVhMGYwYWYxYWQwNTRkZjM2N2EifQ=="/>
  </w:docVars>
  <w:rsids>
    <w:rsidRoot w:val="006A760F"/>
    <w:rsid w:val="0000040A"/>
    <w:rsid w:val="00000A94"/>
    <w:rsid w:val="00001972"/>
    <w:rsid w:val="00001D9A"/>
    <w:rsid w:val="000077B7"/>
    <w:rsid w:val="00007B3A"/>
    <w:rsid w:val="000107E0"/>
    <w:rsid w:val="00011FDE"/>
    <w:rsid w:val="00012FFD"/>
    <w:rsid w:val="00014162"/>
    <w:rsid w:val="00014340"/>
    <w:rsid w:val="00016A9C"/>
    <w:rsid w:val="0002006D"/>
    <w:rsid w:val="00021F29"/>
    <w:rsid w:val="00022184"/>
    <w:rsid w:val="00022762"/>
    <w:rsid w:val="000238E0"/>
    <w:rsid w:val="000249DB"/>
    <w:rsid w:val="0002595E"/>
    <w:rsid w:val="000303C3"/>
    <w:rsid w:val="000331D3"/>
    <w:rsid w:val="000340ED"/>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1A0A"/>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29BD"/>
    <w:rsid w:val="00224596"/>
    <w:rsid w:val="002253A1"/>
    <w:rsid w:val="00225CF8"/>
    <w:rsid w:val="0022718D"/>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2DB8"/>
    <w:rsid w:val="00344605"/>
    <w:rsid w:val="00344D56"/>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25F"/>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3F77E2"/>
    <w:rsid w:val="00400E72"/>
    <w:rsid w:val="00401400"/>
    <w:rsid w:val="00404869"/>
    <w:rsid w:val="00405884"/>
    <w:rsid w:val="00406381"/>
    <w:rsid w:val="00407D39"/>
    <w:rsid w:val="0041477A"/>
    <w:rsid w:val="004167A3"/>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45C2"/>
    <w:rsid w:val="004659BD"/>
    <w:rsid w:val="004705A1"/>
    <w:rsid w:val="00470775"/>
    <w:rsid w:val="004715BD"/>
    <w:rsid w:val="004746B1"/>
    <w:rsid w:val="0047583F"/>
    <w:rsid w:val="00484936"/>
    <w:rsid w:val="00485C89"/>
    <w:rsid w:val="00486BE3"/>
    <w:rsid w:val="004905E4"/>
    <w:rsid w:val="00490779"/>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B74"/>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54C0"/>
    <w:rsid w:val="005479DA"/>
    <w:rsid w:val="00547BCC"/>
    <w:rsid w:val="0055013B"/>
    <w:rsid w:val="00551485"/>
    <w:rsid w:val="00551F6F"/>
    <w:rsid w:val="00555044"/>
    <w:rsid w:val="00561475"/>
    <w:rsid w:val="0056487B"/>
    <w:rsid w:val="00564FB9"/>
    <w:rsid w:val="00573D9E"/>
    <w:rsid w:val="005801E3"/>
    <w:rsid w:val="00581802"/>
    <w:rsid w:val="005836A8"/>
    <w:rsid w:val="0058409C"/>
    <w:rsid w:val="00584262"/>
    <w:rsid w:val="00586630"/>
    <w:rsid w:val="00587ADD"/>
    <w:rsid w:val="00593544"/>
    <w:rsid w:val="00596160"/>
    <w:rsid w:val="005966E2"/>
    <w:rsid w:val="00597007"/>
    <w:rsid w:val="005A0966"/>
    <w:rsid w:val="005A11B7"/>
    <w:rsid w:val="005A260B"/>
    <w:rsid w:val="005A3C8E"/>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0DC3"/>
    <w:rsid w:val="005E2335"/>
    <w:rsid w:val="005E34CA"/>
    <w:rsid w:val="005E3C18"/>
    <w:rsid w:val="005E6318"/>
    <w:rsid w:val="005E6812"/>
    <w:rsid w:val="005E7829"/>
    <w:rsid w:val="005E7881"/>
    <w:rsid w:val="005E78E0"/>
    <w:rsid w:val="005F0D9C"/>
    <w:rsid w:val="005F284E"/>
    <w:rsid w:val="006015CE"/>
    <w:rsid w:val="00603E7F"/>
    <w:rsid w:val="00604784"/>
    <w:rsid w:val="00606419"/>
    <w:rsid w:val="00607D29"/>
    <w:rsid w:val="0061088A"/>
    <w:rsid w:val="00612952"/>
    <w:rsid w:val="00614CC1"/>
    <w:rsid w:val="00615A9D"/>
    <w:rsid w:val="00617387"/>
    <w:rsid w:val="00621E81"/>
    <w:rsid w:val="00623E15"/>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760F"/>
    <w:rsid w:val="006B2672"/>
    <w:rsid w:val="006B43EF"/>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E3EB0"/>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0F9E"/>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307A"/>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436"/>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472BB"/>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3814"/>
    <w:rsid w:val="008B4AC4"/>
    <w:rsid w:val="008B50C8"/>
    <w:rsid w:val="008B5281"/>
    <w:rsid w:val="008B7E05"/>
    <w:rsid w:val="008C1797"/>
    <w:rsid w:val="008C219C"/>
    <w:rsid w:val="008C475E"/>
    <w:rsid w:val="008C4767"/>
    <w:rsid w:val="008C60CB"/>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6FC"/>
    <w:rsid w:val="00915C3E"/>
    <w:rsid w:val="009161A8"/>
    <w:rsid w:val="009245F5"/>
    <w:rsid w:val="009249EC"/>
    <w:rsid w:val="009273B3"/>
    <w:rsid w:val="00927661"/>
    <w:rsid w:val="009305B5"/>
    <w:rsid w:val="00941FA3"/>
    <w:rsid w:val="009429D5"/>
    <w:rsid w:val="00942BF1"/>
    <w:rsid w:val="00945180"/>
    <w:rsid w:val="00945428"/>
    <w:rsid w:val="0094607B"/>
    <w:rsid w:val="00953604"/>
    <w:rsid w:val="0095496B"/>
    <w:rsid w:val="009610DC"/>
    <w:rsid w:val="00961490"/>
    <w:rsid w:val="0096381A"/>
    <w:rsid w:val="00963EBE"/>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B6E57"/>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5909"/>
    <w:rsid w:val="00A67866"/>
    <w:rsid w:val="00A70B07"/>
    <w:rsid w:val="00A723F8"/>
    <w:rsid w:val="00A77CCB"/>
    <w:rsid w:val="00A83D8D"/>
    <w:rsid w:val="00A83E19"/>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63C8"/>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432"/>
    <w:rsid w:val="00B447A5"/>
    <w:rsid w:val="00B4654C"/>
    <w:rsid w:val="00B47293"/>
    <w:rsid w:val="00B50E50"/>
    <w:rsid w:val="00B52120"/>
    <w:rsid w:val="00B54ABC"/>
    <w:rsid w:val="00B56FBE"/>
    <w:rsid w:val="00B62B58"/>
    <w:rsid w:val="00B65149"/>
    <w:rsid w:val="00B66567"/>
    <w:rsid w:val="00B66F52"/>
    <w:rsid w:val="00B66FE5"/>
    <w:rsid w:val="00B71E77"/>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41"/>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277C"/>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36347"/>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EEF"/>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9C8"/>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68F"/>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27E2"/>
    <w:rsid w:val="00DB38EE"/>
    <w:rsid w:val="00DB498B"/>
    <w:rsid w:val="00DB66CA"/>
    <w:rsid w:val="00DB6BCA"/>
    <w:rsid w:val="00DB7113"/>
    <w:rsid w:val="00DC0321"/>
    <w:rsid w:val="00DC3067"/>
    <w:rsid w:val="00DC370B"/>
    <w:rsid w:val="00DC42D7"/>
    <w:rsid w:val="00DC5B90"/>
    <w:rsid w:val="00DD00FF"/>
    <w:rsid w:val="00DD0619"/>
    <w:rsid w:val="00DD07FB"/>
    <w:rsid w:val="00DD25C6"/>
    <w:rsid w:val="00DD4FE5"/>
    <w:rsid w:val="00DD54B0"/>
    <w:rsid w:val="00DD57EE"/>
    <w:rsid w:val="00DD6BCC"/>
    <w:rsid w:val="00DE0A4B"/>
    <w:rsid w:val="00DE0ED9"/>
    <w:rsid w:val="00DE2410"/>
    <w:rsid w:val="00DE2939"/>
    <w:rsid w:val="00DE6E81"/>
    <w:rsid w:val="00DE703F"/>
    <w:rsid w:val="00DE7595"/>
    <w:rsid w:val="00DE7FF3"/>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1E2"/>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336B"/>
    <w:rsid w:val="00EE613F"/>
    <w:rsid w:val="00EE7295"/>
    <w:rsid w:val="00EE7869"/>
    <w:rsid w:val="00EF054A"/>
    <w:rsid w:val="00EF1555"/>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5D42"/>
    <w:rsid w:val="00FD7299"/>
    <w:rsid w:val="00FE1FBE"/>
    <w:rsid w:val="00FE3901"/>
    <w:rsid w:val="00FE39D3"/>
    <w:rsid w:val="00FE4BCE"/>
    <w:rsid w:val="00FE54AE"/>
    <w:rsid w:val="00FE576A"/>
    <w:rsid w:val="00FE7E79"/>
    <w:rsid w:val="00FF3E7D"/>
    <w:rsid w:val="00FF5B99"/>
    <w:rsid w:val="00FF730C"/>
    <w:rsid w:val="00FF73F4"/>
    <w:rsid w:val="00FF7CE4"/>
    <w:rsid w:val="00FF7E39"/>
    <w:rsid w:val="03D76765"/>
    <w:rsid w:val="0407606E"/>
    <w:rsid w:val="0C2D757F"/>
    <w:rsid w:val="0DE029C3"/>
    <w:rsid w:val="0ED737D9"/>
    <w:rsid w:val="1F3821DF"/>
    <w:rsid w:val="20E34BC3"/>
    <w:rsid w:val="289D0D6E"/>
    <w:rsid w:val="2E314855"/>
    <w:rsid w:val="35B2701D"/>
    <w:rsid w:val="48205C0E"/>
    <w:rsid w:val="4A074EC0"/>
    <w:rsid w:val="4DD71793"/>
    <w:rsid w:val="4E394407"/>
    <w:rsid w:val="57C8447E"/>
    <w:rsid w:val="594B1E7E"/>
    <w:rsid w:val="6BDF7D39"/>
    <w:rsid w:val="70F21646"/>
    <w:rsid w:val="78BD0EFA"/>
    <w:rsid w:val="7F4068E9"/>
    <w:rsid w:val="9E7B301C"/>
    <w:rsid w:val="BEC76DF7"/>
    <w:rsid w:val="BFF6469F"/>
    <w:rsid w:val="DFFFAD3F"/>
    <w:rsid w:val="FBA68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ind w:left="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32">
    <w:name w:val="段 Char Char"/>
    <w:link w:val="231"/>
    <w:qFormat/>
    <w:uiPriority w:val="0"/>
    <w:rPr>
      <w:rFonts w:ascii="宋体" w:hAnsi="Times New Roman"/>
      <w:sz w:val="21"/>
    </w:rPr>
  </w:style>
  <w:style w:type="paragraph" w:customStyle="1" w:styleId="233">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4">
    <w:name w:val="WPSOffice手动目录 1"/>
    <w:qFormat/>
    <w:uiPriority w:val="0"/>
    <w:rPr>
      <w:rFonts w:ascii="Calibri" w:hAnsi="Calibri" w:eastAsia="宋体" w:cs="Times New Roman"/>
      <w:lang w:val="en-US" w:eastAsia="zh-CN" w:bidi="ar-SA"/>
    </w:rPr>
  </w:style>
  <w:style w:type="paragraph" w:customStyle="1" w:styleId="235">
    <w:name w:val="正文文本缩进 21"/>
    <w:basedOn w:val="1"/>
    <w:qFormat/>
    <w:uiPriority w:val="99"/>
    <w:pPr>
      <w:spacing w:after="120" w:line="480" w:lineRule="auto"/>
      <w:ind w:left="420" w:left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6.jpeg"/><Relationship Id="rId25" Type="http://schemas.openxmlformats.org/officeDocument/2006/relationships/image" Target="media/image5.wmf"/><Relationship Id="rId24" Type="http://schemas.openxmlformats.org/officeDocument/2006/relationships/oleObject" Target="embeddings/oleObject5.bin"/><Relationship Id="rId23" Type="http://schemas.openxmlformats.org/officeDocument/2006/relationships/image" Target="media/image4.wmf"/><Relationship Id="rId22" Type="http://schemas.openxmlformats.org/officeDocument/2006/relationships/oleObject" Target="embeddings/oleObject4.bin"/><Relationship Id="rId21" Type="http://schemas.openxmlformats.org/officeDocument/2006/relationships/image" Target="media/image3.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2.wmf"/><Relationship Id="rId18" Type="http://schemas.openxmlformats.org/officeDocument/2006/relationships/oleObject" Target="embeddings/oleObject2.bin"/><Relationship Id="rId17" Type="http://schemas.openxmlformats.org/officeDocument/2006/relationships/image" Target="media/image1.wmf"/><Relationship Id="rId16" Type="http://schemas.openxmlformats.org/officeDocument/2006/relationships/oleObject" Target="embeddings/oleObject1.bin"/><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58603332E36436FA82934C29EB2342D"/>
        <w:style w:val=""/>
        <w:category>
          <w:name w:val="常规"/>
          <w:gallery w:val="placeholder"/>
        </w:category>
        <w:types>
          <w:type w:val="bbPlcHdr"/>
        </w:types>
        <w:behaviors>
          <w:behavior w:val="content"/>
        </w:behaviors>
        <w:description w:val=""/>
        <w:guid w:val="{F539D3C1-31F9-4E17-BCE3-434C47D2AE61}"/>
      </w:docPartPr>
      <w:docPartBody>
        <w:p>
          <w:pPr>
            <w:pStyle w:val="5"/>
          </w:pPr>
          <w:r>
            <w:rPr>
              <w:rStyle w:val="4"/>
              <w:rFonts w:hint="eastAsia"/>
            </w:rPr>
            <w:t>单击或点击此处输入文字。</w:t>
          </w:r>
        </w:p>
      </w:docPartBody>
    </w:docPart>
    <w:docPart>
      <w:docPartPr>
        <w:name w:val="{28acccb2-98eb-41ac-a69d-3ad21702c45f}"/>
        <w:style w:val=""/>
        <w:category>
          <w:name w:val="常规"/>
          <w:gallery w:val="placeholder"/>
        </w:category>
        <w:types>
          <w:type w:val="bbPlcHdr"/>
        </w:types>
        <w:behaviors>
          <w:behavior w:val="content"/>
        </w:behaviors>
        <w:description w:val=""/>
        <w:guid w:val="{28ACCCB2-98EB-41AC-A69D-3AD21702C45F}"/>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国标仿宋"/>
    <w:panose1 w:val="00000000000000000000"/>
    <w:charset w:val="86"/>
    <w:family w:val="auto"/>
    <w:pitch w:val="default"/>
    <w:sig w:usb0="00000000" w:usb1="00000000" w:usb2="00000000" w:usb3="00000000" w:csb0="00000000" w:csb1="00000000"/>
  </w:font>
  <w:font w:name="等线">
    <w:altName w:val="国标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true"/>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58C8"/>
    <w:rsid w:val="001058C8"/>
    <w:rsid w:val="00413499"/>
    <w:rsid w:val="00485D03"/>
    <w:rsid w:val="005A4BCD"/>
    <w:rsid w:val="008834A0"/>
    <w:rsid w:val="008B7496"/>
    <w:rsid w:val="00BB21DC"/>
    <w:rsid w:val="00C96340"/>
    <w:rsid w:val="00E16F3A"/>
    <w:rsid w:val="00F91049"/>
    <w:rsid w:val="00FB58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58603332E36436FA82934C29EB2342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9BA82538A59446591418140D61925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B58C7E3895545BBA28A38F0E4A528E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1</Pages>
  <Words>692</Words>
  <Characters>3949</Characters>
  <Lines>32</Lines>
  <Paragraphs>9</Paragraphs>
  <TotalTime>42</TotalTime>
  <ScaleCrop>false</ScaleCrop>
  <LinksUpToDate>false</LinksUpToDate>
  <CharactersWithSpaces>4632</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2023-03-08T08:48:00Z</dcterms:created>
  <dc:creator>gyb1</dc:creator>
  <dc:description>&lt;config cover="true" show_menu="true" version="1.0.0" doctype="SDKXY"&gt;_x000d_
&lt;/config&gt;</dc:description>
  <cp:lastModifiedBy>yangshuo</cp:lastModifiedBy>
  <cp:lastPrinted>2021-02-03T00:18:00Z</cp:lastPrinted>
  <dcterms:modified xsi:type="dcterms:W3CDTF">2024-03-18T15:07:32Z</dcterms:modified>
  <dc:title>行业标准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2052-11.8.2.10505</vt:lpwstr>
  </property>
  <property fmtid="{D5CDD505-2E9C-101B-9397-08002B2CF9AE}" pid="15" name="ICV">
    <vt:lpwstr>35BFA82CB83B48DFABA52FA6B8CFA98A_12</vt:lpwstr>
  </property>
</Properties>
</file>