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EF1A9" w14:textId="1A370F56" w:rsidR="00FE2697" w:rsidRPr="009C122D" w:rsidRDefault="00FE2697" w:rsidP="00FE2697">
      <w:pPr>
        <w:pStyle w:val="Chatperno"/>
      </w:pPr>
      <w:r w:rsidRPr="009C122D">
        <w:t xml:space="preserve">Chapter </w:t>
      </w:r>
      <w:r>
        <w:t>3</w:t>
      </w:r>
      <w:r w:rsidRPr="009C122D">
        <w:t>.</w:t>
      </w:r>
      <w:r>
        <w:t>9.2</w:t>
      </w:r>
      <w:r w:rsidRPr="009C122D">
        <w:t>.</w:t>
      </w:r>
    </w:p>
    <w:p w14:paraId="645C2E59" w14:textId="77777777" w:rsidR="00755B6A" w:rsidRPr="009544AD" w:rsidRDefault="00540933">
      <w:pPr>
        <w:pStyle w:val="TITRE"/>
        <w:pBdr>
          <w:bottom w:val="single" w:sz="6" w:space="10" w:color="auto"/>
        </w:pBdr>
        <w:tabs>
          <w:tab w:val="right" w:pos="1843"/>
        </w:tabs>
        <w:spacing w:after="480" w:line="240" w:lineRule="auto"/>
        <w:rPr>
          <w:rFonts w:ascii="Ottawa" w:hAnsi="Ottawa"/>
          <w:spacing w:val="40"/>
          <w:sz w:val="32"/>
        </w:rPr>
      </w:pPr>
      <w:r w:rsidRPr="009544AD">
        <w:rPr>
          <w:rFonts w:ascii="Ottawa" w:hAnsi="Ottawa"/>
          <w:spacing w:val="40"/>
          <w:sz w:val="32"/>
        </w:rPr>
        <w:t>camelpox</w:t>
      </w:r>
    </w:p>
    <w:p w14:paraId="3F6B09B0" w14:textId="77777777" w:rsidR="00D4764B" w:rsidRPr="009544AD" w:rsidRDefault="00D4764B" w:rsidP="004A4C4D">
      <w:pPr>
        <w:pStyle w:val="Summarytitle"/>
      </w:pPr>
      <w:r w:rsidRPr="009544AD">
        <w:t>SUMMARY</w:t>
      </w:r>
    </w:p>
    <w:p w14:paraId="085F7A5C" w14:textId="0AA2EDF3" w:rsidR="00540933" w:rsidRPr="009544AD" w:rsidRDefault="0051241D" w:rsidP="00260C6C">
      <w:pPr>
        <w:pStyle w:val="sumtexte"/>
        <w:spacing w:after="160"/>
      </w:pPr>
      <w:proofErr w:type="spellStart"/>
      <w:r w:rsidRPr="009544AD">
        <w:t>Camelpox</w:t>
      </w:r>
      <w:proofErr w:type="spellEnd"/>
      <w:r w:rsidR="00540933" w:rsidRPr="009544AD">
        <w:t xml:space="preserve"> is a wide-spread infectious viral disease of </w:t>
      </w:r>
      <w:r w:rsidR="007C279D" w:rsidRPr="009544AD">
        <w:t>O</w:t>
      </w:r>
      <w:r w:rsidR="006B6897" w:rsidRPr="009544AD">
        <w:t>l</w:t>
      </w:r>
      <w:r w:rsidR="00540933" w:rsidRPr="009544AD">
        <w:t>d</w:t>
      </w:r>
      <w:r w:rsidR="007C279D" w:rsidRPr="009544AD">
        <w:t xml:space="preserve"> W</w:t>
      </w:r>
      <w:r w:rsidR="00540933" w:rsidRPr="009544AD">
        <w:t>orld camelids.</w:t>
      </w:r>
      <w:r w:rsidR="00866F7F" w:rsidRPr="009544AD">
        <w:t xml:space="preserve"> New World camelids are also susceptible.</w:t>
      </w:r>
      <w:r w:rsidR="00540933" w:rsidRPr="009544AD">
        <w:t xml:space="preserve"> It occurs throughout the camel</w:t>
      </w:r>
      <w:r w:rsidR="001B3C8D" w:rsidRPr="009544AD">
        <w:t>-</w:t>
      </w:r>
      <w:r w:rsidR="00540933" w:rsidRPr="009544AD">
        <w:t xml:space="preserve">breeding areas </w:t>
      </w:r>
      <w:r w:rsidR="001B3C8D" w:rsidRPr="009544AD">
        <w:t>of</w:t>
      </w:r>
      <w:r w:rsidR="00540933" w:rsidRPr="009544AD">
        <w:t xml:space="preserve"> Africa, north of </w:t>
      </w:r>
      <w:r w:rsidR="001B3C8D" w:rsidRPr="009544AD">
        <w:t xml:space="preserve">the </w:t>
      </w:r>
      <w:r w:rsidR="00540933" w:rsidRPr="009544AD">
        <w:t xml:space="preserve">equator, the Middle East and Asia, </w:t>
      </w:r>
      <w:r w:rsidR="00066432" w:rsidRPr="009544AD">
        <w:t>and has an important</w:t>
      </w:r>
      <w:r w:rsidR="00540933" w:rsidRPr="009544AD">
        <w:t xml:space="preserve"> economic impact through loss of production and sometimes death.</w:t>
      </w:r>
      <w:r w:rsidR="00CF4F98" w:rsidRPr="009544AD">
        <w:t xml:space="preserve"> </w:t>
      </w:r>
      <w:proofErr w:type="spellStart"/>
      <w:r w:rsidR="00CF4F98" w:rsidRPr="009544AD">
        <w:t>Camelpox</w:t>
      </w:r>
      <w:proofErr w:type="spellEnd"/>
      <w:r w:rsidR="00CF4F98" w:rsidRPr="009544AD">
        <w:t xml:space="preserve"> does not occur in the feral camel </w:t>
      </w:r>
      <w:r w:rsidR="004327BF" w:rsidRPr="009544AD">
        <w:t>population of Australia.</w:t>
      </w:r>
      <w:r w:rsidR="00540933" w:rsidRPr="009544AD">
        <w:t xml:space="preserve"> </w:t>
      </w:r>
      <w:proofErr w:type="spellStart"/>
      <w:r w:rsidR="00077A6D" w:rsidRPr="00077A6D">
        <w:rPr>
          <w:i w:val="0"/>
          <w:iCs w:val="0"/>
        </w:rPr>
        <w:t>C</w:t>
      </w:r>
      <w:r w:rsidR="009C23C2" w:rsidRPr="00077A6D">
        <w:rPr>
          <w:i w:val="0"/>
          <w:iCs w:val="0"/>
        </w:rPr>
        <w:t>amelpox</w:t>
      </w:r>
      <w:proofErr w:type="spellEnd"/>
      <w:r w:rsidR="009C23C2" w:rsidRPr="00077A6D">
        <w:rPr>
          <w:i w:val="0"/>
          <w:iCs w:val="0"/>
        </w:rPr>
        <w:t xml:space="preserve"> </w:t>
      </w:r>
      <w:r w:rsidR="00A44FC5" w:rsidRPr="00077A6D">
        <w:rPr>
          <w:i w:val="0"/>
          <w:iCs w:val="0"/>
        </w:rPr>
        <w:t>virus</w:t>
      </w:r>
      <w:r w:rsidR="00A44FC5" w:rsidRPr="009544AD">
        <w:t xml:space="preserve"> belongs to the family </w:t>
      </w:r>
      <w:proofErr w:type="spellStart"/>
      <w:r w:rsidR="00540933" w:rsidRPr="009544AD">
        <w:rPr>
          <w:i w:val="0"/>
        </w:rPr>
        <w:t>Poxviridae</w:t>
      </w:r>
      <w:proofErr w:type="spellEnd"/>
      <w:r w:rsidR="00540933" w:rsidRPr="009544AD">
        <w:t xml:space="preserve">, </w:t>
      </w:r>
      <w:r w:rsidR="00A44FC5" w:rsidRPr="009544AD">
        <w:t xml:space="preserve">subfamily </w:t>
      </w:r>
      <w:proofErr w:type="spellStart"/>
      <w:r w:rsidR="00A44FC5" w:rsidRPr="009544AD">
        <w:rPr>
          <w:i w:val="0"/>
        </w:rPr>
        <w:t>Chordopoxvirinae</w:t>
      </w:r>
      <w:proofErr w:type="spellEnd"/>
      <w:r w:rsidR="00A44FC5" w:rsidRPr="009544AD">
        <w:t>, genus</w:t>
      </w:r>
      <w:r w:rsidR="00A44FC5" w:rsidRPr="009544AD">
        <w:rPr>
          <w:i w:val="0"/>
          <w:iCs w:val="0"/>
        </w:rPr>
        <w:t xml:space="preserve"> </w:t>
      </w:r>
      <w:proofErr w:type="spellStart"/>
      <w:r w:rsidR="00540933" w:rsidRPr="009544AD">
        <w:rPr>
          <w:i w:val="0"/>
          <w:iCs w:val="0"/>
        </w:rPr>
        <w:t>Orthopoxvirus</w:t>
      </w:r>
      <w:proofErr w:type="spellEnd"/>
      <w:r w:rsidR="00540933" w:rsidRPr="009544AD">
        <w:t>. The disease is characteri</w:t>
      </w:r>
      <w:r w:rsidR="001B3C8D" w:rsidRPr="009544AD">
        <w:t>s</w:t>
      </w:r>
      <w:r w:rsidR="00540933" w:rsidRPr="009544AD">
        <w:t>ed by fever, local or generali</w:t>
      </w:r>
      <w:r w:rsidR="001B3C8D" w:rsidRPr="009544AD">
        <w:t>s</w:t>
      </w:r>
      <w:r w:rsidR="00540933" w:rsidRPr="009544AD">
        <w:t xml:space="preserve">ed pox lesions </w:t>
      </w:r>
      <w:r w:rsidR="00A44FC5" w:rsidRPr="009544AD">
        <w:t>on</w:t>
      </w:r>
      <w:r w:rsidR="00540933" w:rsidRPr="009544AD">
        <w:t xml:space="preserve"> the skin and in the mucous membranes of the mouth</w:t>
      </w:r>
      <w:r w:rsidR="004327BF" w:rsidRPr="009544AD">
        <w:t xml:space="preserve"> and</w:t>
      </w:r>
      <w:r w:rsidR="00540933" w:rsidRPr="009544AD">
        <w:t xml:space="preserve"> respiratory tract. The clinical manifestations range from </w:t>
      </w:r>
      <w:r w:rsidR="006B6897" w:rsidRPr="009544AD">
        <w:t>i</w:t>
      </w:r>
      <w:r w:rsidR="00540933" w:rsidRPr="009544AD">
        <w:t>napparent infection to mild, moderate and</w:t>
      </w:r>
      <w:r w:rsidR="00A44FC5" w:rsidRPr="009544AD">
        <w:t>,</w:t>
      </w:r>
      <w:r w:rsidR="00540933" w:rsidRPr="009544AD">
        <w:t xml:space="preserve"> less commonly</w:t>
      </w:r>
      <w:r w:rsidR="00A44FC5" w:rsidRPr="009544AD">
        <w:t>,</w:t>
      </w:r>
      <w:r w:rsidR="00540933" w:rsidRPr="009544AD">
        <w:t xml:space="preserve"> severe systemic infection and death. The disease occurs more frequently and more severely in young animals</w:t>
      </w:r>
      <w:r w:rsidR="00C80BFB" w:rsidRPr="009544AD">
        <w:t xml:space="preserve"> and pregnant females</w:t>
      </w:r>
      <w:r w:rsidR="00540933" w:rsidRPr="009544AD">
        <w:t>. Transmission is by either direct contact between infected and susceptible animal</w:t>
      </w:r>
      <w:r w:rsidR="00A44FC5" w:rsidRPr="009544AD">
        <w:t>s</w:t>
      </w:r>
      <w:r w:rsidR="00540933" w:rsidRPr="009544AD">
        <w:t xml:space="preserve"> or indirect infection via </w:t>
      </w:r>
      <w:r w:rsidR="006C6399" w:rsidRPr="009544AD">
        <w:t xml:space="preserve">a </w:t>
      </w:r>
      <w:r w:rsidR="00540933" w:rsidRPr="009544AD">
        <w:t xml:space="preserve">contaminated environment. The role of </w:t>
      </w:r>
      <w:r w:rsidR="00A44FC5" w:rsidRPr="009544AD">
        <w:t>insects in</w:t>
      </w:r>
      <w:r w:rsidR="00540933" w:rsidRPr="009544AD">
        <w:t xml:space="preserve"> transmission has been suspected</w:t>
      </w:r>
      <w:r w:rsidR="00866F7F" w:rsidRPr="009544AD">
        <w:t xml:space="preserve"> because the disease is often observed af</w:t>
      </w:r>
      <w:r w:rsidR="00D364B6" w:rsidRPr="009544AD">
        <w:t>ter rainfall</w:t>
      </w:r>
      <w:r w:rsidR="00866F7F" w:rsidRPr="009544AD">
        <w:t xml:space="preserve">. </w:t>
      </w:r>
      <w:proofErr w:type="spellStart"/>
      <w:r w:rsidR="00866F7F" w:rsidRPr="009544AD">
        <w:rPr>
          <w:rStyle w:val="Accentuation"/>
          <w:i/>
          <w:iCs/>
          <w:color w:val="000000"/>
        </w:rPr>
        <w:t>Camelpox</w:t>
      </w:r>
      <w:proofErr w:type="spellEnd"/>
      <w:r w:rsidR="00866F7F" w:rsidRPr="009544AD">
        <w:rPr>
          <w:rStyle w:val="Accentuation"/>
          <w:i/>
          <w:iCs/>
          <w:color w:val="000000"/>
        </w:rPr>
        <w:t xml:space="preserve"> virus is very host specific and does not infect other animals</w:t>
      </w:r>
      <w:r w:rsidR="00D364B6" w:rsidRPr="009544AD">
        <w:rPr>
          <w:rStyle w:val="Accentuation"/>
          <w:i/>
          <w:iCs/>
          <w:color w:val="000000"/>
        </w:rPr>
        <w:t xml:space="preserve">. </w:t>
      </w:r>
      <w:r w:rsidR="00820733" w:rsidRPr="009544AD">
        <w:t>Z</w:t>
      </w:r>
      <w:r w:rsidR="00260C6C" w:rsidRPr="009544AD">
        <w:t xml:space="preserve">oonotic </w:t>
      </w:r>
      <w:proofErr w:type="spellStart"/>
      <w:r w:rsidR="000D3360" w:rsidRPr="009544AD">
        <w:t>camelpox</w:t>
      </w:r>
      <w:proofErr w:type="spellEnd"/>
      <w:r w:rsidR="00260C6C" w:rsidRPr="009544AD">
        <w:t xml:space="preserve"> virus infection in humans associated with outbreaks in dromedary camels </w:t>
      </w:r>
      <w:r w:rsidR="00260C6C" w:rsidRPr="009544AD">
        <w:rPr>
          <w:i w:val="0"/>
        </w:rPr>
        <w:t xml:space="preserve">(Camelus </w:t>
      </w:r>
      <w:proofErr w:type="spellStart"/>
      <w:r w:rsidR="00260C6C" w:rsidRPr="009544AD">
        <w:rPr>
          <w:i w:val="0"/>
        </w:rPr>
        <w:t>dromedarius</w:t>
      </w:r>
      <w:proofErr w:type="spellEnd"/>
      <w:r w:rsidR="00260C6C" w:rsidRPr="009544AD">
        <w:rPr>
          <w:i w:val="0"/>
        </w:rPr>
        <w:t>)</w:t>
      </w:r>
      <w:r w:rsidR="00260C6C" w:rsidRPr="009544AD">
        <w:t xml:space="preserve"> </w:t>
      </w:r>
      <w:r w:rsidR="00820733" w:rsidRPr="009544AD">
        <w:t>was</w:t>
      </w:r>
      <w:r w:rsidR="00260C6C" w:rsidRPr="009544AD">
        <w:t xml:space="preserve"> described in the north</w:t>
      </w:r>
      <w:r w:rsidR="00066432" w:rsidRPr="009544AD">
        <w:t>-</w:t>
      </w:r>
      <w:r w:rsidR="00260C6C" w:rsidRPr="009544AD">
        <w:t>east</w:t>
      </w:r>
      <w:r w:rsidR="00820733" w:rsidRPr="009544AD">
        <w:t>ern</w:t>
      </w:r>
      <w:r w:rsidR="00260C6C" w:rsidRPr="009544AD">
        <w:t xml:space="preserve"> region of India during 2009. This </w:t>
      </w:r>
      <w:r w:rsidR="00820733" w:rsidRPr="009544AD">
        <w:t>wa</w:t>
      </w:r>
      <w:r w:rsidR="00260C6C" w:rsidRPr="009544AD">
        <w:t>s a single inciden</w:t>
      </w:r>
      <w:r w:rsidR="00820733" w:rsidRPr="009544AD">
        <w:t>t illustrating</w:t>
      </w:r>
      <w:r w:rsidR="00D364B6" w:rsidRPr="009544AD">
        <w:t xml:space="preserve"> that </w:t>
      </w:r>
      <w:proofErr w:type="spellStart"/>
      <w:r w:rsidR="00D364B6" w:rsidRPr="009544AD">
        <w:t>camelpox</w:t>
      </w:r>
      <w:proofErr w:type="spellEnd"/>
      <w:r w:rsidR="00D364B6" w:rsidRPr="009544AD">
        <w:t xml:space="preserve"> is of</w:t>
      </w:r>
      <w:r w:rsidR="00866F7F" w:rsidRPr="009544AD">
        <w:rPr>
          <w:rStyle w:val="Accentuation"/>
          <w:i/>
          <w:iCs/>
          <w:color w:val="000000"/>
        </w:rPr>
        <w:t xml:space="preserve"> </w:t>
      </w:r>
      <w:r w:rsidR="00820733" w:rsidRPr="009544AD">
        <w:rPr>
          <w:rStyle w:val="Accentuation"/>
          <w:i/>
          <w:iCs/>
          <w:color w:val="000000"/>
        </w:rPr>
        <w:t xml:space="preserve">limited </w:t>
      </w:r>
      <w:r w:rsidR="00D364B6" w:rsidRPr="009544AD">
        <w:rPr>
          <w:rStyle w:val="Accentuation"/>
          <w:i/>
          <w:iCs/>
          <w:color w:val="000000"/>
        </w:rPr>
        <w:t>public health importance.</w:t>
      </w:r>
    </w:p>
    <w:p w14:paraId="51E5D198" w14:textId="77777777" w:rsidR="00540933" w:rsidRPr="009544AD" w:rsidRDefault="00540933" w:rsidP="00A44FC5">
      <w:pPr>
        <w:pStyle w:val="sumtexte"/>
        <w:spacing w:after="160"/>
      </w:pPr>
      <w:r w:rsidRPr="009544AD">
        <w:rPr>
          <w:b/>
        </w:rPr>
        <w:t xml:space="preserve">Identification of the agent: </w:t>
      </w:r>
      <w:r w:rsidRPr="009544AD">
        <w:t xml:space="preserve">The presumptive diagnosis of </w:t>
      </w:r>
      <w:proofErr w:type="spellStart"/>
      <w:r w:rsidR="0051241D" w:rsidRPr="009544AD">
        <w:t>camelpox</w:t>
      </w:r>
      <w:proofErr w:type="spellEnd"/>
      <w:r w:rsidRPr="009544AD">
        <w:t xml:space="preserve"> infection is based on clinical signs. However, infections </w:t>
      </w:r>
      <w:r w:rsidR="006B6897" w:rsidRPr="009544AD">
        <w:t>of</w:t>
      </w:r>
      <w:r w:rsidRPr="009544AD">
        <w:t xml:space="preserve"> camel</w:t>
      </w:r>
      <w:r w:rsidR="006B6897" w:rsidRPr="009544AD">
        <w:t>s with</w:t>
      </w:r>
      <w:r w:rsidRPr="009544AD">
        <w:t xml:space="preserve"> contagious ecthyma </w:t>
      </w:r>
      <w:r w:rsidRPr="009544AD">
        <w:rPr>
          <w:i w:val="0"/>
          <w:iCs w:val="0"/>
        </w:rPr>
        <w:t>(</w:t>
      </w:r>
      <w:proofErr w:type="spellStart"/>
      <w:r w:rsidRPr="009544AD">
        <w:t>orf</w:t>
      </w:r>
      <w:proofErr w:type="spellEnd"/>
      <w:r w:rsidRPr="009544AD">
        <w:rPr>
          <w:i w:val="0"/>
          <w:iCs w:val="0"/>
        </w:rPr>
        <w:t>),</w:t>
      </w:r>
      <w:r w:rsidRPr="009544AD">
        <w:t xml:space="preserve"> papilloma virus and reaction to insect bites are considered differential diagnoses in the early clinical stages and in mild cases of </w:t>
      </w:r>
      <w:proofErr w:type="spellStart"/>
      <w:r w:rsidR="0051241D" w:rsidRPr="009544AD">
        <w:t>camelpox</w:t>
      </w:r>
      <w:proofErr w:type="spellEnd"/>
      <w:r w:rsidRPr="009544AD">
        <w:t>. Several diagnostic methods are available and</w:t>
      </w:r>
      <w:r w:rsidR="00A44FC5" w:rsidRPr="009544AD">
        <w:t>,</w:t>
      </w:r>
      <w:r w:rsidRPr="009544AD">
        <w:t xml:space="preserve"> where possible</w:t>
      </w:r>
      <w:r w:rsidR="00A44FC5" w:rsidRPr="009544AD">
        <w:t>,</w:t>
      </w:r>
      <w:r w:rsidRPr="009544AD">
        <w:t xml:space="preserve"> more than one should be used to make a confirmatory diagnosis of disease. </w:t>
      </w:r>
    </w:p>
    <w:p w14:paraId="78A69A91" w14:textId="7548CB81" w:rsidR="00540933" w:rsidRPr="009544AD" w:rsidRDefault="00B37EB6" w:rsidP="00A44FC5">
      <w:pPr>
        <w:pStyle w:val="sumtexte"/>
        <w:spacing w:after="160"/>
      </w:pPr>
      <w:r w:rsidRPr="009544AD">
        <w:t xml:space="preserve">The </w:t>
      </w:r>
      <w:r w:rsidRPr="00DD5373">
        <w:rPr>
          <w:strike/>
          <w:highlight w:val="yellow"/>
        </w:rPr>
        <w:t xml:space="preserve">fastest </w:t>
      </w:r>
      <w:r w:rsidR="00DD5373" w:rsidRPr="00DD5373">
        <w:rPr>
          <w:highlight w:val="yellow"/>
          <w:u w:val="double"/>
        </w:rPr>
        <w:t>preferred</w:t>
      </w:r>
      <w:r w:rsidR="00DD5373">
        <w:t xml:space="preserve"> </w:t>
      </w:r>
      <w:r w:rsidRPr="009544AD">
        <w:t>method of l</w:t>
      </w:r>
      <w:r w:rsidR="00540933" w:rsidRPr="009544AD">
        <w:t xml:space="preserve">aboratory confirmation of </w:t>
      </w:r>
      <w:proofErr w:type="spellStart"/>
      <w:r w:rsidR="0051241D" w:rsidRPr="009544AD">
        <w:t>camelpox</w:t>
      </w:r>
      <w:proofErr w:type="spellEnd"/>
      <w:r w:rsidR="00540933" w:rsidRPr="009544AD">
        <w:t xml:space="preserve"> is by </w:t>
      </w:r>
      <w:r w:rsidR="00A44FC5" w:rsidRPr="00DD5373">
        <w:rPr>
          <w:u w:val="double"/>
        </w:rPr>
        <w:t>the</w:t>
      </w:r>
      <w:r w:rsidR="00261D1D" w:rsidRPr="0086775A">
        <w:rPr>
          <w:u w:val="double"/>
        </w:rPr>
        <w:t xml:space="preserve"> </w:t>
      </w:r>
      <w:r w:rsidR="00261D1D" w:rsidRPr="0086775A">
        <w:rPr>
          <w:highlight w:val="yellow"/>
          <w:u w:val="double"/>
        </w:rPr>
        <w:t xml:space="preserve">use of polymerase chain reaction </w:t>
      </w:r>
      <w:r w:rsidR="00261D1D" w:rsidRPr="0086775A">
        <w:rPr>
          <w:i w:val="0"/>
          <w:iCs w:val="0"/>
          <w:highlight w:val="yellow"/>
          <w:u w:val="double"/>
        </w:rPr>
        <w:t>(</w:t>
      </w:r>
      <w:r w:rsidR="00261D1D" w:rsidRPr="0086775A">
        <w:rPr>
          <w:highlight w:val="yellow"/>
          <w:u w:val="double"/>
        </w:rPr>
        <w:t>PCR</w:t>
      </w:r>
      <w:r w:rsidR="00261D1D" w:rsidRPr="0086775A">
        <w:rPr>
          <w:i w:val="0"/>
          <w:iCs w:val="0"/>
          <w:highlight w:val="yellow"/>
          <w:u w:val="double"/>
        </w:rPr>
        <w:t>)</w:t>
      </w:r>
      <w:r w:rsidR="00261D1D" w:rsidRPr="0086775A">
        <w:rPr>
          <w:highlight w:val="yellow"/>
          <w:u w:val="double"/>
        </w:rPr>
        <w:t xml:space="preserve"> </w:t>
      </w:r>
      <w:r w:rsidR="00261D1D" w:rsidRPr="00E802F6">
        <w:rPr>
          <w:highlight w:val="yellow"/>
          <w:u w:val="double"/>
        </w:rPr>
        <w:t>methods</w:t>
      </w:r>
      <w:r w:rsidR="00903C49" w:rsidRPr="00E802F6">
        <w:rPr>
          <w:highlight w:val="yellow"/>
          <w:u w:val="double"/>
        </w:rPr>
        <w:t>.</w:t>
      </w:r>
      <w:r w:rsidR="00A44FC5" w:rsidRPr="00E802F6">
        <w:rPr>
          <w:highlight w:val="yellow"/>
        </w:rPr>
        <w:t xml:space="preserve"> </w:t>
      </w:r>
      <w:r w:rsidR="00540933" w:rsidRPr="00E802F6">
        <w:rPr>
          <w:strike/>
          <w:highlight w:val="yellow"/>
        </w:rPr>
        <w:t xml:space="preserve">demonstration </w:t>
      </w:r>
      <w:r w:rsidR="00540933" w:rsidRPr="00DD5373">
        <w:rPr>
          <w:strike/>
          <w:highlight w:val="yellow"/>
        </w:rPr>
        <w:t>of</w:t>
      </w:r>
      <w:r w:rsidR="0086775A">
        <w:rPr>
          <w:strike/>
          <w:highlight w:val="yellow"/>
        </w:rPr>
        <w:t xml:space="preserve"> </w:t>
      </w:r>
      <w:r w:rsidR="00E250A9" w:rsidRPr="00DD5373">
        <w:rPr>
          <w:highlight w:val="yellow"/>
          <w:u w:val="double"/>
        </w:rPr>
        <w:t>Alternatively</w:t>
      </w:r>
      <w:r w:rsidR="00540933" w:rsidRPr="009544AD">
        <w:t xml:space="preserve"> the charac</w:t>
      </w:r>
      <w:r w:rsidR="00820733" w:rsidRPr="009544AD">
        <w:t xml:space="preserve">teristic, brick-shaped </w:t>
      </w:r>
      <w:proofErr w:type="spellStart"/>
      <w:r w:rsidR="00820733" w:rsidRPr="009544AD">
        <w:t>orthopox</w:t>
      </w:r>
      <w:r w:rsidR="00540933" w:rsidRPr="009544AD">
        <w:t>virions</w:t>
      </w:r>
      <w:proofErr w:type="spellEnd"/>
      <w:r w:rsidR="00540933" w:rsidRPr="009544AD">
        <w:t xml:space="preserve"> </w:t>
      </w:r>
      <w:r w:rsidR="00C01F3E" w:rsidRPr="00DD5373">
        <w:rPr>
          <w:highlight w:val="yellow"/>
          <w:u w:val="double"/>
        </w:rPr>
        <w:t>can be demonstrated</w:t>
      </w:r>
      <w:r w:rsidR="00C01F3E">
        <w:t xml:space="preserve"> </w:t>
      </w:r>
      <w:r w:rsidR="00540933" w:rsidRPr="009544AD">
        <w:t xml:space="preserve">in skin lesions, scabs or tissue samples using transmission electron microscopy </w:t>
      </w:r>
      <w:r w:rsidR="00540933" w:rsidRPr="009544AD">
        <w:rPr>
          <w:i w:val="0"/>
          <w:iCs w:val="0"/>
        </w:rPr>
        <w:t>(</w:t>
      </w:r>
      <w:r w:rsidR="00540933" w:rsidRPr="009544AD">
        <w:t>TEM</w:t>
      </w:r>
      <w:r w:rsidR="00540933" w:rsidRPr="009544AD">
        <w:rPr>
          <w:i w:val="0"/>
          <w:iCs w:val="0"/>
        </w:rPr>
        <w:t xml:space="preserve">). </w:t>
      </w:r>
      <w:proofErr w:type="spellStart"/>
      <w:r w:rsidR="00540933" w:rsidRPr="009544AD">
        <w:t>Camelpox</w:t>
      </w:r>
      <w:proofErr w:type="spellEnd"/>
      <w:r w:rsidR="00540933" w:rsidRPr="009544AD">
        <w:t xml:space="preserve"> virus is distinct from the ovoid-shaped </w:t>
      </w:r>
      <w:proofErr w:type="spellStart"/>
      <w:r w:rsidR="00540933" w:rsidRPr="009544AD">
        <w:t>parapox</w:t>
      </w:r>
      <w:proofErr w:type="spellEnd"/>
      <w:r w:rsidR="00540933" w:rsidRPr="009544AD">
        <w:t xml:space="preserve"> virus, the </w:t>
      </w:r>
      <w:r w:rsidR="00905D52" w:rsidRPr="009544AD">
        <w:t>aetiological</w:t>
      </w:r>
      <w:r w:rsidR="00540933" w:rsidRPr="009544AD">
        <w:t xml:space="preserve"> agent of the principle differential diagnosis: camel </w:t>
      </w:r>
      <w:proofErr w:type="spellStart"/>
      <w:r w:rsidR="00540933" w:rsidRPr="009544AD">
        <w:t>orf</w:t>
      </w:r>
      <w:proofErr w:type="spellEnd"/>
      <w:r w:rsidR="00540933" w:rsidRPr="009544AD">
        <w:t xml:space="preserve">. However, both viruses may be seen </w:t>
      </w:r>
      <w:r w:rsidR="00A44FC5" w:rsidRPr="009544AD">
        <w:t xml:space="preserve">simultaneously </w:t>
      </w:r>
      <w:r w:rsidR="0072332D" w:rsidRPr="009544AD">
        <w:t>by</w:t>
      </w:r>
      <w:r w:rsidR="00540933" w:rsidRPr="009544AD">
        <w:t xml:space="preserve"> TEM as </w:t>
      </w:r>
      <w:r w:rsidR="00820733" w:rsidRPr="009544AD">
        <w:t xml:space="preserve">dual </w:t>
      </w:r>
      <w:r w:rsidR="00540933" w:rsidRPr="009544AD">
        <w:t>infection</w:t>
      </w:r>
      <w:r w:rsidR="00066432" w:rsidRPr="009544AD">
        <w:t>s</w:t>
      </w:r>
      <w:r w:rsidR="00540933" w:rsidRPr="009544AD">
        <w:t xml:space="preserve">. </w:t>
      </w:r>
    </w:p>
    <w:p w14:paraId="2A84B186" w14:textId="77777777" w:rsidR="00540933" w:rsidRPr="009544AD" w:rsidRDefault="0051241D" w:rsidP="00A44FC5">
      <w:pPr>
        <w:pStyle w:val="sumtexte"/>
        <w:spacing w:after="160"/>
      </w:pPr>
      <w:proofErr w:type="spellStart"/>
      <w:r w:rsidRPr="009544AD">
        <w:t>Camelpox</w:t>
      </w:r>
      <w:proofErr w:type="spellEnd"/>
      <w:r w:rsidR="00540933" w:rsidRPr="009544AD">
        <w:t xml:space="preserve"> can be confirmed </w:t>
      </w:r>
      <w:r w:rsidR="00A44FC5" w:rsidRPr="009544AD">
        <w:t>by</w:t>
      </w:r>
      <w:r w:rsidR="00540933" w:rsidRPr="009544AD">
        <w:t xml:space="preserve"> demonstration of the </w:t>
      </w:r>
      <w:proofErr w:type="spellStart"/>
      <w:r w:rsidRPr="009544AD">
        <w:t>camelpox</w:t>
      </w:r>
      <w:proofErr w:type="spellEnd"/>
      <w:r w:rsidR="00540933" w:rsidRPr="009544AD">
        <w:t xml:space="preserve"> antigen in scabs and po</w:t>
      </w:r>
      <w:r w:rsidR="003C764C" w:rsidRPr="009544AD">
        <w:t>ck</w:t>
      </w:r>
      <w:r w:rsidR="00540933" w:rsidRPr="009544AD">
        <w:t xml:space="preserve"> lesions in tissues by immunohistochemistry. It is a relatively simple method </w:t>
      </w:r>
      <w:r w:rsidR="00A44FC5" w:rsidRPr="009544AD">
        <w:t>that</w:t>
      </w:r>
      <w:r w:rsidR="00540933" w:rsidRPr="009544AD">
        <w:t xml:space="preserve"> can be performed in laboratories where TEM is not available. In addition, the paraffin</w:t>
      </w:r>
      <w:r w:rsidR="00A44FC5" w:rsidRPr="009544AD">
        <w:t>-</w:t>
      </w:r>
      <w:r w:rsidR="00540933" w:rsidRPr="009544AD">
        <w:t>embedded samples can be stored for a long period of time, enabling future epidemiological, retrospective studies.</w:t>
      </w:r>
    </w:p>
    <w:p w14:paraId="3F9B3D78" w14:textId="18DF0CC3" w:rsidR="00540933" w:rsidRPr="009544AD" w:rsidRDefault="00540933" w:rsidP="00A44FC5">
      <w:pPr>
        <w:pStyle w:val="sumtexte"/>
        <w:spacing w:after="160"/>
      </w:pPr>
      <w:proofErr w:type="spellStart"/>
      <w:r w:rsidRPr="009544AD">
        <w:t>Camelpox</w:t>
      </w:r>
      <w:proofErr w:type="spellEnd"/>
      <w:r w:rsidRPr="009544AD">
        <w:t xml:space="preserve"> virus may be propagated on the </w:t>
      </w:r>
      <w:proofErr w:type="spellStart"/>
      <w:r w:rsidRPr="009544AD">
        <w:t>chorioallantoic</w:t>
      </w:r>
      <w:proofErr w:type="spellEnd"/>
      <w:r w:rsidRPr="009544AD">
        <w:t xml:space="preserve"> membrane </w:t>
      </w:r>
      <w:r w:rsidRPr="009544AD">
        <w:rPr>
          <w:i w:val="0"/>
          <w:iCs w:val="0"/>
        </w:rPr>
        <w:t>(</w:t>
      </w:r>
      <w:r w:rsidRPr="009544AD">
        <w:t>CAM</w:t>
      </w:r>
      <w:r w:rsidRPr="009544AD">
        <w:rPr>
          <w:i w:val="0"/>
          <w:iCs w:val="0"/>
        </w:rPr>
        <w:t xml:space="preserve">) </w:t>
      </w:r>
      <w:r w:rsidRPr="009544AD">
        <w:t>of embryonat</w:t>
      </w:r>
      <w:r w:rsidR="00D364B6" w:rsidRPr="009544AD">
        <w:t>ed</w:t>
      </w:r>
      <w:r w:rsidR="00B37EB6" w:rsidRPr="009544AD">
        <w:t xml:space="preserve"> </w:t>
      </w:r>
      <w:r w:rsidRPr="009544AD">
        <w:t xml:space="preserve">chicken eggs. After </w:t>
      </w:r>
      <w:r w:rsidR="00AC4142" w:rsidRPr="009544AD">
        <w:t>5 </w:t>
      </w:r>
      <w:r w:rsidRPr="009544AD">
        <w:t xml:space="preserve">days, characteristic lesions can be observed on the CAM. </w:t>
      </w:r>
      <w:proofErr w:type="spellStart"/>
      <w:r w:rsidRPr="009544AD">
        <w:t>Camelpox</w:t>
      </w:r>
      <w:proofErr w:type="spellEnd"/>
      <w:r w:rsidRPr="009544AD">
        <w:t xml:space="preserve"> virus shows typical cytopathic effect on</w:t>
      </w:r>
      <w:r w:rsidR="00A44FC5" w:rsidRPr="009544AD">
        <w:t xml:space="preserve"> a</w:t>
      </w:r>
      <w:r w:rsidRPr="009544AD">
        <w:t xml:space="preserve"> wide variety of cell cultures. Intracytoplasmic eosinophilic inclusion bodies, characteristic </w:t>
      </w:r>
      <w:r w:rsidR="00A44FC5" w:rsidRPr="009544AD">
        <w:t>of</w:t>
      </w:r>
      <w:r w:rsidRPr="009544AD">
        <w:t xml:space="preserve"> poxvirus infection</w:t>
      </w:r>
      <w:r w:rsidR="00A44FC5" w:rsidRPr="009544AD">
        <w:t>,</w:t>
      </w:r>
      <w:r w:rsidRPr="009544AD">
        <w:t xml:space="preserve"> may be demonstrated in infected cells using haematoxylin and eosin staining. The presence of viral nucleic acid may be confirmed by </w:t>
      </w:r>
      <w:r w:rsidR="006B372E">
        <w:t>PCR</w:t>
      </w:r>
      <w:r w:rsidR="00A44FC5" w:rsidRPr="009544AD">
        <w:t>,</w:t>
      </w:r>
      <w:r w:rsidRPr="009544AD">
        <w:t xml:space="preserve"> and different strains of </w:t>
      </w:r>
      <w:proofErr w:type="spellStart"/>
      <w:r w:rsidRPr="009544AD">
        <w:t>camelpox</w:t>
      </w:r>
      <w:proofErr w:type="spellEnd"/>
      <w:r w:rsidRPr="009544AD">
        <w:t xml:space="preserve"> virus may be identified using DNA restriction enzyme analysis. An antigen-capture </w:t>
      </w:r>
      <w:r w:rsidR="0051241D" w:rsidRPr="009544AD">
        <w:t xml:space="preserve">enzyme-linked immunosorbent assay </w:t>
      </w:r>
      <w:r w:rsidR="0051241D" w:rsidRPr="009544AD">
        <w:rPr>
          <w:i w:val="0"/>
          <w:iCs w:val="0"/>
        </w:rPr>
        <w:t>(</w:t>
      </w:r>
      <w:r w:rsidR="0051241D" w:rsidRPr="009544AD">
        <w:t>ELISA</w:t>
      </w:r>
      <w:r w:rsidR="0051241D" w:rsidRPr="009544AD">
        <w:rPr>
          <w:i w:val="0"/>
          <w:iCs w:val="0"/>
        </w:rPr>
        <w:t xml:space="preserve">) </w:t>
      </w:r>
      <w:r w:rsidRPr="009544AD">
        <w:t xml:space="preserve">for the detection of </w:t>
      </w:r>
      <w:proofErr w:type="spellStart"/>
      <w:r w:rsidRPr="009544AD">
        <w:t>camelpox</w:t>
      </w:r>
      <w:proofErr w:type="spellEnd"/>
      <w:r w:rsidRPr="009544AD">
        <w:t xml:space="preserve"> virus has been described. </w:t>
      </w:r>
    </w:p>
    <w:p w14:paraId="4191EBA0" w14:textId="74C9EE3A" w:rsidR="00540933" w:rsidRPr="009544AD" w:rsidRDefault="00540933" w:rsidP="00A44FC5">
      <w:pPr>
        <w:pStyle w:val="sumtexte"/>
        <w:spacing w:after="160"/>
      </w:pPr>
      <w:r w:rsidRPr="009544AD">
        <w:rPr>
          <w:b/>
        </w:rPr>
        <w:t>Serological tests:</w:t>
      </w:r>
      <w:r w:rsidRPr="009544AD">
        <w:t xml:space="preserve"> A wide range of serological tests </w:t>
      </w:r>
      <w:r w:rsidR="00066432" w:rsidRPr="009544AD">
        <w:t>is</w:t>
      </w:r>
      <w:r w:rsidRPr="009544AD">
        <w:t xml:space="preserve"> available to identify </w:t>
      </w:r>
      <w:proofErr w:type="spellStart"/>
      <w:r w:rsidR="0051241D" w:rsidRPr="009544AD">
        <w:t>camelpox</w:t>
      </w:r>
      <w:proofErr w:type="spellEnd"/>
      <w:r w:rsidR="0058236B">
        <w:t>,</w:t>
      </w:r>
      <w:r w:rsidR="00C60511" w:rsidRPr="009544AD">
        <w:t xml:space="preserve"> includ</w:t>
      </w:r>
      <w:r w:rsidR="0058236B">
        <w:t>ing</w:t>
      </w:r>
      <w:r w:rsidR="00C60511" w:rsidRPr="009544AD">
        <w:t xml:space="preserve"> </w:t>
      </w:r>
      <w:r w:rsidR="00066432" w:rsidRPr="009544AD">
        <w:t xml:space="preserve">virus </w:t>
      </w:r>
      <w:r w:rsidR="00C60511" w:rsidRPr="009544AD">
        <w:t>neutralisation and ELISA</w:t>
      </w:r>
      <w:r w:rsidRPr="009544AD">
        <w:t xml:space="preserve">. </w:t>
      </w:r>
    </w:p>
    <w:p w14:paraId="16093A76" w14:textId="1CB46F1E" w:rsidR="00540933" w:rsidRPr="009544AD" w:rsidRDefault="00540933" w:rsidP="00A44FC5">
      <w:pPr>
        <w:pStyle w:val="sumtextelastpara"/>
        <w:spacing w:after="520"/>
      </w:pPr>
      <w:r w:rsidRPr="009544AD">
        <w:rPr>
          <w:b/>
        </w:rPr>
        <w:lastRenderedPageBreak/>
        <w:t>Requirements for vaccines:</w:t>
      </w:r>
      <w:r w:rsidRPr="009544AD">
        <w:t xml:space="preserve"> Both attenuated and inactivated vaccines are commercially available.</w:t>
      </w:r>
      <w:r w:rsidR="00033DAE" w:rsidRPr="009544AD">
        <w:t xml:space="preserve"> </w:t>
      </w:r>
      <w:r w:rsidRPr="009544AD">
        <w:t xml:space="preserve">Vaccination with live attenuated vaccine provides protection for at least </w:t>
      </w:r>
      <w:r w:rsidR="00AC4142" w:rsidRPr="009544AD">
        <w:t>6 </w:t>
      </w:r>
      <w:r w:rsidRPr="009544AD">
        <w:t>years and with inactivated vaccine for 12</w:t>
      </w:r>
      <w:r w:rsidR="00033DAE" w:rsidRPr="009544AD">
        <w:t> </w:t>
      </w:r>
      <w:r w:rsidRPr="009544AD">
        <w:t xml:space="preserve">months. </w:t>
      </w:r>
    </w:p>
    <w:p w14:paraId="7B147277" w14:textId="77777777" w:rsidR="00755B6A" w:rsidRPr="009544AD" w:rsidRDefault="00755B6A" w:rsidP="004A4C4D">
      <w:pPr>
        <w:pStyle w:val="A0"/>
      </w:pPr>
      <w:r w:rsidRPr="009544AD">
        <w:t>A.  INTRODUCTION</w:t>
      </w:r>
    </w:p>
    <w:p w14:paraId="5A7848DF" w14:textId="4F964C21" w:rsidR="00540933" w:rsidRPr="009544AD" w:rsidRDefault="0051241D">
      <w:pPr>
        <w:pStyle w:val="paraA0"/>
      </w:pPr>
      <w:proofErr w:type="spellStart"/>
      <w:r w:rsidRPr="009544AD">
        <w:t>Camelpox</w:t>
      </w:r>
      <w:proofErr w:type="spellEnd"/>
      <w:r w:rsidR="00540933" w:rsidRPr="009544AD">
        <w:t xml:space="preserve"> occurs in almost every country in which camel husbandry is practi</w:t>
      </w:r>
      <w:r w:rsidR="006E1F5B" w:rsidRPr="009544AD">
        <w:t>s</w:t>
      </w:r>
      <w:r w:rsidR="00540933" w:rsidRPr="009544AD">
        <w:t xml:space="preserve">ed </w:t>
      </w:r>
      <w:r w:rsidR="006E1F5B" w:rsidRPr="009544AD">
        <w:t>apart from</w:t>
      </w:r>
      <w:r w:rsidR="00540933" w:rsidRPr="009544AD">
        <w:t xml:space="preserve"> the introduced </w:t>
      </w:r>
      <w:r w:rsidR="00A127BB" w:rsidRPr="009544AD">
        <w:t xml:space="preserve">dromedary </w:t>
      </w:r>
      <w:r w:rsidR="00540933" w:rsidRPr="009544AD">
        <w:t xml:space="preserve">camel in Australia and </w:t>
      </w:r>
      <w:proofErr w:type="spellStart"/>
      <w:r w:rsidR="00540933" w:rsidRPr="009544AD">
        <w:t>tylopods</w:t>
      </w:r>
      <w:proofErr w:type="spellEnd"/>
      <w:r w:rsidR="00540933" w:rsidRPr="009544AD">
        <w:t xml:space="preserve"> (llama and related species) in South America.</w:t>
      </w:r>
      <w:r w:rsidR="00033DAE" w:rsidRPr="009544AD">
        <w:t xml:space="preserve"> </w:t>
      </w:r>
      <w:r w:rsidR="00540933" w:rsidRPr="009544AD">
        <w:t xml:space="preserve">Outbreaks have been reported in the Middle East </w:t>
      </w:r>
      <w:r w:rsidR="00540933" w:rsidRPr="00DD5373">
        <w:rPr>
          <w:strike/>
          <w:highlight w:val="yellow"/>
        </w:rPr>
        <w:t>(</w:t>
      </w:r>
      <w:r w:rsidR="0096219C" w:rsidRPr="00DD5373">
        <w:rPr>
          <w:strike/>
          <w:highlight w:val="yellow"/>
        </w:rPr>
        <w:t xml:space="preserve">Bahrain, </w:t>
      </w:r>
      <w:r w:rsidR="00540933" w:rsidRPr="00DD5373">
        <w:rPr>
          <w:strike/>
          <w:highlight w:val="yellow"/>
        </w:rPr>
        <w:t>Iran, I</w:t>
      </w:r>
      <w:r w:rsidR="0096219C" w:rsidRPr="00DD5373">
        <w:rPr>
          <w:strike/>
          <w:highlight w:val="yellow"/>
        </w:rPr>
        <w:t>raq, Oman, Saudi Arabia,</w:t>
      </w:r>
      <w:r w:rsidR="00540933" w:rsidRPr="00DD5373">
        <w:rPr>
          <w:strike/>
          <w:highlight w:val="yellow"/>
        </w:rPr>
        <w:t xml:space="preserve"> United Arab Emirates</w:t>
      </w:r>
      <w:r w:rsidR="0096219C" w:rsidRPr="00DD5373">
        <w:rPr>
          <w:strike/>
          <w:highlight w:val="yellow"/>
        </w:rPr>
        <w:t xml:space="preserve"> and Yemen</w:t>
      </w:r>
      <w:r w:rsidR="00540933" w:rsidRPr="00DD5373">
        <w:rPr>
          <w:strike/>
          <w:highlight w:val="yellow"/>
        </w:rPr>
        <w:t>), in</w:t>
      </w:r>
      <w:r w:rsidR="00540933" w:rsidRPr="00DD5373">
        <w:rPr>
          <w:strike/>
        </w:rPr>
        <w:t xml:space="preserve"> </w:t>
      </w:r>
      <w:r w:rsidR="00540933" w:rsidRPr="009544AD">
        <w:t>Asia</w:t>
      </w:r>
      <w:r w:rsidR="00033DAE" w:rsidRPr="009544AD">
        <w:t xml:space="preserve"> </w:t>
      </w:r>
      <w:r w:rsidR="00540933" w:rsidRPr="00DD5373">
        <w:rPr>
          <w:strike/>
          <w:highlight w:val="yellow"/>
        </w:rPr>
        <w:t>(Afghanistan</w:t>
      </w:r>
      <w:r w:rsidR="0096219C" w:rsidRPr="00DD5373">
        <w:rPr>
          <w:strike/>
          <w:highlight w:val="yellow"/>
        </w:rPr>
        <w:t xml:space="preserve"> and</w:t>
      </w:r>
      <w:r w:rsidR="00540933" w:rsidRPr="00DD5373">
        <w:rPr>
          <w:strike/>
          <w:highlight w:val="yellow"/>
        </w:rPr>
        <w:t xml:space="preserve"> Pakistan)</w:t>
      </w:r>
      <w:r w:rsidR="0096219C" w:rsidRPr="00DD5373">
        <w:rPr>
          <w:strike/>
          <w:highlight w:val="yellow"/>
        </w:rPr>
        <w:t>,</w:t>
      </w:r>
      <w:r w:rsidR="00540933" w:rsidRPr="00DD5373">
        <w:rPr>
          <w:strike/>
          <w:highlight w:val="yellow"/>
        </w:rPr>
        <w:t xml:space="preserve"> </w:t>
      </w:r>
      <w:r w:rsidR="00540933" w:rsidRPr="00E802F6">
        <w:rPr>
          <w:strike/>
          <w:highlight w:val="yellow"/>
        </w:rPr>
        <w:t>in</w:t>
      </w:r>
      <w:r w:rsidR="00540933" w:rsidRPr="00E802F6">
        <w:rPr>
          <w:highlight w:val="yellow"/>
        </w:rPr>
        <w:t xml:space="preserve"> </w:t>
      </w:r>
      <w:r w:rsidR="00316FE3" w:rsidRPr="00E802F6">
        <w:rPr>
          <w:highlight w:val="yellow"/>
          <w:u w:val="double"/>
        </w:rPr>
        <w:t>a</w:t>
      </w:r>
      <w:r w:rsidR="00316FE3" w:rsidRPr="00DD5373">
        <w:rPr>
          <w:highlight w:val="yellow"/>
          <w:u w:val="double"/>
        </w:rPr>
        <w:t>nd</w:t>
      </w:r>
      <w:r w:rsidR="00316FE3">
        <w:t xml:space="preserve"> </w:t>
      </w:r>
      <w:r w:rsidR="00540933" w:rsidRPr="009544AD">
        <w:t xml:space="preserve">Africa </w:t>
      </w:r>
      <w:r w:rsidR="00540933" w:rsidRPr="00DD5373">
        <w:rPr>
          <w:strike/>
          <w:highlight w:val="yellow"/>
        </w:rPr>
        <w:t>(Algeria, Egypt, Ethiopia</w:t>
      </w:r>
      <w:r w:rsidR="0096219C" w:rsidRPr="00DD5373">
        <w:rPr>
          <w:strike/>
          <w:highlight w:val="yellow"/>
        </w:rPr>
        <w:t>, Kenya,</w:t>
      </w:r>
      <w:r w:rsidR="00540933" w:rsidRPr="00DD5373">
        <w:rPr>
          <w:strike/>
          <w:highlight w:val="yellow"/>
        </w:rPr>
        <w:t xml:space="preserve"> </w:t>
      </w:r>
      <w:r w:rsidR="0096219C" w:rsidRPr="00DD5373">
        <w:rPr>
          <w:strike/>
          <w:highlight w:val="yellow"/>
        </w:rPr>
        <w:t xml:space="preserve">Mauritania, Morocco, Niger, </w:t>
      </w:r>
      <w:r w:rsidR="00540933" w:rsidRPr="00DD5373">
        <w:rPr>
          <w:strike/>
          <w:highlight w:val="yellow"/>
        </w:rPr>
        <w:t>Somalia</w:t>
      </w:r>
      <w:r w:rsidR="0096219C" w:rsidRPr="00DD5373">
        <w:rPr>
          <w:strike/>
          <w:highlight w:val="yellow"/>
        </w:rPr>
        <w:t xml:space="preserve"> and</w:t>
      </w:r>
      <w:r w:rsidR="00540933" w:rsidRPr="00DD5373">
        <w:rPr>
          <w:strike/>
          <w:highlight w:val="yellow"/>
        </w:rPr>
        <w:t xml:space="preserve"> Sudan)</w:t>
      </w:r>
      <w:r w:rsidR="00540933" w:rsidRPr="00DD5373">
        <w:rPr>
          <w:strike/>
        </w:rPr>
        <w:t xml:space="preserve"> </w:t>
      </w:r>
      <w:r w:rsidR="00540933" w:rsidRPr="009544AD">
        <w:t>(</w:t>
      </w:r>
      <w:r w:rsidR="00C33D75" w:rsidRPr="009544AD">
        <w:t>Mayer &amp; Czerny, 1990</w:t>
      </w:r>
      <w:r w:rsidR="008A2815" w:rsidRPr="009544AD">
        <w:t xml:space="preserve">; </w:t>
      </w:r>
      <w:proofErr w:type="spellStart"/>
      <w:r w:rsidR="00FB0BA9" w:rsidRPr="009544AD">
        <w:t>Wernery</w:t>
      </w:r>
      <w:proofErr w:type="spellEnd"/>
      <w:r w:rsidR="00FB0BA9" w:rsidRPr="009544AD">
        <w:t xml:space="preserve"> </w:t>
      </w:r>
      <w:r w:rsidR="00D4764B" w:rsidRPr="009544AD">
        <w:rPr>
          <w:i/>
        </w:rPr>
        <w:t>et al</w:t>
      </w:r>
      <w:r w:rsidR="00FB0BA9" w:rsidRPr="009544AD">
        <w:t>., 1997b</w:t>
      </w:r>
      <w:r w:rsidR="00540933" w:rsidRPr="009544AD">
        <w:t>)</w:t>
      </w:r>
      <w:r w:rsidR="00540933" w:rsidRPr="00DD5373">
        <w:rPr>
          <w:strike/>
        </w:rPr>
        <w:t xml:space="preserve"> </w:t>
      </w:r>
      <w:r w:rsidR="00540933" w:rsidRPr="00DD5373">
        <w:rPr>
          <w:strike/>
          <w:highlight w:val="yellow"/>
        </w:rPr>
        <w:t>and in the southern parts of Russia and India</w:t>
      </w:r>
      <w:r w:rsidR="00540933" w:rsidRPr="009544AD">
        <w:t xml:space="preserve">. The disease is endemic </w:t>
      </w:r>
      <w:r w:rsidR="00B37EB6" w:rsidRPr="009544AD">
        <w:t xml:space="preserve">in </w:t>
      </w:r>
      <w:r w:rsidR="00B37EB6" w:rsidRPr="00DD5373">
        <w:rPr>
          <w:strike/>
          <w:highlight w:val="yellow"/>
        </w:rPr>
        <w:t>these</w:t>
      </w:r>
      <w:r w:rsidR="00B37EB6" w:rsidRPr="00DD5373">
        <w:rPr>
          <w:strike/>
        </w:rPr>
        <w:t xml:space="preserve"> </w:t>
      </w:r>
      <w:r w:rsidR="00D723DB" w:rsidRPr="00DD5373">
        <w:rPr>
          <w:highlight w:val="yellow"/>
          <w:u w:val="double"/>
        </w:rPr>
        <w:t>many</w:t>
      </w:r>
      <w:r w:rsidR="00D723DB" w:rsidRPr="009544AD">
        <w:t xml:space="preserve"> </w:t>
      </w:r>
      <w:r w:rsidR="00B37EB6" w:rsidRPr="009544AD">
        <w:t xml:space="preserve">countries </w:t>
      </w:r>
      <w:r w:rsidR="00540933" w:rsidRPr="009544AD">
        <w:t>and a pattern of sporadic outbreaks occurs with a rise in the seasonal incidence usually during the rainy season.</w:t>
      </w:r>
      <w:r w:rsidR="00AB2851">
        <w:t xml:space="preserve"> </w:t>
      </w:r>
      <w:r w:rsidR="00AB2851" w:rsidRPr="00DD5373">
        <w:rPr>
          <w:highlight w:val="yellow"/>
          <w:u w:val="double"/>
        </w:rPr>
        <w:t>For up-to-date information, consult OIE WAHIS interface</w:t>
      </w:r>
      <w:r w:rsidR="00AB2851" w:rsidRPr="00DD5373">
        <w:rPr>
          <w:rStyle w:val="Appelnotedebasdep"/>
          <w:highlight w:val="yellow"/>
          <w:u w:val="double"/>
        </w:rPr>
        <w:footnoteReference w:id="1"/>
      </w:r>
      <w:r w:rsidR="00AB2851" w:rsidRPr="00DD5373">
        <w:rPr>
          <w:highlight w:val="yellow"/>
          <w:u w:val="double"/>
        </w:rPr>
        <w:t>)</w:t>
      </w:r>
      <w:r w:rsidR="00DD5373">
        <w:rPr>
          <w:u w:val="double"/>
        </w:rPr>
        <w:t>.</w:t>
      </w:r>
    </w:p>
    <w:p w14:paraId="539086C6" w14:textId="3F54E17F" w:rsidR="00540933" w:rsidRPr="009544AD" w:rsidRDefault="00807D55">
      <w:pPr>
        <w:pStyle w:val="paraA0"/>
      </w:pPr>
      <w:proofErr w:type="spellStart"/>
      <w:r w:rsidRPr="009544AD">
        <w:t>Camelpox</w:t>
      </w:r>
      <w:proofErr w:type="spellEnd"/>
      <w:r w:rsidRPr="009544AD">
        <w:t xml:space="preserve"> is caused by</w:t>
      </w:r>
      <w:r w:rsidRPr="009544AD">
        <w:rPr>
          <w:i/>
        </w:rPr>
        <w:t xml:space="preserve"> </w:t>
      </w:r>
      <w:proofErr w:type="spellStart"/>
      <w:r w:rsidRPr="00DD5373">
        <w:rPr>
          <w:i/>
          <w:strike/>
          <w:u w:val="single"/>
        </w:rPr>
        <w:t>Or</w:t>
      </w:r>
      <w:r w:rsidR="00555A4A" w:rsidRPr="00DD5373">
        <w:rPr>
          <w:i/>
          <w:strike/>
          <w:u w:val="single"/>
        </w:rPr>
        <w:t>t</w:t>
      </w:r>
      <w:r w:rsidRPr="00DD5373">
        <w:rPr>
          <w:i/>
          <w:strike/>
          <w:u w:val="single"/>
        </w:rPr>
        <w:t>hopoxvirus</w:t>
      </w:r>
      <w:proofErr w:type="spellEnd"/>
      <w:r w:rsidRPr="00DD5373">
        <w:rPr>
          <w:i/>
          <w:strike/>
          <w:u w:val="single"/>
        </w:rPr>
        <w:t xml:space="preserve"> </w:t>
      </w:r>
      <w:proofErr w:type="spellStart"/>
      <w:r w:rsidRPr="00DD5373">
        <w:rPr>
          <w:i/>
          <w:strike/>
          <w:u w:val="single"/>
        </w:rPr>
        <w:t>cameli</w:t>
      </w:r>
      <w:proofErr w:type="spellEnd"/>
      <w:r w:rsidR="00DD5373" w:rsidRPr="00DD5373">
        <w:rPr>
          <w:i/>
          <w:strike/>
          <w:u w:val="single"/>
        </w:rPr>
        <w:t xml:space="preserve"> </w:t>
      </w:r>
      <w:proofErr w:type="spellStart"/>
      <w:r w:rsidR="00B64647" w:rsidRPr="00DD5373">
        <w:rPr>
          <w:i/>
          <w:u w:val="single"/>
        </w:rPr>
        <w:t>C</w:t>
      </w:r>
      <w:r w:rsidR="000D1EE7" w:rsidRPr="00DD5373">
        <w:rPr>
          <w:i/>
          <w:u w:val="single"/>
        </w:rPr>
        <w:t>amelpox</w:t>
      </w:r>
      <w:proofErr w:type="spellEnd"/>
      <w:r w:rsidRPr="008E6C9A">
        <w:rPr>
          <w:i/>
        </w:rPr>
        <w:t xml:space="preserve"> </w:t>
      </w:r>
      <w:r w:rsidR="00555A4A" w:rsidRPr="006E70A3">
        <w:rPr>
          <w:i/>
        </w:rPr>
        <w:t>virus</w:t>
      </w:r>
      <w:r w:rsidR="00066432" w:rsidRPr="009544AD">
        <w:t>,</w:t>
      </w:r>
      <w:r w:rsidR="00555A4A" w:rsidRPr="009544AD">
        <w:t xml:space="preserve"> </w:t>
      </w:r>
      <w:r w:rsidRPr="009544AD">
        <w:t xml:space="preserve">which belongs to </w:t>
      </w:r>
      <w:r w:rsidR="00C60511" w:rsidRPr="009544AD">
        <w:t xml:space="preserve">the </w:t>
      </w:r>
      <w:r w:rsidRPr="009544AD">
        <w:t xml:space="preserve">genus </w:t>
      </w:r>
      <w:proofErr w:type="spellStart"/>
      <w:r w:rsidRPr="009544AD">
        <w:rPr>
          <w:i/>
        </w:rPr>
        <w:t>Orthopoxvir</w:t>
      </w:r>
      <w:r w:rsidR="00F1711C" w:rsidRPr="009544AD">
        <w:rPr>
          <w:i/>
        </w:rPr>
        <w:t>us</w:t>
      </w:r>
      <w:proofErr w:type="spellEnd"/>
      <w:r w:rsidRPr="009544AD">
        <w:rPr>
          <w:i/>
        </w:rPr>
        <w:t xml:space="preserve"> </w:t>
      </w:r>
      <w:r w:rsidRPr="009544AD">
        <w:t xml:space="preserve">within </w:t>
      </w:r>
      <w:r w:rsidR="00066432" w:rsidRPr="009544AD">
        <w:t xml:space="preserve">the </w:t>
      </w:r>
      <w:r w:rsidRPr="009544AD">
        <w:t>family</w:t>
      </w:r>
      <w:r w:rsidRPr="009544AD">
        <w:rPr>
          <w:i/>
        </w:rPr>
        <w:t xml:space="preserve"> </w:t>
      </w:r>
      <w:proofErr w:type="spellStart"/>
      <w:r w:rsidRPr="009544AD">
        <w:rPr>
          <w:i/>
        </w:rPr>
        <w:t>Poxviridae</w:t>
      </w:r>
      <w:proofErr w:type="spellEnd"/>
      <w:r w:rsidRPr="009544AD">
        <w:rPr>
          <w:i/>
        </w:rPr>
        <w:t>.</w:t>
      </w:r>
      <w:r w:rsidR="00540933" w:rsidRPr="009544AD">
        <w:t xml:space="preserve"> </w:t>
      </w:r>
      <w:r w:rsidR="00A127BB" w:rsidRPr="009544AD">
        <w:t xml:space="preserve">Based on sequence analysis, it has been determined that the </w:t>
      </w:r>
      <w:proofErr w:type="spellStart"/>
      <w:r w:rsidR="006C6399" w:rsidRPr="009544AD">
        <w:t>camelpox</w:t>
      </w:r>
      <w:proofErr w:type="spellEnd"/>
      <w:r w:rsidR="00E47D7A" w:rsidRPr="009544AD">
        <w:t xml:space="preserve"> virus</w:t>
      </w:r>
      <w:r w:rsidR="00A127BB" w:rsidRPr="009544AD">
        <w:rPr>
          <w:i/>
        </w:rPr>
        <w:t xml:space="preserve"> </w:t>
      </w:r>
      <w:r w:rsidR="00A127BB" w:rsidRPr="009544AD">
        <w:t xml:space="preserve">is the most closely related to variola virus, the </w:t>
      </w:r>
      <w:r w:rsidR="009C23C2" w:rsidRPr="009544AD">
        <w:t>a</w:t>
      </w:r>
      <w:r w:rsidR="00A127BB" w:rsidRPr="009544AD">
        <w:t xml:space="preserve">etiological agent for smallpox. Camels have been successfully vaccinated against </w:t>
      </w:r>
      <w:proofErr w:type="spellStart"/>
      <w:r w:rsidR="00A127BB" w:rsidRPr="009544AD">
        <w:t>camelpox</w:t>
      </w:r>
      <w:proofErr w:type="spellEnd"/>
      <w:r w:rsidR="00A127BB" w:rsidRPr="009544AD">
        <w:t xml:space="preserve"> with vaccinia virus strains. </w:t>
      </w:r>
      <w:r w:rsidR="00540933" w:rsidRPr="009544AD">
        <w:t xml:space="preserve">The average size of the virion is </w:t>
      </w:r>
      <w:r w:rsidR="009C23C2" w:rsidRPr="009544AD">
        <w:t>265</w:t>
      </w:r>
      <w:r w:rsidR="00AC4142" w:rsidRPr="009544AD">
        <w:t>–</w:t>
      </w:r>
      <w:r w:rsidR="00710C72" w:rsidRPr="009544AD">
        <w:t>295 </w:t>
      </w:r>
      <w:r w:rsidR="00540933" w:rsidRPr="009544AD">
        <w:t xml:space="preserve">nm. </w:t>
      </w:r>
      <w:proofErr w:type="spellStart"/>
      <w:r w:rsidR="00540933" w:rsidRPr="009544AD">
        <w:t>Orthopoxviruses</w:t>
      </w:r>
      <w:proofErr w:type="spellEnd"/>
      <w:r w:rsidR="00540933" w:rsidRPr="009544AD">
        <w:t xml:space="preserve"> are enveloped, brick-shaped and the outer membrane is covered with irregularly</w:t>
      </w:r>
      <w:r w:rsidR="00D17886" w:rsidRPr="009544AD">
        <w:t xml:space="preserve"> </w:t>
      </w:r>
      <w:r w:rsidR="00540933" w:rsidRPr="009544AD">
        <w:t xml:space="preserve">arranged tubular proteins. A virion consists of an envelope, outer membrane, two lateral bodies and a core. </w:t>
      </w:r>
      <w:r w:rsidR="00276A31" w:rsidRPr="00DD5373">
        <w:rPr>
          <w:highlight w:val="yellow"/>
          <w:u w:val="double"/>
        </w:rPr>
        <w:t>The double-stranded DNA genome is approximate</w:t>
      </w:r>
      <w:r w:rsidR="0086775A">
        <w:rPr>
          <w:highlight w:val="yellow"/>
          <w:u w:val="double"/>
        </w:rPr>
        <w:t>ly</w:t>
      </w:r>
      <w:r w:rsidR="00276A31" w:rsidRPr="00DD5373">
        <w:rPr>
          <w:highlight w:val="yellow"/>
          <w:u w:val="double"/>
        </w:rPr>
        <w:t xml:space="preserve"> 206</w:t>
      </w:r>
      <w:r w:rsidR="0086775A">
        <w:rPr>
          <w:highlight w:val="yellow"/>
          <w:u w:val="double"/>
        </w:rPr>
        <w:t> </w:t>
      </w:r>
      <w:proofErr w:type="spellStart"/>
      <w:r w:rsidR="00276A31" w:rsidRPr="00E802F6">
        <w:rPr>
          <w:highlight w:val="yellow"/>
          <w:u w:val="double"/>
        </w:rPr>
        <w:t>kbp</w:t>
      </w:r>
      <w:proofErr w:type="spellEnd"/>
      <w:r w:rsidR="003E34AB" w:rsidRPr="00E802F6">
        <w:rPr>
          <w:highlight w:val="yellow"/>
          <w:u w:val="double"/>
        </w:rPr>
        <w:t>.</w:t>
      </w:r>
      <w:r w:rsidR="003E34AB" w:rsidRPr="00E802F6">
        <w:rPr>
          <w:highlight w:val="yellow"/>
        </w:rPr>
        <w:t xml:space="preserve"> </w:t>
      </w:r>
      <w:r w:rsidR="00540933" w:rsidRPr="00E802F6">
        <w:rPr>
          <w:strike/>
          <w:highlight w:val="yellow"/>
        </w:rPr>
        <w:t xml:space="preserve">The </w:t>
      </w:r>
      <w:r w:rsidR="00540933" w:rsidRPr="00DD5373">
        <w:rPr>
          <w:strike/>
          <w:highlight w:val="yellow"/>
        </w:rPr>
        <w:t>nucleic acid is a double-stranded linear DNA.</w:t>
      </w:r>
      <w:r w:rsidR="00540933" w:rsidRPr="00E802F6">
        <w:rPr>
          <w:strike/>
        </w:rPr>
        <w:t xml:space="preserve"> </w:t>
      </w:r>
      <w:r w:rsidR="00540933" w:rsidRPr="009544AD">
        <w:t xml:space="preserve">Virus </w:t>
      </w:r>
      <w:r w:rsidR="00B37EB6" w:rsidRPr="009544AD">
        <w:t>repl</w:t>
      </w:r>
      <w:r w:rsidR="00540933" w:rsidRPr="009544AD">
        <w:t xml:space="preserve">icates in the cytoplasm of the host cell, in so-called inclusion bodies. </w:t>
      </w:r>
      <w:proofErr w:type="spellStart"/>
      <w:r w:rsidR="00540933" w:rsidRPr="009544AD">
        <w:t>Camelpox</w:t>
      </w:r>
      <w:proofErr w:type="spellEnd"/>
      <w:r w:rsidR="00D17886" w:rsidRPr="009544AD">
        <w:t xml:space="preserve"> </w:t>
      </w:r>
      <w:r w:rsidR="00540933" w:rsidRPr="009544AD">
        <w:t xml:space="preserve">virus </w:t>
      </w:r>
      <w:proofErr w:type="spellStart"/>
      <w:r w:rsidR="00540933" w:rsidRPr="009544AD">
        <w:t>haemagglutinates</w:t>
      </w:r>
      <w:proofErr w:type="spellEnd"/>
      <w:r w:rsidR="00540933" w:rsidRPr="009544AD">
        <w:t xml:space="preserve"> </w:t>
      </w:r>
      <w:r w:rsidR="00540933" w:rsidRPr="00E802F6">
        <w:rPr>
          <w:strike/>
          <w:highlight w:val="yellow"/>
        </w:rPr>
        <w:t xml:space="preserve">cockerel </w:t>
      </w:r>
      <w:r w:rsidR="001B78CC" w:rsidRPr="00E802F6">
        <w:rPr>
          <w:highlight w:val="yellow"/>
          <w:u w:val="double"/>
        </w:rPr>
        <w:t>chi</w:t>
      </w:r>
      <w:r w:rsidR="00812607" w:rsidRPr="00E802F6">
        <w:rPr>
          <w:highlight w:val="yellow"/>
          <w:u w:val="double"/>
        </w:rPr>
        <w:t>cken</w:t>
      </w:r>
      <w:r w:rsidR="001B78CC" w:rsidRPr="009544AD">
        <w:t xml:space="preserve"> </w:t>
      </w:r>
      <w:r w:rsidR="00540933" w:rsidRPr="009544AD">
        <w:t>erythrocytes</w:t>
      </w:r>
      <w:r w:rsidR="00066432" w:rsidRPr="009544AD">
        <w:t>,</w:t>
      </w:r>
      <w:r w:rsidR="00540933" w:rsidRPr="009544AD">
        <w:t xml:space="preserve"> </w:t>
      </w:r>
      <w:r w:rsidR="00066432" w:rsidRPr="009544AD">
        <w:t xml:space="preserve">but </w:t>
      </w:r>
      <w:r w:rsidR="00540933" w:rsidRPr="009544AD">
        <w:t xml:space="preserve">the </w:t>
      </w:r>
      <w:proofErr w:type="spellStart"/>
      <w:r w:rsidR="00540933" w:rsidRPr="009544AD">
        <w:t>haemagglutination</w:t>
      </w:r>
      <w:proofErr w:type="spellEnd"/>
      <w:r w:rsidR="00540933" w:rsidRPr="009544AD">
        <w:t xml:space="preserve"> may be poor (</w:t>
      </w:r>
      <w:r w:rsidR="00FB0BA9" w:rsidRPr="009544AD">
        <w:t xml:space="preserve">Davies </w:t>
      </w:r>
      <w:r w:rsidR="00D4764B" w:rsidRPr="009544AD">
        <w:rPr>
          <w:i/>
        </w:rPr>
        <w:t>et al</w:t>
      </w:r>
      <w:r w:rsidR="00FB0BA9" w:rsidRPr="009544AD">
        <w:t>., 1975</w:t>
      </w:r>
      <w:r w:rsidR="00540933" w:rsidRPr="009544AD">
        <w:t>).</w:t>
      </w:r>
      <w:r w:rsidR="00033DAE" w:rsidRPr="009544AD">
        <w:t xml:space="preserve"> </w:t>
      </w:r>
      <w:proofErr w:type="spellStart"/>
      <w:r w:rsidR="00540933" w:rsidRPr="009544AD">
        <w:t>Camelpox</w:t>
      </w:r>
      <w:proofErr w:type="spellEnd"/>
      <w:r w:rsidR="00540933" w:rsidRPr="009544AD">
        <w:t xml:space="preserve"> virus is ether resistant and chloroform sensitive (</w:t>
      </w:r>
      <w:r w:rsidR="00FB0BA9" w:rsidRPr="009544AD">
        <w:t xml:space="preserve">Davies </w:t>
      </w:r>
      <w:r w:rsidR="00D4764B" w:rsidRPr="009544AD">
        <w:rPr>
          <w:i/>
        </w:rPr>
        <w:t>et al</w:t>
      </w:r>
      <w:r w:rsidR="00FB0BA9" w:rsidRPr="009544AD">
        <w:t>., 1975</w:t>
      </w:r>
      <w:r w:rsidR="008A2815" w:rsidRPr="009544AD">
        <w:t>;</w:t>
      </w:r>
      <w:r w:rsidR="00540933" w:rsidRPr="009544AD">
        <w:t xml:space="preserve"> </w:t>
      </w:r>
      <w:r w:rsidR="00FB0BA9" w:rsidRPr="009544AD">
        <w:t xml:space="preserve">Tantawi </w:t>
      </w:r>
      <w:r w:rsidR="00D4764B" w:rsidRPr="009544AD">
        <w:rPr>
          <w:i/>
        </w:rPr>
        <w:t>et al</w:t>
      </w:r>
      <w:r w:rsidR="00FB0BA9" w:rsidRPr="009544AD">
        <w:t>., 1974</w:t>
      </w:r>
      <w:r w:rsidR="00540933" w:rsidRPr="009544AD">
        <w:t>). The virus is sensitive to pH</w:t>
      </w:r>
      <w:r w:rsidR="00AC4142" w:rsidRPr="009544AD">
        <w:t> </w:t>
      </w:r>
      <w:r w:rsidR="00540933" w:rsidRPr="009544AD">
        <w:t>3</w:t>
      </w:r>
      <w:r w:rsidR="00033DAE" w:rsidRPr="009544AD">
        <w:t>–</w:t>
      </w:r>
      <w:r w:rsidR="00540933" w:rsidRPr="009544AD">
        <w:t>5 and pH</w:t>
      </w:r>
      <w:r w:rsidR="00AC4142" w:rsidRPr="009544AD">
        <w:t> </w:t>
      </w:r>
      <w:r w:rsidR="00540933" w:rsidRPr="009544AD">
        <w:t>8.5</w:t>
      </w:r>
      <w:r w:rsidR="00033DAE" w:rsidRPr="009544AD">
        <w:t>–</w:t>
      </w:r>
      <w:r w:rsidR="00540933" w:rsidRPr="009544AD">
        <w:t>10 (</w:t>
      </w:r>
      <w:r w:rsidR="00FB0BA9" w:rsidRPr="009544AD">
        <w:t xml:space="preserve">Davies </w:t>
      </w:r>
      <w:r w:rsidR="00D4764B" w:rsidRPr="009544AD">
        <w:rPr>
          <w:i/>
        </w:rPr>
        <w:t>et al</w:t>
      </w:r>
      <w:r w:rsidR="00FB0BA9" w:rsidRPr="009544AD">
        <w:t>., 1975</w:t>
      </w:r>
      <w:r w:rsidR="00540933" w:rsidRPr="009544AD">
        <w:t xml:space="preserve">). </w:t>
      </w:r>
      <w:r w:rsidR="004231B3" w:rsidRPr="009544AD">
        <w:t>Poxviruses are</w:t>
      </w:r>
      <w:r w:rsidR="00540933" w:rsidRPr="009544AD">
        <w:t xml:space="preserve"> susceptible to various disinfectants including 1</w:t>
      </w:r>
      <w:r w:rsidR="00033DAE" w:rsidRPr="009544AD">
        <w:t>%</w:t>
      </w:r>
      <w:r w:rsidR="00540933" w:rsidRPr="009544AD">
        <w:t xml:space="preserve"> sodium hypochlorite, 1</w:t>
      </w:r>
      <w:r w:rsidR="00033DAE" w:rsidRPr="009544AD">
        <w:t>%</w:t>
      </w:r>
      <w:r w:rsidR="00540933" w:rsidRPr="009544AD">
        <w:t xml:space="preserve"> sodium hydroxide, 1</w:t>
      </w:r>
      <w:r w:rsidR="00033DAE" w:rsidRPr="009544AD">
        <w:t>%</w:t>
      </w:r>
      <w:r w:rsidR="00540933" w:rsidRPr="009544AD">
        <w:t xml:space="preserve"> pe</w:t>
      </w:r>
      <w:r w:rsidR="00033DAE" w:rsidRPr="009544AD">
        <w:t xml:space="preserve">racetic acid, </w:t>
      </w:r>
      <w:r w:rsidR="00033DAE" w:rsidRPr="00E802F6">
        <w:rPr>
          <w:strike/>
          <w:highlight w:val="yellow"/>
        </w:rPr>
        <w:t>formaldehyde</w:t>
      </w:r>
      <w:r w:rsidR="00033DAE" w:rsidRPr="00E802F6">
        <w:rPr>
          <w:strike/>
        </w:rPr>
        <w:t xml:space="preserve">, </w:t>
      </w:r>
      <w:r w:rsidR="00033DAE" w:rsidRPr="009544AD">
        <w:t>0.5–1</w:t>
      </w:r>
      <w:r w:rsidR="00540933" w:rsidRPr="009544AD">
        <w:t>% formalin and 0.5</w:t>
      </w:r>
      <w:r w:rsidR="00033DAE" w:rsidRPr="009544AD">
        <w:t>%</w:t>
      </w:r>
      <w:r w:rsidR="00540933" w:rsidRPr="009544AD">
        <w:t xml:space="preserve"> quaternary ammonium compounds. The virus can be destroyed by autoclaving</w:t>
      </w:r>
      <w:r w:rsidR="00066432" w:rsidRPr="009544AD">
        <w:t xml:space="preserve"> or</w:t>
      </w:r>
      <w:r w:rsidR="00540933" w:rsidRPr="009544AD">
        <w:t xml:space="preserve"> boiling for 1</w:t>
      </w:r>
      <w:r w:rsidR="002D4688" w:rsidRPr="009544AD">
        <w:t>0 </w:t>
      </w:r>
      <w:r w:rsidR="00540933" w:rsidRPr="009544AD">
        <w:t>minutes and is killed by ultraviolet rays (245</w:t>
      </w:r>
      <w:r w:rsidR="00AC4142" w:rsidRPr="009544AD">
        <w:t> </w:t>
      </w:r>
      <w:r w:rsidR="00540933" w:rsidRPr="009544AD">
        <w:t xml:space="preserve">nm wave length) in </w:t>
      </w:r>
      <w:r w:rsidR="00D17886" w:rsidRPr="009544AD">
        <w:t xml:space="preserve">a </w:t>
      </w:r>
      <w:r w:rsidR="00540933" w:rsidRPr="009544AD">
        <w:t>few minutes (</w:t>
      </w:r>
      <w:proofErr w:type="spellStart"/>
      <w:r w:rsidR="00C33D75" w:rsidRPr="009544AD">
        <w:t>Coetzer</w:t>
      </w:r>
      <w:proofErr w:type="spellEnd"/>
      <w:r w:rsidR="00C33D75" w:rsidRPr="009544AD">
        <w:t>, 2004</w:t>
      </w:r>
      <w:r w:rsidR="00540933" w:rsidRPr="009544AD">
        <w:t>).</w:t>
      </w:r>
    </w:p>
    <w:p w14:paraId="6A8F4C1E" w14:textId="6331EC53" w:rsidR="00540933" w:rsidRPr="009544AD" w:rsidRDefault="00540933">
      <w:pPr>
        <w:pStyle w:val="paraA0"/>
      </w:pPr>
      <w:r w:rsidRPr="009544AD">
        <w:t>The incubation period is usually 9</w:t>
      </w:r>
      <w:r w:rsidR="00CF517D" w:rsidRPr="009544AD">
        <w:t>–</w:t>
      </w:r>
      <w:r w:rsidRPr="009544AD">
        <w:t>1</w:t>
      </w:r>
      <w:r w:rsidR="00CF517D" w:rsidRPr="009544AD">
        <w:t>3 </w:t>
      </w:r>
      <w:r w:rsidRPr="009544AD">
        <w:t>days (varying between 3</w:t>
      </w:r>
      <w:r w:rsidR="00AC4142" w:rsidRPr="009544AD">
        <w:t xml:space="preserve"> and </w:t>
      </w:r>
      <w:r w:rsidRPr="009544AD">
        <w:t>1</w:t>
      </w:r>
      <w:r w:rsidR="00AC4142" w:rsidRPr="009544AD">
        <w:t>5 </w:t>
      </w:r>
      <w:r w:rsidRPr="009544AD">
        <w:t>days).</w:t>
      </w:r>
      <w:r w:rsidRPr="009544AD">
        <w:rPr>
          <w:i/>
        </w:rPr>
        <w:t xml:space="preserve"> </w:t>
      </w:r>
      <w:r w:rsidRPr="009544AD">
        <w:t>Clinical manifestation</w:t>
      </w:r>
      <w:r w:rsidR="00710C72" w:rsidRPr="009544AD">
        <w:t>s</w:t>
      </w:r>
      <w:r w:rsidRPr="009544AD">
        <w:t xml:space="preserve"> of </w:t>
      </w:r>
      <w:proofErr w:type="spellStart"/>
      <w:r w:rsidR="0051241D" w:rsidRPr="009544AD">
        <w:t>camelpox</w:t>
      </w:r>
      <w:proofErr w:type="spellEnd"/>
      <w:r w:rsidRPr="009544AD">
        <w:t xml:space="preserve"> range from </w:t>
      </w:r>
      <w:r w:rsidR="00B37EB6" w:rsidRPr="009544AD">
        <w:t>i</w:t>
      </w:r>
      <w:r w:rsidRPr="009544AD">
        <w:t>napparent and mild local infections</w:t>
      </w:r>
      <w:r w:rsidR="00B37EB6" w:rsidRPr="009544AD">
        <w:t>,</w:t>
      </w:r>
      <w:r w:rsidRPr="009544AD">
        <w:t xml:space="preserve"> confined to the skin</w:t>
      </w:r>
      <w:r w:rsidR="00B37EB6" w:rsidRPr="009544AD">
        <w:t>,</w:t>
      </w:r>
      <w:r w:rsidRPr="009544AD">
        <w:t xml:space="preserve"> to moderate and severe systemic infections, possibly reflecting differences between the strains of </w:t>
      </w:r>
      <w:proofErr w:type="spellStart"/>
      <w:r w:rsidR="0051241D" w:rsidRPr="009544AD">
        <w:t>camelpox</w:t>
      </w:r>
      <w:proofErr w:type="spellEnd"/>
      <w:r w:rsidR="00F06A58" w:rsidRPr="009544AD">
        <w:t xml:space="preserve"> or difference</w:t>
      </w:r>
      <w:r w:rsidR="00066432" w:rsidRPr="009544AD">
        <w:t>s</w:t>
      </w:r>
      <w:r w:rsidR="00F06A58" w:rsidRPr="009544AD">
        <w:t xml:space="preserve"> in the immune status</w:t>
      </w:r>
      <w:r w:rsidRPr="009544AD">
        <w:rPr>
          <w:i/>
        </w:rPr>
        <w:t xml:space="preserve"> </w:t>
      </w:r>
      <w:r w:rsidR="00066432" w:rsidRPr="009544AD">
        <w:t>of the</w:t>
      </w:r>
      <w:r w:rsidR="00066432" w:rsidRPr="009544AD">
        <w:rPr>
          <w:i/>
        </w:rPr>
        <w:t xml:space="preserve"> </w:t>
      </w:r>
      <w:r w:rsidR="00066432" w:rsidRPr="009544AD">
        <w:t xml:space="preserve">animals </w:t>
      </w:r>
      <w:r w:rsidRPr="009544AD">
        <w:t>(</w:t>
      </w:r>
      <w:proofErr w:type="spellStart"/>
      <w:r w:rsidR="007C27B8" w:rsidRPr="007C27B8">
        <w:rPr>
          <w:u w:val="double"/>
          <w:lang w:val="de-DE"/>
        </w:rPr>
        <w:t>Wernery</w:t>
      </w:r>
      <w:proofErr w:type="spellEnd"/>
      <w:r w:rsidR="007C27B8" w:rsidRPr="007C27B8">
        <w:rPr>
          <w:u w:val="double"/>
          <w:lang w:val="de-DE"/>
        </w:rPr>
        <w:t xml:space="preserve"> </w:t>
      </w:r>
      <w:r w:rsidR="007C27B8" w:rsidRPr="007C27B8">
        <w:rPr>
          <w:i/>
          <w:u w:val="double"/>
          <w:lang w:val="de-DE"/>
        </w:rPr>
        <w:t>et al.,</w:t>
      </w:r>
      <w:r w:rsidR="007C27B8" w:rsidRPr="007C27B8">
        <w:rPr>
          <w:u w:val="double"/>
          <w:lang w:val="de-DE"/>
        </w:rPr>
        <w:t xml:space="preserve"> 2014</w:t>
      </w:r>
      <w:r w:rsidR="007C27B8" w:rsidRPr="007C27B8">
        <w:rPr>
          <w:strike/>
          <w:lang w:val="de-DE"/>
        </w:rPr>
        <w:t xml:space="preserve"> </w:t>
      </w:r>
      <w:proofErr w:type="spellStart"/>
      <w:r w:rsidR="00FB0BA9" w:rsidRPr="007C27B8">
        <w:rPr>
          <w:strike/>
          <w:lang w:val="de-DE"/>
        </w:rPr>
        <w:t>Wernery</w:t>
      </w:r>
      <w:proofErr w:type="spellEnd"/>
      <w:r w:rsidR="007C27B8">
        <w:rPr>
          <w:strike/>
          <w:lang w:val="de-DE"/>
        </w:rPr>
        <w:t xml:space="preserve"> </w:t>
      </w:r>
      <w:r w:rsidR="00FB0BA9" w:rsidRPr="007C27B8">
        <w:rPr>
          <w:strike/>
          <w:lang w:val="de-DE"/>
        </w:rPr>
        <w:t xml:space="preserve">&amp; </w:t>
      </w:r>
      <w:proofErr w:type="spellStart"/>
      <w:r w:rsidR="00FB0BA9" w:rsidRPr="007C27B8">
        <w:rPr>
          <w:strike/>
          <w:lang w:val="de-DE"/>
        </w:rPr>
        <w:t>Kaaden</w:t>
      </w:r>
      <w:proofErr w:type="spellEnd"/>
      <w:r w:rsidR="00FB0BA9" w:rsidRPr="007C27B8">
        <w:rPr>
          <w:strike/>
          <w:lang w:val="de-DE"/>
        </w:rPr>
        <w:t>, 2002</w:t>
      </w:r>
      <w:r w:rsidRPr="009544AD">
        <w:t>). The disease is characteri</w:t>
      </w:r>
      <w:r w:rsidR="001B3C8D" w:rsidRPr="009544AD">
        <w:t>s</w:t>
      </w:r>
      <w:r w:rsidRPr="009544AD">
        <w:t>ed by fever, enlarged lymph nodes and skin lesions. Skin lesions appear 1</w:t>
      </w:r>
      <w:r w:rsidR="00635BE5" w:rsidRPr="009544AD">
        <w:t>–</w:t>
      </w:r>
      <w:r w:rsidR="00CF517D" w:rsidRPr="009544AD">
        <w:t>3 </w:t>
      </w:r>
      <w:r w:rsidRPr="009544AD">
        <w:t>days after the onset of fever, starting as erythematous macules, developing into papules and vesicles</w:t>
      </w:r>
      <w:r w:rsidR="00C1386C" w:rsidRPr="009544AD">
        <w:t>,</w:t>
      </w:r>
      <w:r w:rsidRPr="009544AD">
        <w:t xml:space="preserve"> and </w:t>
      </w:r>
      <w:r w:rsidR="00C1386C" w:rsidRPr="009544AD">
        <w:t xml:space="preserve">later </w:t>
      </w:r>
      <w:r w:rsidRPr="009544AD">
        <w:t>turning into pustules. Crusts develop on the ruptured pustules. These lesions first appear on</w:t>
      </w:r>
      <w:r w:rsidR="00C1386C" w:rsidRPr="009544AD">
        <w:t xml:space="preserve"> the </w:t>
      </w:r>
      <w:r w:rsidRPr="009544AD">
        <w:t>head, eyelids, nostrils and the margins of the ears. In severe cases the whole head may be swollen. Later, skin lesions may extend to the neck, limbs, genitalia, mammary glands and perineum.</w:t>
      </w:r>
      <w:r w:rsidRPr="009544AD">
        <w:rPr>
          <w:i/>
        </w:rPr>
        <w:t xml:space="preserve"> </w:t>
      </w:r>
      <w:r w:rsidRPr="009544AD">
        <w:t>In the generalised form</w:t>
      </w:r>
      <w:r w:rsidR="00C1386C" w:rsidRPr="009544AD">
        <w:t>,</w:t>
      </w:r>
      <w:r w:rsidRPr="009544AD">
        <w:t xml:space="preserve"> pox lesions may cover the entire body.</w:t>
      </w:r>
      <w:r w:rsidRPr="009544AD">
        <w:rPr>
          <w:i/>
        </w:rPr>
        <w:t xml:space="preserve"> </w:t>
      </w:r>
      <w:r w:rsidRPr="009544AD">
        <w:t>Skin lesions may take up to 4</w:t>
      </w:r>
      <w:r w:rsidR="007B7C82" w:rsidRPr="009544AD">
        <w:t>–</w:t>
      </w:r>
      <w:r w:rsidR="00AC4142" w:rsidRPr="009544AD">
        <w:t>6 </w:t>
      </w:r>
      <w:r w:rsidRPr="009544AD">
        <w:t>weeks to heal. In the systemic form of the disease, pox lesions can be found in the mucous membranes of the mouth</w:t>
      </w:r>
      <w:r w:rsidR="00096A9C" w:rsidRPr="009544AD">
        <w:t xml:space="preserve"> and</w:t>
      </w:r>
      <w:r w:rsidRPr="009544AD">
        <w:t xml:space="preserve"> respiratory tract (</w:t>
      </w:r>
      <w:proofErr w:type="spellStart"/>
      <w:r w:rsidR="00FB0BA9" w:rsidRPr="009544AD">
        <w:t>Kritz</w:t>
      </w:r>
      <w:proofErr w:type="spellEnd"/>
      <w:r w:rsidR="00FB0BA9" w:rsidRPr="009544AD">
        <w:t>, 1982</w:t>
      </w:r>
      <w:r w:rsidR="008A2815" w:rsidRPr="009544AD">
        <w:t>;</w:t>
      </w:r>
      <w:r w:rsidRPr="009544AD">
        <w:t xml:space="preserve"> </w:t>
      </w:r>
      <w:proofErr w:type="spellStart"/>
      <w:r w:rsidR="007C27B8" w:rsidRPr="007C27B8">
        <w:rPr>
          <w:u w:val="double"/>
          <w:lang w:val="de-DE"/>
        </w:rPr>
        <w:t>Wernery</w:t>
      </w:r>
      <w:proofErr w:type="spellEnd"/>
      <w:r w:rsidR="007C27B8" w:rsidRPr="007C27B8">
        <w:rPr>
          <w:u w:val="double"/>
          <w:lang w:val="de-DE"/>
        </w:rPr>
        <w:t xml:space="preserve"> </w:t>
      </w:r>
      <w:r w:rsidR="007C27B8" w:rsidRPr="007C27B8">
        <w:rPr>
          <w:i/>
          <w:u w:val="double"/>
          <w:lang w:val="de-DE"/>
        </w:rPr>
        <w:t>et al.,</w:t>
      </w:r>
      <w:r w:rsidR="007C27B8" w:rsidRPr="007C27B8">
        <w:rPr>
          <w:u w:val="double"/>
          <w:lang w:val="de-DE"/>
        </w:rPr>
        <w:t xml:space="preserve"> 2014</w:t>
      </w:r>
      <w:r w:rsidR="007C27B8" w:rsidRPr="007C27B8">
        <w:rPr>
          <w:strike/>
          <w:lang w:val="de-DE"/>
        </w:rPr>
        <w:t xml:space="preserve"> </w:t>
      </w:r>
      <w:proofErr w:type="spellStart"/>
      <w:r w:rsidR="007C27B8" w:rsidRPr="007C27B8">
        <w:rPr>
          <w:strike/>
          <w:lang w:val="de-DE"/>
        </w:rPr>
        <w:t>Wernery</w:t>
      </w:r>
      <w:proofErr w:type="spellEnd"/>
      <w:r w:rsidR="007C27B8">
        <w:rPr>
          <w:strike/>
          <w:lang w:val="de-DE"/>
        </w:rPr>
        <w:t xml:space="preserve"> </w:t>
      </w:r>
      <w:r w:rsidR="007C27B8" w:rsidRPr="007C27B8">
        <w:rPr>
          <w:strike/>
          <w:lang w:val="de-DE"/>
        </w:rPr>
        <w:t xml:space="preserve">&amp; </w:t>
      </w:r>
      <w:proofErr w:type="spellStart"/>
      <w:r w:rsidR="007C27B8" w:rsidRPr="007C27B8">
        <w:rPr>
          <w:strike/>
          <w:lang w:val="de-DE"/>
        </w:rPr>
        <w:t>Kaaden</w:t>
      </w:r>
      <w:proofErr w:type="spellEnd"/>
      <w:r w:rsidR="007C27B8" w:rsidRPr="007C27B8">
        <w:rPr>
          <w:strike/>
          <w:lang w:val="de-DE"/>
        </w:rPr>
        <w:t>, 2002</w:t>
      </w:r>
      <w:r w:rsidRPr="009544AD">
        <w:t>).</w:t>
      </w:r>
    </w:p>
    <w:p w14:paraId="16681436" w14:textId="71237475" w:rsidR="00540933" w:rsidRPr="009544AD" w:rsidRDefault="00540933">
      <w:pPr>
        <w:pStyle w:val="paraA0"/>
      </w:pPr>
      <w:r w:rsidRPr="009544AD">
        <w:t>The a</w:t>
      </w:r>
      <w:r w:rsidR="009F27DD" w:rsidRPr="009544AD">
        <w:t>nimals may show salivation, lac</w:t>
      </w:r>
      <w:r w:rsidRPr="009544AD">
        <w:t>r</w:t>
      </w:r>
      <w:r w:rsidR="009F27DD" w:rsidRPr="009544AD">
        <w:t>i</w:t>
      </w:r>
      <w:r w:rsidRPr="009544AD">
        <w:t>mation and a mucopurulent nasal discharge. Diarrh</w:t>
      </w:r>
      <w:r w:rsidR="009F27DD" w:rsidRPr="009544AD">
        <w:t>o</w:t>
      </w:r>
      <w:r w:rsidRPr="009544AD">
        <w:t xml:space="preserve">ea and anorexia may occur in the systemic form of the disease. Pregnant females may abort. Death is usually </w:t>
      </w:r>
      <w:r w:rsidR="00066432" w:rsidRPr="009544AD">
        <w:t>caused by</w:t>
      </w:r>
      <w:r w:rsidRPr="009544AD">
        <w:t xml:space="preserve"> second</w:t>
      </w:r>
      <w:r w:rsidR="009663FF" w:rsidRPr="009544AD">
        <w:t>ary infections and septicaemia (</w:t>
      </w:r>
      <w:proofErr w:type="spellStart"/>
      <w:r w:rsidR="007C27B8" w:rsidRPr="007C27B8">
        <w:rPr>
          <w:u w:val="double"/>
          <w:lang w:val="de-DE"/>
        </w:rPr>
        <w:t>Wernery</w:t>
      </w:r>
      <w:proofErr w:type="spellEnd"/>
      <w:r w:rsidR="007C27B8" w:rsidRPr="007C27B8">
        <w:rPr>
          <w:u w:val="double"/>
          <w:lang w:val="de-DE"/>
        </w:rPr>
        <w:t xml:space="preserve"> </w:t>
      </w:r>
      <w:r w:rsidR="007C27B8" w:rsidRPr="007C27B8">
        <w:rPr>
          <w:i/>
          <w:u w:val="double"/>
          <w:lang w:val="de-DE"/>
        </w:rPr>
        <w:t>et al.,</w:t>
      </w:r>
      <w:r w:rsidR="007C27B8" w:rsidRPr="007C27B8">
        <w:rPr>
          <w:u w:val="double"/>
          <w:lang w:val="de-DE"/>
        </w:rPr>
        <w:t xml:space="preserve"> 2014</w:t>
      </w:r>
      <w:r w:rsidR="007C27B8" w:rsidRPr="007C27B8">
        <w:rPr>
          <w:strike/>
          <w:lang w:val="de-DE"/>
        </w:rPr>
        <w:t xml:space="preserve"> </w:t>
      </w:r>
      <w:proofErr w:type="spellStart"/>
      <w:r w:rsidR="007C27B8" w:rsidRPr="007C27B8">
        <w:rPr>
          <w:strike/>
          <w:lang w:val="de-DE"/>
        </w:rPr>
        <w:t>Wernery</w:t>
      </w:r>
      <w:proofErr w:type="spellEnd"/>
      <w:r w:rsidR="007C27B8">
        <w:rPr>
          <w:strike/>
          <w:lang w:val="de-DE"/>
        </w:rPr>
        <w:t xml:space="preserve"> </w:t>
      </w:r>
      <w:r w:rsidR="007C27B8" w:rsidRPr="007C27B8">
        <w:rPr>
          <w:strike/>
          <w:lang w:val="de-DE"/>
        </w:rPr>
        <w:t xml:space="preserve">&amp; </w:t>
      </w:r>
      <w:proofErr w:type="spellStart"/>
      <w:r w:rsidR="007C27B8" w:rsidRPr="007C27B8">
        <w:rPr>
          <w:strike/>
          <w:lang w:val="de-DE"/>
        </w:rPr>
        <w:t>Kaaden</w:t>
      </w:r>
      <w:proofErr w:type="spellEnd"/>
      <w:r w:rsidR="007C27B8" w:rsidRPr="007C27B8">
        <w:rPr>
          <w:strike/>
          <w:lang w:val="de-DE"/>
        </w:rPr>
        <w:t>, 2002</w:t>
      </w:r>
      <w:r w:rsidRPr="009544AD">
        <w:t xml:space="preserve">). </w:t>
      </w:r>
    </w:p>
    <w:p w14:paraId="31DC1204" w14:textId="77777777" w:rsidR="00540933" w:rsidRPr="009544AD" w:rsidRDefault="00540933">
      <w:pPr>
        <w:pStyle w:val="paraA0"/>
      </w:pPr>
      <w:r w:rsidRPr="009544AD">
        <w:t>Histopathological examination of the early skin nodules reveals characteristic cytoplasmic swelling, vacuolation and ballooning of the keratinocytes of the outer stratum spinosum. The rupture of these cells produces vesicles and localised oedema. Perivascular infiltration of mononuclear cells and variable infiltration of neutrophils and eosinophils occurs. Marked epithelial hyperplasia may occur in the borders of the skin lesions (</w:t>
      </w:r>
      <w:proofErr w:type="spellStart"/>
      <w:r w:rsidR="00FB0BA9" w:rsidRPr="009544AD">
        <w:t>Yager</w:t>
      </w:r>
      <w:proofErr w:type="spellEnd"/>
      <w:r w:rsidR="00FB0BA9" w:rsidRPr="009544AD">
        <w:t xml:space="preserve"> </w:t>
      </w:r>
      <w:r w:rsidR="00D4764B" w:rsidRPr="009544AD">
        <w:rPr>
          <w:i/>
        </w:rPr>
        <w:t>et al</w:t>
      </w:r>
      <w:r w:rsidR="00FB0BA9" w:rsidRPr="009544AD">
        <w:t>., 1991</w:t>
      </w:r>
      <w:r w:rsidRPr="009544AD">
        <w:t>).</w:t>
      </w:r>
    </w:p>
    <w:p w14:paraId="62ABF858" w14:textId="11DF9D75" w:rsidR="00540933" w:rsidRPr="009544AD" w:rsidRDefault="00540933">
      <w:pPr>
        <w:pStyle w:val="paraA0"/>
      </w:pPr>
      <w:r w:rsidRPr="009544AD">
        <w:t xml:space="preserve">There are only </w:t>
      </w:r>
      <w:r w:rsidR="00863293" w:rsidRPr="009544AD">
        <w:t xml:space="preserve">a </w:t>
      </w:r>
      <w:r w:rsidRPr="009544AD">
        <w:t xml:space="preserve">few detailed pathological descriptions of internal </w:t>
      </w:r>
      <w:proofErr w:type="spellStart"/>
      <w:r w:rsidR="0051241D" w:rsidRPr="009544AD">
        <w:t>camelpox</w:t>
      </w:r>
      <w:proofErr w:type="spellEnd"/>
      <w:r w:rsidRPr="009544AD">
        <w:t xml:space="preserve"> lesions. </w:t>
      </w:r>
      <w:r w:rsidR="00FC0AC1" w:rsidRPr="009544AD">
        <w:t>The lesions observed o</w:t>
      </w:r>
      <w:r w:rsidRPr="009544AD">
        <w:t>n post-mortem</w:t>
      </w:r>
      <w:r w:rsidR="00FC0AC1" w:rsidRPr="009544AD">
        <w:t xml:space="preserve"> examination of camels that die </w:t>
      </w:r>
      <w:r w:rsidR="00431482" w:rsidRPr="009544AD">
        <w:t>following severe</w:t>
      </w:r>
      <w:r w:rsidR="00FC0AC1" w:rsidRPr="009544AD">
        <w:t xml:space="preserve"> infection with </w:t>
      </w:r>
      <w:proofErr w:type="spellStart"/>
      <w:r w:rsidR="00FC0AC1" w:rsidRPr="009544AD">
        <w:t>camelpox</w:t>
      </w:r>
      <w:proofErr w:type="spellEnd"/>
      <w:r w:rsidR="00FC0AC1" w:rsidRPr="009544AD">
        <w:t xml:space="preserve"> are </w:t>
      </w:r>
      <w:r w:rsidRPr="009544AD">
        <w:t xml:space="preserve">multiple pox-like lesions on the mucous membranes of </w:t>
      </w:r>
      <w:r w:rsidR="00863293" w:rsidRPr="009544AD">
        <w:t xml:space="preserve">the </w:t>
      </w:r>
      <w:r w:rsidRPr="009544AD">
        <w:t>mouth</w:t>
      </w:r>
      <w:r w:rsidR="00096A9C" w:rsidRPr="009544AD">
        <w:t xml:space="preserve"> and</w:t>
      </w:r>
      <w:r w:rsidRPr="009544AD">
        <w:t xml:space="preserve"> respiratory tract</w:t>
      </w:r>
      <w:r w:rsidR="00FC0AC1" w:rsidRPr="009544AD">
        <w:t>.</w:t>
      </w:r>
      <w:r w:rsidRPr="009544AD">
        <w:t xml:space="preserve"> The size of the lesions in the lungs may vary </w:t>
      </w:r>
      <w:r w:rsidR="00FC0AC1" w:rsidRPr="009544AD">
        <w:t xml:space="preserve">in diameter </w:t>
      </w:r>
      <w:r w:rsidRPr="009544AD">
        <w:t>between 0.5</w:t>
      </w:r>
      <w:r w:rsidR="0086603E" w:rsidRPr="009544AD">
        <w:t xml:space="preserve"> and </w:t>
      </w:r>
      <w:r w:rsidRPr="009544AD">
        <w:t>1.</w:t>
      </w:r>
      <w:r w:rsidR="00CF517D" w:rsidRPr="009544AD">
        <w:t>3 </w:t>
      </w:r>
      <w:r w:rsidRPr="009544AD">
        <w:t>cm, occasionally up to 4</w:t>
      </w:r>
      <w:r w:rsidR="007B7C82" w:rsidRPr="009544AD">
        <w:t>–</w:t>
      </w:r>
      <w:r w:rsidR="00AC4142" w:rsidRPr="009544AD">
        <w:t>5 </w:t>
      </w:r>
      <w:r w:rsidRPr="009544AD">
        <w:t>cm. Smaller lesions may have a haemorrhagic centre. The lung lesions are characteri</w:t>
      </w:r>
      <w:r w:rsidR="001B3C8D" w:rsidRPr="009544AD">
        <w:t>s</w:t>
      </w:r>
      <w:r w:rsidRPr="009544AD">
        <w:t xml:space="preserve">ed by </w:t>
      </w:r>
      <w:proofErr w:type="spellStart"/>
      <w:r w:rsidRPr="009544AD">
        <w:t>hydropic</w:t>
      </w:r>
      <w:proofErr w:type="spellEnd"/>
      <w:r w:rsidRPr="009544AD">
        <w:t xml:space="preserve"> degeneration, proliferation of bronchial epithelial cells, </w:t>
      </w:r>
      <w:r w:rsidR="00EB6981" w:rsidRPr="009544AD">
        <w:t>and infiltration</w:t>
      </w:r>
      <w:r w:rsidRPr="009544AD">
        <w:t xml:space="preserve"> of the affected areas by macrophages, necrosis and fibrosis (</w:t>
      </w:r>
      <w:proofErr w:type="spellStart"/>
      <w:r w:rsidR="00FB0BA9" w:rsidRPr="009544AD">
        <w:t>Kinne</w:t>
      </w:r>
      <w:proofErr w:type="spellEnd"/>
      <w:r w:rsidR="00FB0BA9" w:rsidRPr="009544AD">
        <w:t xml:space="preserve"> </w:t>
      </w:r>
      <w:r w:rsidR="00D4764B" w:rsidRPr="009544AD">
        <w:rPr>
          <w:i/>
        </w:rPr>
        <w:t>et al</w:t>
      </w:r>
      <w:r w:rsidR="00FB0BA9" w:rsidRPr="009544AD">
        <w:t>., 1998</w:t>
      </w:r>
      <w:r w:rsidR="008A2815" w:rsidRPr="009544AD">
        <w:t>;</w:t>
      </w:r>
      <w:r w:rsidRPr="009544AD">
        <w:t xml:space="preserve"> </w:t>
      </w:r>
      <w:r w:rsidR="00FB0BA9" w:rsidRPr="009544AD">
        <w:t xml:space="preserve">Pfeffer </w:t>
      </w:r>
      <w:r w:rsidR="00D4764B" w:rsidRPr="009544AD">
        <w:rPr>
          <w:i/>
        </w:rPr>
        <w:t>et al</w:t>
      </w:r>
      <w:r w:rsidR="00FB0BA9" w:rsidRPr="009544AD">
        <w:t>., 1998a</w:t>
      </w:r>
      <w:r w:rsidR="008A2815" w:rsidRPr="009544AD">
        <w:t>;</w:t>
      </w:r>
      <w:r w:rsidRPr="009544AD">
        <w:t xml:space="preserve"> </w:t>
      </w:r>
      <w:proofErr w:type="spellStart"/>
      <w:r w:rsidR="00FB0BA9" w:rsidRPr="009544AD">
        <w:t>Wernery</w:t>
      </w:r>
      <w:proofErr w:type="spellEnd"/>
      <w:r w:rsidR="00FB0BA9" w:rsidRPr="009544AD">
        <w:t xml:space="preserve"> </w:t>
      </w:r>
      <w:r w:rsidR="00D4764B" w:rsidRPr="009544AD">
        <w:rPr>
          <w:i/>
        </w:rPr>
        <w:t>et al</w:t>
      </w:r>
      <w:r w:rsidR="00FB0BA9" w:rsidRPr="009544AD">
        <w:t>., 1997a</w:t>
      </w:r>
      <w:r w:rsidRPr="009544AD">
        <w:t>).</w:t>
      </w:r>
      <w:r w:rsidR="00096A9C" w:rsidRPr="009544AD">
        <w:t xml:space="preserve"> Pox lesions are also observed in the mucosa of the trachea and retina of the eye causing blindness.</w:t>
      </w:r>
    </w:p>
    <w:p w14:paraId="7A634073" w14:textId="29948236" w:rsidR="00540933" w:rsidRPr="009544AD" w:rsidRDefault="00540933">
      <w:pPr>
        <w:pStyle w:val="paraA0"/>
      </w:pPr>
      <w:r w:rsidRPr="009544AD">
        <w:t xml:space="preserve">The morbidity rate of </w:t>
      </w:r>
      <w:proofErr w:type="spellStart"/>
      <w:r w:rsidR="0051241D" w:rsidRPr="009544AD">
        <w:t>camelpox</w:t>
      </w:r>
      <w:proofErr w:type="spellEnd"/>
      <w:r w:rsidRPr="009544AD">
        <w:t xml:space="preserve"> is variable and depends on whether </w:t>
      </w:r>
      <w:r w:rsidR="00863293" w:rsidRPr="009544AD">
        <w:t xml:space="preserve">the </w:t>
      </w:r>
      <w:r w:rsidRPr="009544AD">
        <w:t>virus is circulating in the herd.</w:t>
      </w:r>
      <w:r w:rsidR="00033DAE" w:rsidRPr="009544AD">
        <w:t xml:space="preserve"> </w:t>
      </w:r>
      <w:r w:rsidRPr="009544AD">
        <w:t xml:space="preserve">Serological surveys taken in several countries reveal a high prevalence of antibodies to </w:t>
      </w:r>
      <w:proofErr w:type="spellStart"/>
      <w:r w:rsidR="0051241D" w:rsidRPr="009544AD">
        <w:t>camelpox</w:t>
      </w:r>
      <w:proofErr w:type="spellEnd"/>
      <w:r w:rsidRPr="009544AD">
        <w:t xml:space="preserve"> (</w:t>
      </w:r>
      <w:proofErr w:type="spellStart"/>
      <w:r w:rsidR="007C27B8" w:rsidRPr="007C27B8">
        <w:rPr>
          <w:u w:val="double"/>
          <w:lang w:val="de-DE"/>
        </w:rPr>
        <w:t>Wernery</w:t>
      </w:r>
      <w:proofErr w:type="spellEnd"/>
      <w:r w:rsidR="007C27B8" w:rsidRPr="007C27B8">
        <w:rPr>
          <w:u w:val="double"/>
          <w:lang w:val="de-DE"/>
        </w:rPr>
        <w:t xml:space="preserve"> </w:t>
      </w:r>
      <w:r w:rsidR="007C27B8" w:rsidRPr="007C27B8">
        <w:rPr>
          <w:i/>
          <w:u w:val="double"/>
          <w:lang w:val="de-DE"/>
        </w:rPr>
        <w:t>et al.,</w:t>
      </w:r>
      <w:r w:rsidR="007C27B8" w:rsidRPr="007C27B8">
        <w:rPr>
          <w:u w:val="double"/>
          <w:lang w:val="de-DE"/>
        </w:rPr>
        <w:t xml:space="preserve"> 2014</w:t>
      </w:r>
      <w:r w:rsidR="007C27B8" w:rsidRPr="007C27B8">
        <w:rPr>
          <w:strike/>
          <w:lang w:val="de-DE"/>
        </w:rPr>
        <w:t xml:space="preserve"> </w:t>
      </w:r>
      <w:proofErr w:type="spellStart"/>
      <w:r w:rsidR="007C27B8" w:rsidRPr="007C27B8">
        <w:rPr>
          <w:strike/>
          <w:lang w:val="de-DE"/>
        </w:rPr>
        <w:t>Wernery</w:t>
      </w:r>
      <w:proofErr w:type="spellEnd"/>
      <w:r w:rsidR="007C27B8">
        <w:rPr>
          <w:strike/>
          <w:lang w:val="de-DE"/>
        </w:rPr>
        <w:t xml:space="preserve"> </w:t>
      </w:r>
      <w:r w:rsidR="007C27B8" w:rsidRPr="007C27B8">
        <w:rPr>
          <w:strike/>
          <w:lang w:val="de-DE"/>
        </w:rPr>
        <w:lastRenderedPageBreak/>
        <w:t xml:space="preserve">&amp; </w:t>
      </w:r>
      <w:proofErr w:type="spellStart"/>
      <w:r w:rsidR="007C27B8" w:rsidRPr="007C27B8">
        <w:rPr>
          <w:strike/>
          <w:lang w:val="de-DE"/>
        </w:rPr>
        <w:t>Kaaden</w:t>
      </w:r>
      <w:proofErr w:type="spellEnd"/>
      <w:r w:rsidR="007C27B8" w:rsidRPr="007C27B8">
        <w:rPr>
          <w:strike/>
          <w:lang w:val="de-DE"/>
        </w:rPr>
        <w:t>, 2002</w:t>
      </w:r>
      <w:r w:rsidRPr="009544AD">
        <w:t>). The incidence of disease is higher in males than females</w:t>
      </w:r>
      <w:r w:rsidR="00863293" w:rsidRPr="009544AD">
        <w:t>,</w:t>
      </w:r>
      <w:r w:rsidRPr="009544AD">
        <w:t xml:space="preserve"> and the mortality rate is greater in young animals than in adults (</w:t>
      </w:r>
      <w:proofErr w:type="spellStart"/>
      <w:r w:rsidR="00FB0BA9" w:rsidRPr="009544AD">
        <w:t>Kritz</w:t>
      </w:r>
      <w:proofErr w:type="spellEnd"/>
      <w:r w:rsidR="00FB0BA9" w:rsidRPr="009544AD">
        <w:t>, 1982</w:t>
      </w:r>
      <w:r w:rsidRPr="009544AD">
        <w:t xml:space="preserve">). </w:t>
      </w:r>
      <w:r w:rsidR="00863293" w:rsidRPr="009544AD">
        <w:t>The m</w:t>
      </w:r>
      <w:r w:rsidRPr="009544AD">
        <w:t>ortality rate in adult animals is between 5</w:t>
      </w:r>
      <w:r w:rsidR="00AC4142" w:rsidRPr="009544AD">
        <w:t>%</w:t>
      </w:r>
      <w:r w:rsidRPr="009544AD">
        <w:t xml:space="preserve"> </w:t>
      </w:r>
      <w:r w:rsidR="00AC4142" w:rsidRPr="009544AD">
        <w:t>and</w:t>
      </w:r>
      <w:r w:rsidRPr="009544AD">
        <w:t xml:space="preserve"> 28</w:t>
      </w:r>
      <w:r w:rsidR="00033DAE" w:rsidRPr="009544AD">
        <w:t>%</w:t>
      </w:r>
      <w:r w:rsidRPr="009544AD">
        <w:t xml:space="preserve"> and </w:t>
      </w:r>
      <w:r w:rsidR="00863293" w:rsidRPr="009544AD">
        <w:t xml:space="preserve">in </w:t>
      </w:r>
      <w:r w:rsidRPr="009544AD">
        <w:t>young animals between 25</w:t>
      </w:r>
      <w:r w:rsidR="00AC4142" w:rsidRPr="009544AD">
        <w:t>%</w:t>
      </w:r>
      <w:r w:rsidRPr="009544AD">
        <w:t xml:space="preserve"> </w:t>
      </w:r>
      <w:r w:rsidR="00AC4142" w:rsidRPr="009544AD">
        <w:t>and</w:t>
      </w:r>
      <w:r w:rsidRPr="009544AD">
        <w:t xml:space="preserve"> 100</w:t>
      </w:r>
      <w:r w:rsidR="00033DAE" w:rsidRPr="009544AD">
        <w:t>%</w:t>
      </w:r>
      <w:r w:rsidRPr="009544AD">
        <w:t xml:space="preserve"> (</w:t>
      </w:r>
      <w:r w:rsidR="00C33D75" w:rsidRPr="009544AD">
        <w:t>Mayer &amp; Czerny, 1990</w:t>
      </w:r>
      <w:r w:rsidRPr="009544AD">
        <w:t xml:space="preserve">). </w:t>
      </w:r>
    </w:p>
    <w:p w14:paraId="4CAC7EFA" w14:textId="661827A2" w:rsidR="00540933" w:rsidRPr="009544AD" w:rsidRDefault="00540933" w:rsidP="008660BD">
      <w:pPr>
        <w:pStyle w:val="paraA0"/>
        <w:spacing w:after="280"/>
      </w:pPr>
      <w:r w:rsidRPr="009544AD">
        <w:t xml:space="preserve">Transmission is by either direct contact between infected and susceptible animals or indirect infection via </w:t>
      </w:r>
      <w:r w:rsidR="00FC0AC1" w:rsidRPr="009544AD">
        <w:t xml:space="preserve">a </w:t>
      </w:r>
      <w:r w:rsidRPr="009544AD">
        <w:t xml:space="preserve">contaminated environment. The infection </w:t>
      </w:r>
      <w:r w:rsidRPr="00DD5373">
        <w:rPr>
          <w:strike/>
          <w:highlight w:val="yellow"/>
        </w:rPr>
        <w:t>is</w:t>
      </w:r>
      <w:r w:rsidRPr="00DD5373">
        <w:rPr>
          <w:strike/>
        </w:rPr>
        <w:t xml:space="preserve"> </w:t>
      </w:r>
      <w:r w:rsidRPr="009544AD">
        <w:t xml:space="preserve">usually </w:t>
      </w:r>
      <w:r w:rsidRPr="00DD5373">
        <w:rPr>
          <w:strike/>
          <w:highlight w:val="yellow"/>
        </w:rPr>
        <w:t>achieved</w:t>
      </w:r>
      <w:r w:rsidRPr="00E802F6">
        <w:rPr>
          <w:strike/>
          <w:highlight w:val="yellow"/>
        </w:rPr>
        <w:t xml:space="preserve"> </w:t>
      </w:r>
      <w:r w:rsidR="008C7695" w:rsidRPr="00DD5373">
        <w:rPr>
          <w:highlight w:val="yellow"/>
          <w:u w:val="double"/>
        </w:rPr>
        <w:t>occurs</w:t>
      </w:r>
      <w:r w:rsidR="008C7695" w:rsidRPr="009544AD">
        <w:t xml:space="preserve"> </w:t>
      </w:r>
      <w:r w:rsidRPr="009544AD">
        <w:t xml:space="preserve">by inhalation or through skin abrasions. Virus is secreted in milk, saliva, </w:t>
      </w:r>
      <w:r w:rsidR="00863293" w:rsidRPr="009544AD">
        <w:t xml:space="preserve">and </w:t>
      </w:r>
      <w:r w:rsidRPr="009544AD">
        <w:t>ocular and nasal discharge</w:t>
      </w:r>
      <w:r w:rsidR="00863293" w:rsidRPr="009544AD">
        <w:t>s</w:t>
      </w:r>
      <w:r w:rsidRPr="009544AD">
        <w:t xml:space="preserve">. Dried scabs shed from the pox lesions may contain live virus for at least </w:t>
      </w:r>
      <w:r w:rsidR="007B7C82" w:rsidRPr="009544AD">
        <w:t>4 </w:t>
      </w:r>
      <w:r w:rsidRPr="009544AD">
        <w:t xml:space="preserve">months and contaminate the environment. The role of an arthropod vector in the transmission of the disease has been suspected. </w:t>
      </w:r>
      <w:proofErr w:type="spellStart"/>
      <w:r w:rsidRPr="009544AD">
        <w:t>Camelpox</w:t>
      </w:r>
      <w:proofErr w:type="spellEnd"/>
      <w:r w:rsidRPr="009544AD">
        <w:t xml:space="preserve"> virus has been detected by </w:t>
      </w:r>
      <w:r w:rsidR="00863293" w:rsidRPr="009544AD">
        <w:t xml:space="preserve">transmission electron microscopy (TEM) </w:t>
      </w:r>
      <w:r w:rsidRPr="009544AD">
        <w:t>and virus isolation from</w:t>
      </w:r>
      <w:r w:rsidR="00863293" w:rsidRPr="009544AD">
        <w:t xml:space="preserve"> the</w:t>
      </w:r>
      <w:r w:rsidRPr="009544AD">
        <w:t xml:space="preserve"> camel tick, </w:t>
      </w:r>
      <w:proofErr w:type="spellStart"/>
      <w:r w:rsidRPr="009544AD">
        <w:rPr>
          <w:i/>
        </w:rPr>
        <w:t>Hyalomma</w:t>
      </w:r>
      <w:proofErr w:type="spellEnd"/>
      <w:r w:rsidRPr="009544AD">
        <w:rPr>
          <w:i/>
        </w:rPr>
        <w:t xml:space="preserve"> </w:t>
      </w:r>
      <w:proofErr w:type="spellStart"/>
      <w:r w:rsidRPr="009544AD">
        <w:rPr>
          <w:i/>
        </w:rPr>
        <w:t>dromedarii</w:t>
      </w:r>
      <w:proofErr w:type="spellEnd"/>
      <w:r w:rsidRPr="009544AD">
        <w:t xml:space="preserve">, collected from animals infected with </w:t>
      </w:r>
      <w:proofErr w:type="spellStart"/>
      <w:r w:rsidRPr="009544AD">
        <w:t>camelpox</w:t>
      </w:r>
      <w:proofErr w:type="spellEnd"/>
      <w:r w:rsidRPr="009544AD">
        <w:t xml:space="preserve"> virus. </w:t>
      </w:r>
      <w:r w:rsidR="000A0348" w:rsidRPr="009544AD">
        <w:t>T</w:t>
      </w:r>
      <w:r w:rsidRPr="009544AD">
        <w:t>he increased density of the tick population during the rainy season may be responsible for the spread of the disease (</w:t>
      </w:r>
      <w:proofErr w:type="spellStart"/>
      <w:r w:rsidR="00A872F3" w:rsidRPr="009544AD">
        <w:t>Wernery</w:t>
      </w:r>
      <w:proofErr w:type="spellEnd"/>
      <w:r w:rsidR="00A872F3" w:rsidRPr="009544AD">
        <w:t xml:space="preserve"> </w:t>
      </w:r>
      <w:r w:rsidR="00A872F3" w:rsidRPr="009544AD">
        <w:rPr>
          <w:i/>
        </w:rPr>
        <w:t>et al</w:t>
      </w:r>
      <w:r w:rsidR="00A872F3" w:rsidRPr="009544AD">
        <w:t>., 1997a</w:t>
      </w:r>
      <w:r w:rsidRPr="009544AD">
        <w:t>)</w:t>
      </w:r>
      <w:r w:rsidR="00D364B6" w:rsidRPr="009544AD">
        <w:t>. However, other potential vectors may be involved, such as biting flies and mosquitoes.</w:t>
      </w:r>
      <w:r w:rsidR="00A127BB" w:rsidRPr="009544AD">
        <w:t xml:space="preserve"> </w:t>
      </w:r>
    </w:p>
    <w:p w14:paraId="109018C3" w14:textId="6BBDA554" w:rsidR="00540933" w:rsidRPr="009544AD" w:rsidRDefault="00540933" w:rsidP="008660BD">
      <w:pPr>
        <w:pStyle w:val="paraA0"/>
        <w:spacing w:after="280"/>
      </w:pPr>
      <w:r w:rsidRPr="00DD5373">
        <w:rPr>
          <w:strike/>
          <w:highlight w:val="yellow"/>
        </w:rPr>
        <w:t>It has been suggested that</w:t>
      </w:r>
      <w:r w:rsidRPr="00DD5373">
        <w:rPr>
          <w:strike/>
        </w:rPr>
        <w:t xml:space="preserve"> </w:t>
      </w:r>
      <w:r w:rsidR="008B0D60">
        <w:t>D</w:t>
      </w:r>
      <w:r w:rsidRPr="009544AD">
        <w:t xml:space="preserve">ifferent strains of </w:t>
      </w:r>
      <w:proofErr w:type="spellStart"/>
      <w:r w:rsidRPr="009544AD">
        <w:t>camelpox</w:t>
      </w:r>
      <w:proofErr w:type="spellEnd"/>
      <w:r w:rsidRPr="009544AD">
        <w:t xml:space="preserve"> virus may show some variation in their virulence (</w:t>
      </w:r>
      <w:proofErr w:type="spellStart"/>
      <w:r w:rsidR="007C27B8" w:rsidRPr="007C27B8">
        <w:rPr>
          <w:u w:val="double"/>
          <w:lang w:val="de-DE"/>
        </w:rPr>
        <w:t>Wernery</w:t>
      </w:r>
      <w:proofErr w:type="spellEnd"/>
      <w:r w:rsidR="007C27B8" w:rsidRPr="007C27B8">
        <w:rPr>
          <w:u w:val="double"/>
          <w:lang w:val="de-DE"/>
        </w:rPr>
        <w:t xml:space="preserve"> </w:t>
      </w:r>
      <w:r w:rsidR="007C27B8" w:rsidRPr="007C27B8">
        <w:rPr>
          <w:i/>
          <w:u w:val="double"/>
          <w:lang w:val="de-DE"/>
        </w:rPr>
        <w:t>et al.,</w:t>
      </w:r>
      <w:r w:rsidR="007C27B8" w:rsidRPr="007C27B8">
        <w:rPr>
          <w:u w:val="double"/>
          <w:lang w:val="de-DE"/>
        </w:rPr>
        <w:t xml:space="preserve"> 2014</w:t>
      </w:r>
      <w:r w:rsidR="007C27B8" w:rsidRPr="007C27B8">
        <w:rPr>
          <w:strike/>
          <w:lang w:val="de-DE"/>
        </w:rPr>
        <w:t xml:space="preserve"> </w:t>
      </w:r>
      <w:proofErr w:type="spellStart"/>
      <w:r w:rsidR="007C27B8" w:rsidRPr="007C27B8">
        <w:rPr>
          <w:strike/>
          <w:lang w:val="de-DE"/>
        </w:rPr>
        <w:t>Wernery</w:t>
      </w:r>
      <w:proofErr w:type="spellEnd"/>
      <w:r w:rsidR="007C27B8">
        <w:rPr>
          <w:strike/>
          <w:lang w:val="de-DE"/>
        </w:rPr>
        <w:t xml:space="preserve"> </w:t>
      </w:r>
      <w:r w:rsidR="007C27B8" w:rsidRPr="007C27B8">
        <w:rPr>
          <w:strike/>
          <w:lang w:val="de-DE"/>
        </w:rPr>
        <w:t xml:space="preserve">&amp; </w:t>
      </w:r>
      <w:proofErr w:type="spellStart"/>
      <w:r w:rsidR="007C27B8" w:rsidRPr="007C27B8">
        <w:rPr>
          <w:strike/>
          <w:lang w:val="de-DE"/>
        </w:rPr>
        <w:t>Kaaden</w:t>
      </w:r>
      <w:proofErr w:type="spellEnd"/>
      <w:r w:rsidR="007C27B8" w:rsidRPr="007C27B8">
        <w:rPr>
          <w:strike/>
          <w:lang w:val="de-DE"/>
        </w:rPr>
        <w:t>, 2002</w:t>
      </w:r>
      <w:r w:rsidRPr="009544AD">
        <w:t xml:space="preserve">). Restriction enzyme analysis of viral DNA allows isolates </w:t>
      </w:r>
      <w:r w:rsidR="00863293" w:rsidRPr="009544AD">
        <w:t>to be compared</w:t>
      </w:r>
      <w:r w:rsidRPr="009544AD">
        <w:t>. However, no major differences from the vaccine strain have so far been demonstrated (</w:t>
      </w:r>
      <w:proofErr w:type="spellStart"/>
      <w:r w:rsidR="00FB0BA9" w:rsidRPr="009544AD">
        <w:t>Wernery</w:t>
      </w:r>
      <w:proofErr w:type="spellEnd"/>
      <w:r w:rsidR="00FB0BA9" w:rsidRPr="009544AD">
        <w:t xml:space="preserve"> </w:t>
      </w:r>
      <w:r w:rsidR="00D4764B" w:rsidRPr="009544AD">
        <w:rPr>
          <w:i/>
        </w:rPr>
        <w:t>et al</w:t>
      </w:r>
      <w:r w:rsidR="00FB0BA9" w:rsidRPr="009544AD">
        <w:t>., 1997a</w:t>
      </w:r>
      <w:r w:rsidRPr="009544AD">
        <w:t>).</w:t>
      </w:r>
    </w:p>
    <w:p w14:paraId="03129F73" w14:textId="098E2741" w:rsidR="00540933" w:rsidRPr="009544AD" w:rsidRDefault="00540933" w:rsidP="008660BD">
      <w:pPr>
        <w:pStyle w:val="paraA0"/>
        <w:spacing w:after="280"/>
      </w:pPr>
      <w:r w:rsidRPr="009544AD">
        <w:t xml:space="preserve">Immunity against </w:t>
      </w:r>
      <w:proofErr w:type="spellStart"/>
      <w:r w:rsidR="0051241D" w:rsidRPr="009544AD">
        <w:t>camelpox</w:t>
      </w:r>
      <w:proofErr w:type="spellEnd"/>
      <w:r w:rsidRPr="009544AD">
        <w:t xml:space="preserve"> is both humoral and cell mediated. The relative importance of these two mechanisms is not fully understood</w:t>
      </w:r>
      <w:r w:rsidR="000A0348" w:rsidRPr="009544AD">
        <w:t>,</w:t>
      </w:r>
      <w:r w:rsidRPr="009544AD">
        <w:t xml:space="preserve"> but it is believed that circulating antibodies do not reflect the immune status of the animal (</w:t>
      </w:r>
      <w:proofErr w:type="spellStart"/>
      <w:r w:rsidR="007C27B8" w:rsidRPr="007C27B8">
        <w:rPr>
          <w:u w:val="double"/>
          <w:lang w:val="de-DE"/>
        </w:rPr>
        <w:t>Wernery</w:t>
      </w:r>
      <w:proofErr w:type="spellEnd"/>
      <w:r w:rsidR="007C27B8" w:rsidRPr="007C27B8">
        <w:rPr>
          <w:u w:val="double"/>
          <w:lang w:val="de-DE"/>
        </w:rPr>
        <w:t xml:space="preserve"> </w:t>
      </w:r>
      <w:r w:rsidR="007C27B8" w:rsidRPr="007C27B8">
        <w:rPr>
          <w:i/>
          <w:u w:val="double"/>
          <w:lang w:val="de-DE"/>
        </w:rPr>
        <w:t>et al.,</w:t>
      </w:r>
      <w:r w:rsidR="007C27B8" w:rsidRPr="007C27B8">
        <w:rPr>
          <w:u w:val="double"/>
          <w:lang w:val="de-DE"/>
        </w:rPr>
        <w:t xml:space="preserve"> 2014</w:t>
      </w:r>
      <w:r w:rsidR="007C27B8" w:rsidRPr="007C27B8">
        <w:rPr>
          <w:strike/>
          <w:lang w:val="de-DE"/>
        </w:rPr>
        <w:t xml:space="preserve"> </w:t>
      </w:r>
      <w:proofErr w:type="spellStart"/>
      <w:r w:rsidR="007C27B8" w:rsidRPr="007C27B8">
        <w:rPr>
          <w:strike/>
          <w:lang w:val="de-DE"/>
        </w:rPr>
        <w:t>Wernery</w:t>
      </w:r>
      <w:proofErr w:type="spellEnd"/>
      <w:r w:rsidR="007C27B8">
        <w:rPr>
          <w:strike/>
          <w:lang w:val="de-DE"/>
        </w:rPr>
        <w:t xml:space="preserve"> </w:t>
      </w:r>
      <w:r w:rsidR="007C27B8" w:rsidRPr="007C27B8">
        <w:rPr>
          <w:strike/>
          <w:lang w:val="de-DE"/>
        </w:rPr>
        <w:t xml:space="preserve">&amp; </w:t>
      </w:r>
      <w:proofErr w:type="spellStart"/>
      <w:r w:rsidR="007C27B8" w:rsidRPr="007C27B8">
        <w:rPr>
          <w:strike/>
          <w:lang w:val="de-DE"/>
        </w:rPr>
        <w:t>Kaaden</w:t>
      </w:r>
      <w:proofErr w:type="spellEnd"/>
      <w:r w:rsidR="007C27B8" w:rsidRPr="007C27B8">
        <w:rPr>
          <w:strike/>
          <w:lang w:val="de-DE"/>
        </w:rPr>
        <w:t>, 2002</w:t>
      </w:r>
      <w:r w:rsidRPr="009544AD">
        <w:t>). Life</w:t>
      </w:r>
      <w:r w:rsidR="000A0348" w:rsidRPr="009544AD">
        <w:t>-</w:t>
      </w:r>
      <w:r w:rsidRPr="009544AD">
        <w:t xml:space="preserve">long immunity follows after natural infection. Live, attenuated vaccine provides protection against the disease for at least </w:t>
      </w:r>
      <w:r w:rsidR="00AC4142" w:rsidRPr="009544AD">
        <w:t>6 </w:t>
      </w:r>
      <w:r w:rsidRPr="009544AD">
        <w:t>years, probably longer (</w:t>
      </w:r>
      <w:proofErr w:type="spellStart"/>
      <w:r w:rsidR="00FB0BA9" w:rsidRPr="009544AD">
        <w:t>Wernery</w:t>
      </w:r>
      <w:proofErr w:type="spellEnd"/>
      <w:r w:rsidR="00FB0BA9" w:rsidRPr="009544AD">
        <w:t xml:space="preserve"> &amp; Zachariah, 1999</w:t>
      </w:r>
      <w:r w:rsidRPr="009544AD">
        <w:t xml:space="preserve">). Inactivated vaccine provides protection for </w:t>
      </w:r>
      <w:r w:rsidR="000A0348" w:rsidRPr="009544AD">
        <w:t>1 </w:t>
      </w:r>
      <w:r w:rsidRPr="009544AD">
        <w:t>year</w:t>
      </w:r>
      <w:r w:rsidR="000A0348" w:rsidRPr="009544AD">
        <w:t xml:space="preserve"> only</w:t>
      </w:r>
      <w:r w:rsidRPr="009544AD">
        <w:t xml:space="preserve">. </w:t>
      </w:r>
    </w:p>
    <w:p w14:paraId="7C7BB180" w14:textId="628E886F" w:rsidR="007038DA" w:rsidRPr="009544AD" w:rsidRDefault="007038DA" w:rsidP="008660BD">
      <w:pPr>
        <w:pStyle w:val="paraA0"/>
        <w:spacing w:after="520"/>
      </w:pPr>
      <w:r w:rsidRPr="009544AD">
        <w:t xml:space="preserve">The </w:t>
      </w:r>
      <w:proofErr w:type="spellStart"/>
      <w:r w:rsidRPr="009544AD">
        <w:t>camelpox</w:t>
      </w:r>
      <w:proofErr w:type="spellEnd"/>
      <w:r w:rsidRPr="009544AD">
        <w:t xml:space="preserve"> virus is very host </w:t>
      </w:r>
      <w:r w:rsidR="00932609" w:rsidRPr="009544AD">
        <w:t>specific</w:t>
      </w:r>
      <w:r w:rsidRPr="009544AD">
        <w:t xml:space="preserve"> and does not infect other animal species, including cattle</w:t>
      </w:r>
      <w:r w:rsidR="009C23C2" w:rsidRPr="009544AD">
        <w:t>,</w:t>
      </w:r>
      <w:r w:rsidRPr="009544AD">
        <w:t xml:space="preserve"> sheep and goats. </w:t>
      </w:r>
      <w:r w:rsidR="0004027F" w:rsidRPr="009544AD">
        <w:t>Several cases in humans have been described (</w:t>
      </w:r>
      <w:proofErr w:type="spellStart"/>
      <w:r w:rsidR="0004027F" w:rsidRPr="009544AD">
        <w:t>Kritz</w:t>
      </w:r>
      <w:proofErr w:type="spellEnd"/>
      <w:r w:rsidR="0004027F" w:rsidRPr="009544AD">
        <w:t>, 1982); the most recent from India (</w:t>
      </w:r>
      <w:proofErr w:type="spellStart"/>
      <w:r w:rsidR="0004027F" w:rsidRPr="009544AD">
        <w:t>Bera</w:t>
      </w:r>
      <w:proofErr w:type="spellEnd"/>
      <w:r w:rsidR="0004027F" w:rsidRPr="009544AD">
        <w:t xml:space="preserve"> </w:t>
      </w:r>
      <w:r w:rsidR="0004027F" w:rsidRPr="009544AD">
        <w:rPr>
          <w:i/>
        </w:rPr>
        <w:t>et al.</w:t>
      </w:r>
      <w:r w:rsidR="0004027F" w:rsidRPr="009544AD">
        <w:t xml:space="preserve">, 2011) with clinical manifestations such as papules, vesicles, ulceration and finally scabs on fingers and hands. However, such cases and even milder human infections seem to be rare illustrating that </w:t>
      </w:r>
      <w:proofErr w:type="spellStart"/>
      <w:r w:rsidR="0004027F" w:rsidRPr="009544AD">
        <w:t>camelpox</w:t>
      </w:r>
      <w:proofErr w:type="spellEnd"/>
      <w:r w:rsidR="0004027F" w:rsidRPr="009544AD">
        <w:t xml:space="preserve"> is of limited public health importance.</w:t>
      </w:r>
      <w:r w:rsidR="0085567D">
        <w:t xml:space="preserve"> </w:t>
      </w:r>
      <w:proofErr w:type="spellStart"/>
      <w:r w:rsidR="007C3E3C" w:rsidRPr="009544AD">
        <w:t>Camelpox</w:t>
      </w:r>
      <w:proofErr w:type="spellEnd"/>
      <w:r w:rsidR="007C3E3C" w:rsidRPr="009544AD">
        <w:t xml:space="preserve"> virus </w:t>
      </w:r>
      <w:r w:rsidR="007C3E3C" w:rsidRPr="003530E4">
        <w:rPr>
          <w:strike/>
        </w:rPr>
        <w:t xml:space="preserve">is classed in Risk Group 2 for human infection and </w:t>
      </w:r>
      <w:r w:rsidR="007C3E3C" w:rsidRPr="009544AD">
        <w:t xml:space="preserve">should be handled with appropriate </w:t>
      </w:r>
      <w:r w:rsidR="00EB2B62" w:rsidRPr="003530E4">
        <w:rPr>
          <w:u w:val="double"/>
        </w:rPr>
        <w:t xml:space="preserve">biosafety and </w:t>
      </w:r>
      <w:r w:rsidR="00E52C66" w:rsidRPr="003530E4">
        <w:rPr>
          <w:u w:val="double"/>
        </w:rPr>
        <w:t>biocontainment</w:t>
      </w:r>
      <w:r w:rsidR="00E52C66" w:rsidRPr="009544AD">
        <w:t xml:space="preserve"> </w:t>
      </w:r>
      <w:r w:rsidR="007C3E3C" w:rsidRPr="009544AD">
        <w:t xml:space="preserve">measures as </w:t>
      </w:r>
      <w:r w:rsidR="00075399" w:rsidRPr="003530E4">
        <w:rPr>
          <w:u w:val="double"/>
        </w:rPr>
        <w:t xml:space="preserve">determined by </w:t>
      </w:r>
      <w:proofErr w:type="spellStart"/>
      <w:r w:rsidR="00075399" w:rsidRPr="003530E4">
        <w:rPr>
          <w:u w:val="double"/>
        </w:rPr>
        <w:t>biorisk</w:t>
      </w:r>
      <w:proofErr w:type="spellEnd"/>
      <w:r w:rsidR="00075399" w:rsidRPr="003530E4">
        <w:rPr>
          <w:u w:val="double"/>
        </w:rPr>
        <w:t xml:space="preserve"> analysis</w:t>
      </w:r>
      <w:r w:rsidR="00075399">
        <w:t xml:space="preserve"> </w:t>
      </w:r>
      <w:r w:rsidR="007C3E3C" w:rsidRPr="003530E4">
        <w:rPr>
          <w:strike/>
        </w:rPr>
        <w:t>described in</w:t>
      </w:r>
      <w:r w:rsidR="003530E4" w:rsidRPr="003530E4">
        <w:rPr>
          <w:strike/>
        </w:rPr>
        <w:t xml:space="preserve"> </w:t>
      </w:r>
      <w:r w:rsidR="00075399" w:rsidRPr="003530E4">
        <w:rPr>
          <w:u w:val="double"/>
        </w:rPr>
        <w:t>(see</w:t>
      </w:r>
      <w:r w:rsidR="007C3E3C" w:rsidRPr="009544AD">
        <w:t xml:space="preserve"> Chapter 1.1.</w:t>
      </w:r>
      <w:r w:rsidR="000417E2">
        <w:t>4</w:t>
      </w:r>
      <w:r w:rsidR="007C3E3C" w:rsidRPr="009544AD">
        <w:t xml:space="preserve"> </w:t>
      </w:r>
      <w:r w:rsidR="000417E2" w:rsidRPr="000417E2">
        <w:rPr>
          <w:i/>
          <w:lang w:val="en-IE"/>
        </w:rPr>
        <w:t xml:space="preserve">Biosafety and biosecurity: </w:t>
      </w:r>
      <w:r w:rsidR="000417E2" w:rsidRPr="000417E2">
        <w:rPr>
          <w:i/>
          <w:iCs/>
        </w:rPr>
        <w:t>Standard for managing biological risk in the veterinary laboratory and animal facilities</w:t>
      </w:r>
      <w:r w:rsidR="00263BCB" w:rsidRPr="003530E4">
        <w:rPr>
          <w:iCs/>
          <w:u w:val="double"/>
        </w:rPr>
        <w:t>)</w:t>
      </w:r>
      <w:r w:rsidR="007C3E3C" w:rsidRPr="000417E2">
        <w:rPr>
          <w:i/>
        </w:rPr>
        <w:t>.</w:t>
      </w:r>
      <w:r w:rsidR="007C3E3C" w:rsidRPr="009544AD">
        <w:t xml:space="preserve"> </w:t>
      </w:r>
      <w:r w:rsidR="007C3E3C" w:rsidRPr="003530E4">
        <w:rPr>
          <w:strike/>
        </w:rPr>
        <w:t>Biocontainment measures should be determined by risk analysis as described in Chapter 1.1.</w:t>
      </w:r>
      <w:r w:rsidR="000417E2" w:rsidRPr="003530E4">
        <w:rPr>
          <w:strike/>
        </w:rPr>
        <w:t>4</w:t>
      </w:r>
      <w:r w:rsidR="007C3E3C" w:rsidRPr="003530E4">
        <w:rPr>
          <w:i/>
          <w:strike/>
        </w:rPr>
        <w:t>.</w:t>
      </w:r>
      <w:r w:rsidR="007C3E3C" w:rsidRPr="009544AD">
        <w:rPr>
          <w:i/>
        </w:rPr>
        <w:t xml:space="preserve"> </w:t>
      </w:r>
    </w:p>
    <w:p w14:paraId="30557A95" w14:textId="77777777" w:rsidR="00755B6A" w:rsidRPr="009544AD" w:rsidRDefault="00755B6A">
      <w:pPr>
        <w:pStyle w:val="A0"/>
      </w:pPr>
      <w:r w:rsidRPr="009544AD">
        <w:t>B.  DIAGNOSTIC TECHNIQUES</w:t>
      </w:r>
    </w:p>
    <w:p w14:paraId="5A4C7314" w14:textId="77777777" w:rsidR="00C60511" w:rsidRPr="009544AD" w:rsidRDefault="00C60511" w:rsidP="00C60511">
      <w:pPr>
        <w:pStyle w:val="A0"/>
        <w:spacing w:after="120"/>
        <w:rPr>
          <w:rFonts w:cs="Arial"/>
          <w:i/>
          <w:sz w:val="18"/>
          <w:szCs w:val="18"/>
        </w:rPr>
      </w:pPr>
      <w:r w:rsidRPr="009544AD">
        <w:rPr>
          <w:rFonts w:cs="Arial"/>
          <w:i/>
          <w:sz w:val="18"/>
          <w:szCs w:val="18"/>
        </w:rPr>
        <w:t xml:space="preserve">Table 1. </w:t>
      </w:r>
      <w:r w:rsidRPr="009544AD">
        <w:rPr>
          <w:rFonts w:cs="Arial"/>
          <w:b w:val="0"/>
          <w:i/>
          <w:sz w:val="18"/>
          <w:szCs w:val="18"/>
        </w:rPr>
        <w:t>Test methods available</w:t>
      </w:r>
      <w:r w:rsidR="00A65D7B" w:rsidRPr="009544AD">
        <w:rPr>
          <w:rFonts w:cs="Arial"/>
          <w:b w:val="0"/>
          <w:i/>
          <w:sz w:val="18"/>
          <w:szCs w:val="18"/>
        </w:rPr>
        <w:t xml:space="preserve"> for the diagnosis of </w:t>
      </w:r>
      <w:proofErr w:type="spellStart"/>
      <w:r w:rsidR="00A65D7B" w:rsidRPr="009544AD">
        <w:rPr>
          <w:rFonts w:cs="Arial"/>
          <w:b w:val="0"/>
          <w:i/>
          <w:sz w:val="18"/>
          <w:szCs w:val="18"/>
        </w:rPr>
        <w:t>camelpox</w:t>
      </w:r>
      <w:proofErr w:type="spellEnd"/>
      <w:r w:rsidRPr="009544AD">
        <w:rPr>
          <w:rFonts w:cs="Arial"/>
          <w:b w:val="0"/>
          <w:i/>
          <w:sz w:val="18"/>
          <w:szCs w:val="18"/>
        </w:rPr>
        <w:t xml:space="preserve"> and their purpose</w:t>
      </w:r>
    </w:p>
    <w:tbl>
      <w:tblPr>
        <w:tblStyle w:val="Grilledutableau"/>
        <w:tblW w:w="0" w:type="auto"/>
        <w:tblLayout w:type="fixed"/>
        <w:tblLook w:val="04A0" w:firstRow="1" w:lastRow="0" w:firstColumn="1" w:lastColumn="0" w:noHBand="0" w:noVBand="1"/>
      </w:tblPr>
      <w:tblGrid>
        <w:gridCol w:w="1668"/>
        <w:gridCol w:w="1134"/>
        <w:gridCol w:w="1417"/>
        <w:gridCol w:w="1134"/>
        <w:gridCol w:w="1134"/>
        <w:gridCol w:w="1276"/>
        <w:gridCol w:w="1524"/>
      </w:tblGrid>
      <w:tr w:rsidR="00C60511" w:rsidRPr="009544AD" w14:paraId="3FC79892" w14:textId="77777777" w:rsidTr="005B28AB">
        <w:trPr>
          <w:tblHeader/>
        </w:trPr>
        <w:tc>
          <w:tcPr>
            <w:tcW w:w="1668" w:type="dxa"/>
            <w:vMerge w:val="restart"/>
            <w:vAlign w:val="center"/>
          </w:tcPr>
          <w:p w14:paraId="41E7B503" w14:textId="77777777"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t>Method</w:t>
            </w:r>
          </w:p>
        </w:tc>
        <w:tc>
          <w:tcPr>
            <w:tcW w:w="7619" w:type="dxa"/>
            <w:gridSpan w:val="6"/>
            <w:vAlign w:val="center"/>
          </w:tcPr>
          <w:p w14:paraId="7117F965" w14:textId="77777777"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t>Purpose</w:t>
            </w:r>
          </w:p>
        </w:tc>
      </w:tr>
      <w:tr w:rsidR="00C60511" w:rsidRPr="009544AD" w14:paraId="5E3F4EDD" w14:textId="77777777" w:rsidTr="005B28AB">
        <w:trPr>
          <w:tblHeader/>
        </w:trPr>
        <w:tc>
          <w:tcPr>
            <w:tcW w:w="1668" w:type="dxa"/>
            <w:vMerge/>
            <w:vAlign w:val="center"/>
          </w:tcPr>
          <w:p w14:paraId="6734DCB2" w14:textId="77777777" w:rsidR="00C60511" w:rsidRPr="009544AD" w:rsidRDefault="00C60511" w:rsidP="0074226F">
            <w:pPr>
              <w:pStyle w:val="A0"/>
              <w:spacing w:before="80" w:after="80"/>
              <w:outlineLvl w:val="0"/>
              <w:rPr>
                <w:rFonts w:ascii="Arial" w:hAnsi="Arial" w:cs="Arial"/>
                <w:sz w:val="16"/>
                <w:szCs w:val="16"/>
              </w:rPr>
            </w:pPr>
          </w:p>
        </w:tc>
        <w:tc>
          <w:tcPr>
            <w:tcW w:w="1134" w:type="dxa"/>
            <w:vAlign w:val="center"/>
          </w:tcPr>
          <w:p w14:paraId="720399B0"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Population freedom from infection</w:t>
            </w:r>
          </w:p>
        </w:tc>
        <w:tc>
          <w:tcPr>
            <w:tcW w:w="1417" w:type="dxa"/>
            <w:vAlign w:val="center"/>
          </w:tcPr>
          <w:p w14:paraId="0F2BECE7"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Individual animal freedom from infection</w:t>
            </w:r>
            <w:r w:rsidR="00217569" w:rsidRPr="009544AD">
              <w:rPr>
                <w:rFonts w:ascii="Arial" w:hAnsi="Arial" w:cs="Arial"/>
                <w:b w:val="0"/>
                <w:sz w:val="16"/>
                <w:szCs w:val="16"/>
              </w:rPr>
              <w:t xml:space="preserve"> prior to movement</w:t>
            </w:r>
          </w:p>
        </w:tc>
        <w:tc>
          <w:tcPr>
            <w:tcW w:w="1134" w:type="dxa"/>
            <w:vAlign w:val="center"/>
          </w:tcPr>
          <w:p w14:paraId="232C060E" w14:textId="1B8E1D51" w:rsidR="00C60511" w:rsidRPr="009544AD" w:rsidRDefault="000E4C47" w:rsidP="0074226F">
            <w:pPr>
              <w:pStyle w:val="A0"/>
              <w:spacing w:before="80" w:after="80"/>
              <w:rPr>
                <w:rFonts w:ascii="Arial" w:hAnsi="Arial" w:cs="Arial"/>
                <w:b w:val="0"/>
                <w:sz w:val="16"/>
                <w:szCs w:val="16"/>
              </w:rPr>
            </w:pPr>
            <w:r>
              <w:rPr>
                <w:rFonts w:ascii="Arial" w:hAnsi="Arial" w:cs="Arial"/>
                <w:b w:val="0"/>
                <w:sz w:val="16"/>
                <w:szCs w:val="16"/>
              </w:rPr>
              <w:t>Contribute</w:t>
            </w:r>
            <w:r w:rsidR="000C3AEE" w:rsidRPr="009544AD">
              <w:rPr>
                <w:rFonts w:ascii="Arial" w:hAnsi="Arial" w:cs="Arial"/>
                <w:b w:val="0"/>
                <w:sz w:val="16"/>
                <w:szCs w:val="16"/>
              </w:rPr>
              <w:t xml:space="preserve"> to</w:t>
            </w:r>
            <w:r w:rsidR="008E4B69" w:rsidRPr="00732AC8">
              <w:rPr>
                <w:rStyle w:val="Appelnotedebasdep"/>
                <w:rFonts w:ascii="Arial" w:hAnsi="Arial" w:cs="Arial"/>
                <w:b w:val="0"/>
                <w:sz w:val="16"/>
                <w:highlight w:val="yellow"/>
              </w:rPr>
              <w:footnoteReference w:id="2"/>
            </w:r>
            <w:r w:rsidR="00C60511" w:rsidRPr="009544AD">
              <w:rPr>
                <w:rFonts w:ascii="Arial" w:hAnsi="Arial" w:cs="Arial"/>
                <w:b w:val="0"/>
                <w:sz w:val="16"/>
                <w:szCs w:val="16"/>
              </w:rPr>
              <w:t xml:space="preserve"> eradication policies</w:t>
            </w:r>
          </w:p>
        </w:tc>
        <w:tc>
          <w:tcPr>
            <w:tcW w:w="1134" w:type="dxa"/>
            <w:vAlign w:val="center"/>
          </w:tcPr>
          <w:p w14:paraId="6AF0FA09"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Confirmation of clinical cases</w:t>
            </w:r>
          </w:p>
        </w:tc>
        <w:tc>
          <w:tcPr>
            <w:tcW w:w="1276" w:type="dxa"/>
            <w:vAlign w:val="center"/>
          </w:tcPr>
          <w:p w14:paraId="39B518E4" w14:textId="7963D4CF"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 xml:space="preserve">Prevalence of infection </w:t>
            </w:r>
            <w:r w:rsidR="005B28AB" w:rsidRPr="009544AD">
              <w:rPr>
                <w:rFonts w:ascii="Arial" w:hAnsi="Arial" w:cs="Arial"/>
                <w:b w:val="0"/>
                <w:sz w:val="16"/>
                <w:szCs w:val="16"/>
              </w:rPr>
              <w:t>–</w:t>
            </w:r>
            <w:r w:rsidRPr="009544AD">
              <w:rPr>
                <w:rFonts w:ascii="Arial" w:hAnsi="Arial" w:cs="Arial"/>
                <w:b w:val="0"/>
                <w:sz w:val="16"/>
                <w:szCs w:val="16"/>
              </w:rPr>
              <w:t>surveillance</w:t>
            </w:r>
          </w:p>
        </w:tc>
        <w:tc>
          <w:tcPr>
            <w:tcW w:w="1524" w:type="dxa"/>
            <w:vAlign w:val="center"/>
          </w:tcPr>
          <w:p w14:paraId="7388B2C6"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Immune status in individual animals or populations post-vaccination</w:t>
            </w:r>
          </w:p>
        </w:tc>
      </w:tr>
      <w:tr w:rsidR="005B28AB" w:rsidRPr="009544AD" w14:paraId="4A5E77E4" w14:textId="77777777" w:rsidTr="00771ECF">
        <w:tc>
          <w:tcPr>
            <w:tcW w:w="9287" w:type="dxa"/>
            <w:gridSpan w:val="7"/>
            <w:shd w:val="pct10" w:color="auto" w:fill="auto"/>
            <w:vAlign w:val="center"/>
          </w:tcPr>
          <w:p w14:paraId="0D427A67" w14:textId="77777777" w:rsidR="005B28AB" w:rsidRPr="00027048" w:rsidRDefault="005B28AB" w:rsidP="0074226F">
            <w:pPr>
              <w:pStyle w:val="A0"/>
              <w:spacing w:before="80" w:after="80"/>
              <w:rPr>
                <w:rFonts w:ascii="Arial" w:hAnsi="Arial" w:cs="Arial"/>
                <w:b w:val="0"/>
                <w:sz w:val="16"/>
                <w:szCs w:val="16"/>
              </w:rPr>
            </w:pPr>
            <w:r w:rsidRPr="00027048">
              <w:rPr>
                <w:rFonts w:ascii="Arial" w:hAnsi="Arial" w:cs="Arial"/>
                <w:sz w:val="16"/>
                <w:szCs w:val="16"/>
              </w:rPr>
              <w:t>Agent identification</w:t>
            </w:r>
            <w:r w:rsidRPr="00027048">
              <w:rPr>
                <w:rStyle w:val="Appelnotedebasdep"/>
                <w:rFonts w:ascii="Arial" w:hAnsi="Arial" w:cs="Arial"/>
                <w:sz w:val="16"/>
                <w:szCs w:val="16"/>
              </w:rPr>
              <w:footnoteReference w:id="3"/>
            </w:r>
          </w:p>
        </w:tc>
      </w:tr>
      <w:tr w:rsidR="00C60511" w:rsidRPr="009544AD" w14:paraId="0F50A702" w14:textId="77777777" w:rsidTr="005B28AB">
        <w:tc>
          <w:tcPr>
            <w:tcW w:w="1668" w:type="dxa"/>
            <w:vAlign w:val="center"/>
          </w:tcPr>
          <w:p w14:paraId="3DC154B8" w14:textId="77777777"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t>TEM</w:t>
            </w:r>
          </w:p>
        </w:tc>
        <w:tc>
          <w:tcPr>
            <w:tcW w:w="1134" w:type="dxa"/>
            <w:vAlign w:val="center"/>
          </w:tcPr>
          <w:p w14:paraId="3CDBE7EB"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417" w:type="dxa"/>
            <w:vAlign w:val="center"/>
          </w:tcPr>
          <w:p w14:paraId="5B5CEA60"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134" w:type="dxa"/>
            <w:vAlign w:val="center"/>
          </w:tcPr>
          <w:p w14:paraId="16985412" w14:textId="51374815" w:rsidR="00C60511" w:rsidRPr="008E4B69" w:rsidRDefault="00991347" w:rsidP="0074226F">
            <w:pPr>
              <w:pStyle w:val="A0"/>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w:t>
            </w:r>
            <w:r w:rsidR="007C3E3C" w:rsidRPr="008E4B69">
              <w:rPr>
                <w:rFonts w:ascii="Arial" w:hAnsi="Arial" w:cs="Arial"/>
                <w:b w:val="0"/>
                <w:strike/>
                <w:sz w:val="16"/>
                <w:szCs w:val="16"/>
                <w:highlight w:val="yellow"/>
              </w:rPr>
              <w:t>n/a</w:t>
            </w:r>
          </w:p>
        </w:tc>
        <w:tc>
          <w:tcPr>
            <w:tcW w:w="1134" w:type="dxa"/>
            <w:vAlign w:val="center"/>
          </w:tcPr>
          <w:p w14:paraId="6CDDFF4B"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276" w:type="dxa"/>
            <w:vAlign w:val="center"/>
          </w:tcPr>
          <w:p w14:paraId="1B97C866"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524" w:type="dxa"/>
            <w:vAlign w:val="center"/>
          </w:tcPr>
          <w:p w14:paraId="28EFB71D"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r>
      <w:tr w:rsidR="00C60511" w:rsidRPr="009544AD" w14:paraId="7836E134" w14:textId="77777777" w:rsidTr="005B28AB">
        <w:tc>
          <w:tcPr>
            <w:tcW w:w="1668" w:type="dxa"/>
            <w:vAlign w:val="center"/>
          </w:tcPr>
          <w:p w14:paraId="2423B88B" w14:textId="77777777"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t>Virus isolation in cell culture</w:t>
            </w:r>
          </w:p>
        </w:tc>
        <w:tc>
          <w:tcPr>
            <w:tcW w:w="1134" w:type="dxa"/>
            <w:vAlign w:val="center"/>
          </w:tcPr>
          <w:p w14:paraId="096B648C"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417" w:type="dxa"/>
            <w:vAlign w:val="center"/>
          </w:tcPr>
          <w:p w14:paraId="77FCFD3D"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134" w:type="dxa"/>
            <w:vAlign w:val="center"/>
          </w:tcPr>
          <w:p w14:paraId="3F8BF7B5" w14:textId="67CE5809" w:rsidR="00C60511" w:rsidRPr="008E4B69" w:rsidRDefault="00991347" w:rsidP="0074226F">
            <w:pPr>
              <w:pStyle w:val="A0"/>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n/a</w:t>
            </w:r>
          </w:p>
        </w:tc>
        <w:tc>
          <w:tcPr>
            <w:tcW w:w="1134" w:type="dxa"/>
            <w:vAlign w:val="center"/>
          </w:tcPr>
          <w:p w14:paraId="77AABFFB"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276" w:type="dxa"/>
            <w:vAlign w:val="center"/>
          </w:tcPr>
          <w:p w14:paraId="6C93E93B"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524" w:type="dxa"/>
            <w:vAlign w:val="center"/>
          </w:tcPr>
          <w:p w14:paraId="01676FC1"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r>
      <w:tr w:rsidR="00C60511" w:rsidRPr="009544AD" w14:paraId="31BFC0E1" w14:textId="77777777" w:rsidTr="005B28AB">
        <w:tc>
          <w:tcPr>
            <w:tcW w:w="1668" w:type="dxa"/>
            <w:tcBorders>
              <w:bottom w:val="single" w:sz="4" w:space="0" w:color="auto"/>
            </w:tcBorders>
            <w:vAlign w:val="center"/>
          </w:tcPr>
          <w:p w14:paraId="6C6A7A88" w14:textId="2445B94F"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t xml:space="preserve">Virus isolation on </w:t>
            </w:r>
            <w:r w:rsidR="00030E20" w:rsidRPr="00DD5373">
              <w:rPr>
                <w:rFonts w:ascii="Arial" w:hAnsi="Arial" w:cs="Arial"/>
                <w:sz w:val="16"/>
                <w:szCs w:val="16"/>
                <w:highlight w:val="yellow"/>
                <w:u w:val="double"/>
              </w:rPr>
              <w:t>CAM</w:t>
            </w:r>
            <w:r w:rsidR="00DD5373" w:rsidRPr="00DD5373">
              <w:rPr>
                <w:rFonts w:ascii="Arial" w:hAnsi="Arial" w:cs="Arial"/>
                <w:sz w:val="16"/>
                <w:szCs w:val="16"/>
                <w:highlight w:val="yellow"/>
              </w:rPr>
              <w:t xml:space="preserve"> </w:t>
            </w:r>
            <w:proofErr w:type="spellStart"/>
            <w:r w:rsidRPr="00DD5373">
              <w:rPr>
                <w:rFonts w:ascii="Arial" w:hAnsi="Arial" w:cs="Arial"/>
                <w:strike/>
                <w:sz w:val="16"/>
                <w:szCs w:val="16"/>
                <w:highlight w:val="yellow"/>
              </w:rPr>
              <w:t>chorioallantoic</w:t>
            </w:r>
            <w:proofErr w:type="spellEnd"/>
            <w:r w:rsidRPr="00DD5373">
              <w:rPr>
                <w:rFonts w:ascii="Arial" w:hAnsi="Arial" w:cs="Arial"/>
                <w:strike/>
                <w:sz w:val="16"/>
                <w:szCs w:val="16"/>
                <w:highlight w:val="yellow"/>
              </w:rPr>
              <w:t xml:space="preserve"> membrane of embryonated chicken eggs</w:t>
            </w:r>
          </w:p>
        </w:tc>
        <w:tc>
          <w:tcPr>
            <w:tcW w:w="1134" w:type="dxa"/>
            <w:tcBorders>
              <w:bottom w:val="single" w:sz="4" w:space="0" w:color="auto"/>
            </w:tcBorders>
            <w:vAlign w:val="center"/>
          </w:tcPr>
          <w:p w14:paraId="4BEB9556"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417" w:type="dxa"/>
            <w:tcBorders>
              <w:bottom w:val="single" w:sz="4" w:space="0" w:color="auto"/>
            </w:tcBorders>
            <w:vAlign w:val="center"/>
          </w:tcPr>
          <w:p w14:paraId="27CCEDAB"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134" w:type="dxa"/>
            <w:tcBorders>
              <w:bottom w:val="single" w:sz="4" w:space="0" w:color="auto"/>
            </w:tcBorders>
            <w:vAlign w:val="center"/>
          </w:tcPr>
          <w:p w14:paraId="7BC68266" w14:textId="0C700FB5" w:rsidR="00C60511" w:rsidRPr="008E4B69" w:rsidRDefault="00991347" w:rsidP="0074226F">
            <w:pPr>
              <w:pStyle w:val="A0"/>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n/a</w:t>
            </w:r>
          </w:p>
        </w:tc>
        <w:tc>
          <w:tcPr>
            <w:tcW w:w="1134" w:type="dxa"/>
            <w:tcBorders>
              <w:bottom w:val="single" w:sz="4" w:space="0" w:color="auto"/>
            </w:tcBorders>
            <w:vAlign w:val="center"/>
          </w:tcPr>
          <w:p w14:paraId="098575A0"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276" w:type="dxa"/>
            <w:tcBorders>
              <w:bottom w:val="single" w:sz="4" w:space="0" w:color="auto"/>
            </w:tcBorders>
            <w:vAlign w:val="center"/>
          </w:tcPr>
          <w:p w14:paraId="5FFE2442"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524" w:type="dxa"/>
            <w:tcBorders>
              <w:bottom w:val="single" w:sz="4" w:space="0" w:color="auto"/>
            </w:tcBorders>
            <w:vAlign w:val="center"/>
          </w:tcPr>
          <w:p w14:paraId="33C1ED77"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r>
      <w:tr w:rsidR="00C60511" w:rsidRPr="009544AD" w14:paraId="21E29B28" w14:textId="77777777" w:rsidTr="005B28AB">
        <w:tc>
          <w:tcPr>
            <w:tcW w:w="1668" w:type="dxa"/>
            <w:vAlign w:val="center"/>
          </w:tcPr>
          <w:p w14:paraId="245738A1" w14:textId="77777777"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t>Immuno-histochemistry</w:t>
            </w:r>
          </w:p>
        </w:tc>
        <w:tc>
          <w:tcPr>
            <w:tcW w:w="1134" w:type="dxa"/>
            <w:vAlign w:val="center"/>
          </w:tcPr>
          <w:p w14:paraId="41243781"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417" w:type="dxa"/>
            <w:vAlign w:val="center"/>
          </w:tcPr>
          <w:p w14:paraId="2572207D"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134" w:type="dxa"/>
            <w:vAlign w:val="center"/>
          </w:tcPr>
          <w:p w14:paraId="26551FF9" w14:textId="12725129" w:rsidR="00C60511" w:rsidRPr="008E4B69" w:rsidRDefault="00991347" w:rsidP="0074226F">
            <w:pPr>
              <w:pStyle w:val="A0"/>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n/a</w:t>
            </w:r>
          </w:p>
        </w:tc>
        <w:tc>
          <w:tcPr>
            <w:tcW w:w="1134" w:type="dxa"/>
            <w:vAlign w:val="center"/>
          </w:tcPr>
          <w:p w14:paraId="2AB84EA7"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276" w:type="dxa"/>
            <w:vAlign w:val="center"/>
          </w:tcPr>
          <w:p w14:paraId="7BAE232C"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524" w:type="dxa"/>
            <w:vAlign w:val="center"/>
          </w:tcPr>
          <w:p w14:paraId="62884C43"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r>
      <w:tr w:rsidR="00C60511" w:rsidRPr="009544AD" w14:paraId="3E455893" w14:textId="77777777" w:rsidTr="005B28AB">
        <w:tc>
          <w:tcPr>
            <w:tcW w:w="1668" w:type="dxa"/>
            <w:vAlign w:val="center"/>
          </w:tcPr>
          <w:p w14:paraId="0D6707D4" w14:textId="77777777"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t>PCR</w:t>
            </w:r>
          </w:p>
        </w:tc>
        <w:tc>
          <w:tcPr>
            <w:tcW w:w="1134" w:type="dxa"/>
            <w:vAlign w:val="center"/>
          </w:tcPr>
          <w:p w14:paraId="44A40FA1"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417" w:type="dxa"/>
            <w:vAlign w:val="center"/>
          </w:tcPr>
          <w:p w14:paraId="64F8757E"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134" w:type="dxa"/>
            <w:vAlign w:val="center"/>
          </w:tcPr>
          <w:p w14:paraId="2AC05318" w14:textId="0DD71C15" w:rsidR="00C60511" w:rsidRPr="008E4B69" w:rsidRDefault="00991347" w:rsidP="0074226F">
            <w:pPr>
              <w:pStyle w:val="A0"/>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n/a</w:t>
            </w:r>
          </w:p>
        </w:tc>
        <w:tc>
          <w:tcPr>
            <w:tcW w:w="1134" w:type="dxa"/>
            <w:vAlign w:val="center"/>
          </w:tcPr>
          <w:p w14:paraId="2F407DE9"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276" w:type="dxa"/>
            <w:vAlign w:val="center"/>
          </w:tcPr>
          <w:p w14:paraId="582B2457"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524" w:type="dxa"/>
            <w:vAlign w:val="center"/>
          </w:tcPr>
          <w:p w14:paraId="0A1E0F80"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r>
      <w:tr w:rsidR="00C60511" w:rsidRPr="009544AD" w14:paraId="79AD3BF2" w14:textId="77777777" w:rsidTr="005B28AB">
        <w:tc>
          <w:tcPr>
            <w:tcW w:w="1668" w:type="dxa"/>
            <w:vAlign w:val="center"/>
          </w:tcPr>
          <w:p w14:paraId="0563C64A" w14:textId="77777777" w:rsidR="00C60511" w:rsidRPr="009544AD" w:rsidRDefault="00C60511" w:rsidP="0074226F">
            <w:pPr>
              <w:pStyle w:val="A0"/>
              <w:spacing w:before="80" w:after="80"/>
              <w:rPr>
                <w:rFonts w:ascii="Arial" w:hAnsi="Arial" w:cs="Arial"/>
                <w:sz w:val="16"/>
                <w:szCs w:val="16"/>
              </w:rPr>
            </w:pPr>
            <w:r w:rsidRPr="009544AD">
              <w:rPr>
                <w:rFonts w:ascii="Arial" w:hAnsi="Arial" w:cs="Arial"/>
                <w:sz w:val="16"/>
                <w:szCs w:val="16"/>
              </w:rPr>
              <w:lastRenderedPageBreak/>
              <w:t>Real-time PCR</w:t>
            </w:r>
          </w:p>
        </w:tc>
        <w:tc>
          <w:tcPr>
            <w:tcW w:w="1134" w:type="dxa"/>
            <w:vAlign w:val="center"/>
          </w:tcPr>
          <w:p w14:paraId="5FBAB1EA"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417" w:type="dxa"/>
            <w:vAlign w:val="center"/>
          </w:tcPr>
          <w:p w14:paraId="18483E38"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134" w:type="dxa"/>
            <w:vAlign w:val="center"/>
          </w:tcPr>
          <w:p w14:paraId="2687A683" w14:textId="5DF55352" w:rsidR="00C60511" w:rsidRPr="008E4B69" w:rsidRDefault="00991347" w:rsidP="0074226F">
            <w:pPr>
              <w:pStyle w:val="A0"/>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n/a</w:t>
            </w:r>
          </w:p>
        </w:tc>
        <w:tc>
          <w:tcPr>
            <w:tcW w:w="1134" w:type="dxa"/>
            <w:vAlign w:val="center"/>
          </w:tcPr>
          <w:p w14:paraId="3D0BC3F6"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276" w:type="dxa"/>
            <w:vAlign w:val="center"/>
          </w:tcPr>
          <w:p w14:paraId="07697C14"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c>
          <w:tcPr>
            <w:tcW w:w="1524" w:type="dxa"/>
            <w:vAlign w:val="center"/>
          </w:tcPr>
          <w:p w14:paraId="74C9B838" w14:textId="77777777" w:rsidR="00C60511" w:rsidRPr="009544AD" w:rsidRDefault="00C60511" w:rsidP="0074226F">
            <w:pPr>
              <w:pStyle w:val="A0"/>
              <w:spacing w:before="80" w:after="80"/>
              <w:rPr>
                <w:rFonts w:ascii="Arial" w:hAnsi="Arial" w:cs="Arial"/>
                <w:b w:val="0"/>
                <w:sz w:val="16"/>
                <w:szCs w:val="16"/>
              </w:rPr>
            </w:pPr>
            <w:r w:rsidRPr="009544AD">
              <w:rPr>
                <w:rFonts w:ascii="Arial" w:hAnsi="Arial" w:cs="Arial"/>
                <w:b w:val="0"/>
                <w:sz w:val="16"/>
                <w:szCs w:val="16"/>
              </w:rPr>
              <w:t>–</w:t>
            </w:r>
          </w:p>
        </w:tc>
      </w:tr>
      <w:tr w:rsidR="005B28AB" w:rsidRPr="009544AD" w14:paraId="75BC6492" w14:textId="77777777" w:rsidTr="00771ECF">
        <w:tc>
          <w:tcPr>
            <w:tcW w:w="9287" w:type="dxa"/>
            <w:gridSpan w:val="7"/>
            <w:shd w:val="pct10" w:color="auto" w:fill="auto"/>
            <w:vAlign w:val="center"/>
          </w:tcPr>
          <w:p w14:paraId="665F6BEE" w14:textId="5DCEC04F" w:rsidR="005B28AB" w:rsidRPr="00A21E85" w:rsidRDefault="005B28AB" w:rsidP="0074226F">
            <w:pPr>
              <w:pStyle w:val="A0"/>
              <w:keepNext/>
              <w:spacing w:before="80" w:after="80"/>
              <w:rPr>
                <w:rFonts w:ascii="Arial" w:hAnsi="Arial" w:cs="Arial"/>
                <w:b w:val="0"/>
                <w:sz w:val="16"/>
                <w:szCs w:val="16"/>
              </w:rPr>
            </w:pPr>
            <w:r w:rsidRPr="00A21E85">
              <w:rPr>
                <w:rFonts w:ascii="Arial" w:hAnsi="Arial" w:cs="Arial"/>
                <w:sz w:val="16"/>
                <w:szCs w:val="16"/>
              </w:rPr>
              <w:t>Detection of immune response</w:t>
            </w:r>
          </w:p>
        </w:tc>
      </w:tr>
      <w:tr w:rsidR="00C60511" w:rsidRPr="009544AD" w14:paraId="22FD372B" w14:textId="77777777" w:rsidTr="005B28AB">
        <w:tc>
          <w:tcPr>
            <w:tcW w:w="1668" w:type="dxa"/>
            <w:vAlign w:val="center"/>
          </w:tcPr>
          <w:p w14:paraId="05E199A5" w14:textId="77777777" w:rsidR="00C60511" w:rsidRPr="009544AD" w:rsidRDefault="00C60511" w:rsidP="0074226F">
            <w:pPr>
              <w:pStyle w:val="A0"/>
              <w:keepNext/>
              <w:spacing w:before="80" w:after="80"/>
              <w:rPr>
                <w:rFonts w:ascii="Arial" w:hAnsi="Arial" w:cs="Arial"/>
                <w:sz w:val="16"/>
                <w:szCs w:val="16"/>
              </w:rPr>
            </w:pPr>
            <w:r w:rsidRPr="009544AD">
              <w:rPr>
                <w:rFonts w:ascii="Arial" w:hAnsi="Arial" w:cs="Arial"/>
                <w:sz w:val="16"/>
                <w:szCs w:val="16"/>
              </w:rPr>
              <w:t>ELISA</w:t>
            </w:r>
          </w:p>
        </w:tc>
        <w:tc>
          <w:tcPr>
            <w:tcW w:w="1134" w:type="dxa"/>
            <w:vAlign w:val="center"/>
          </w:tcPr>
          <w:p w14:paraId="3AD0039E"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417" w:type="dxa"/>
            <w:vAlign w:val="center"/>
          </w:tcPr>
          <w:p w14:paraId="59279279"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134" w:type="dxa"/>
            <w:vAlign w:val="center"/>
          </w:tcPr>
          <w:p w14:paraId="5E2B1022" w14:textId="2FB6806B" w:rsidR="00C60511" w:rsidRPr="008E4B69" w:rsidRDefault="00991347" w:rsidP="0074226F">
            <w:pPr>
              <w:pStyle w:val="A0"/>
              <w:keepNext/>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n/a</w:t>
            </w:r>
          </w:p>
        </w:tc>
        <w:tc>
          <w:tcPr>
            <w:tcW w:w="1134" w:type="dxa"/>
            <w:vAlign w:val="center"/>
          </w:tcPr>
          <w:p w14:paraId="3516E2EF"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276" w:type="dxa"/>
            <w:vAlign w:val="center"/>
          </w:tcPr>
          <w:p w14:paraId="4A0CCAF5"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524" w:type="dxa"/>
            <w:vAlign w:val="center"/>
          </w:tcPr>
          <w:p w14:paraId="67D2F490"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r>
      <w:tr w:rsidR="00C60511" w:rsidRPr="009544AD" w14:paraId="02568715" w14:textId="77777777" w:rsidTr="005B28AB">
        <w:tc>
          <w:tcPr>
            <w:tcW w:w="1668" w:type="dxa"/>
            <w:vAlign w:val="center"/>
          </w:tcPr>
          <w:p w14:paraId="673A33F3" w14:textId="77777777" w:rsidR="00C60511" w:rsidRPr="009544AD" w:rsidRDefault="00C60511" w:rsidP="0074226F">
            <w:pPr>
              <w:pStyle w:val="A0"/>
              <w:keepNext/>
              <w:spacing w:before="80" w:after="80"/>
              <w:rPr>
                <w:rFonts w:ascii="Arial" w:hAnsi="Arial" w:cs="Arial"/>
                <w:sz w:val="16"/>
                <w:szCs w:val="16"/>
              </w:rPr>
            </w:pPr>
            <w:r w:rsidRPr="009544AD">
              <w:rPr>
                <w:rFonts w:ascii="Arial" w:hAnsi="Arial" w:cs="Arial"/>
                <w:sz w:val="16"/>
                <w:szCs w:val="16"/>
              </w:rPr>
              <w:t>Virus neutralisation</w:t>
            </w:r>
          </w:p>
        </w:tc>
        <w:tc>
          <w:tcPr>
            <w:tcW w:w="1134" w:type="dxa"/>
            <w:vAlign w:val="center"/>
          </w:tcPr>
          <w:p w14:paraId="3EE7EE7C"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417" w:type="dxa"/>
            <w:vAlign w:val="center"/>
          </w:tcPr>
          <w:p w14:paraId="62B4D287"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134" w:type="dxa"/>
            <w:vAlign w:val="center"/>
          </w:tcPr>
          <w:p w14:paraId="4DFD69D2" w14:textId="1BCE1239" w:rsidR="00C60511" w:rsidRPr="008E4B69" w:rsidRDefault="00991347" w:rsidP="0074226F">
            <w:pPr>
              <w:pStyle w:val="A0"/>
              <w:keepNext/>
              <w:spacing w:before="80" w:after="80"/>
              <w:rPr>
                <w:rFonts w:ascii="Arial" w:hAnsi="Arial" w:cs="Arial"/>
                <w:b w:val="0"/>
                <w:sz w:val="16"/>
                <w:szCs w:val="16"/>
                <w:highlight w:val="yellow"/>
              </w:rPr>
            </w:pPr>
            <w:r w:rsidRPr="008E4B69">
              <w:rPr>
                <w:rFonts w:ascii="Arial" w:hAnsi="Arial" w:cs="Arial"/>
                <w:b w:val="0"/>
                <w:sz w:val="16"/>
                <w:szCs w:val="16"/>
                <w:highlight w:val="yellow"/>
                <w:u w:val="double"/>
              </w:rPr>
              <w:t>–</w:t>
            </w:r>
            <w:r w:rsidRPr="008E4B69">
              <w:rPr>
                <w:rFonts w:ascii="Arial" w:hAnsi="Arial" w:cs="Arial"/>
                <w:b w:val="0"/>
                <w:strike/>
                <w:sz w:val="16"/>
                <w:szCs w:val="16"/>
                <w:highlight w:val="yellow"/>
              </w:rPr>
              <w:t xml:space="preserve"> n/a</w:t>
            </w:r>
          </w:p>
        </w:tc>
        <w:tc>
          <w:tcPr>
            <w:tcW w:w="1134" w:type="dxa"/>
            <w:vAlign w:val="center"/>
          </w:tcPr>
          <w:p w14:paraId="0DD182E5"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276" w:type="dxa"/>
            <w:vAlign w:val="center"/>
          </w:tcPr>
          <w:p w14:paraId="39974A5B"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c>
          <w:tcPr>
            <w:tcW w:w="1524" w:type="dxa"/>
            <w:vAlign w:val="center"/>
          </w:tcPr>
          <w:p w14:paraId="7C0C639D" w14:textId="77777777" w:rsidR="00C60511" w:rsidRPr="009544AD" w:rsidRDefault="00C60511" w:rsidP="0074226F">
            <w:pPr>
              <w:pStyle w:val="A0"/>
              <w:keepNext/>
              <w:spacing w:before="80" w:after="80"/>
              <w:rPr>
                <w:rFonts w:ascii="Arial" w:hAnsi="Arial" w:cs="Arial"/>
                <w:b w:val="0"/>
                <w:sz w:val="16"/>
                <w:szCs w:val="16"/>
              </w:rPr>
            </w:pPr>
            <w:r w:rsidRPr="009544AD">
              <w:rPr>
                <w:rFonts w:ascii="Arial" w:hAnsi="Arial" w:cs="Arial"/>
                <w:b w:val="0"/>
                <w:sz w:val="16"/>
                <w:szCs w:val="16"/>
              </w:rPr>
              <w:t>+++</w:t>
            </w:r>
          </w:p>
        </w:tc>
      </w:tr>
    </w:tbl>
    <w:p w14:paraId="3BEB62BD" w14:textId="3274DEDF" w:rsidR="00C60511" w:rsidRPr="009544AD" w:rsidRDefault="00991347" w:rsidP="00991347">
      <w:pPr>
        <w:pStyle w:val="paraA0"/>
        <w:spacing w:before="120"/>
        <w:jc w:val="center"/>
        <w:rPr>
          <w:b/>
          <w:sz w:val="16"/>
          <w:szCs w:val="16"/>
          <w:lang w:val="en-IE"/>
        </w:rPr>
      </w:pPr>
      <w:r w:rsidRPr="00340631">
        <w:rPr>
          <w:color w:val="000000"/>
          <w:sz w:val="16"/>
          <w:szCs w:val="16"/>
        </w:rPr>
        <w:t xml:space="preserve">Key: +++ = recommended </w:t>
      </w:r>
      <w:r w:rsidRPr="00340631">
        <w:rPr>
          <w:color w:val="000000"/>
          <w:sz w:val="16"/>
          <w:szCs w:val="16"/>
          <w:u w:val="double"/>
        </w:rPr>
        <w:t>for this purpose</w:t>
      </w:r>
      <w:r w:rsidRPr="00340631">
        <w:rPr>
          <w:strike/>
          <w:color w:val="000000"/>
          <w:sz w:val="16"/>
          <w:szCs w:val="16"/>
        </w:rPr>
        <w:t xml:space="preserve"> method</w:t>
      </w:r>
      <w:r w:rsidRPr="00340631">
        <w:rPr>
          <w:color w:val="000000"/>
          <w:sz w:val="16"/>
          <w:szCs w:val="16"/>
        </w:rPr>
        <w:t xml:space="preserve">; ++ </w:t>
      </w:r>
      <w:r w:rsidRPr="00340631">
        <w:rPr>
          <w:color w:val="000000"/>
          <w:sz w:val="16"/>
          <w:szCs w:val="16"/>
          <w:u w:val="double"/>
        </w:rPr>
        <w:t>recommended but has limitations</w:t>
      </w:r>
      <w:r w:rsidRPr="00340631">
        <w:rPr>
          <w:strike/>
          <w:color w:val="000000"/>
          <w:sz w:val="16"/>
          <w:szCs w:val="16"/>
        </w:rPr>
        <w:t xml:space="preserve"> suitable method</w:t>
      </w:r>
      <w:r w:rsidRPr="00340631">
        <w:rPr>
          <w:color w:val="000000"/>
          <w:sz w:val="16"/>
          <w:szCs w:val="16"/>
        </w:rPr>
        <w:t xml:space="preserve">; </w:t>
      </w:r>
      <w:r w:rsidRPr="00340631">
        <w:rPr>
          <w:color w:val="000000"/>
          <w:sz w:val="16"/>
          <w:szCs w:val="16"/>
        </w:rPr>
        <w:br/>
        <w:t xml:space="preserve">+ = </w:t>
      </w:r>
      <w:r w:rsidRPr="00340631">
        <w:rPr>
          <w:color w:val="000000"/>
          <w:sz w:val="16"/>
          <w:szCs w:val="16"/>
          <w:u w:val="double"/>
        </w:rPr>
        <w:t>suitable in very limited circumstances</w:t>
      </w:r>
      <w:r w:rsidRPr="00340631">
        <w:rPr>
          <w:strike/>
          <w:color w:val="000000"/>
          <w:sz w:val="16"/>
          <w:szCs w:val="16"/>
        </w:rPr>
        <w:t xml:space="preserve"> may be used </w:t>
      </w:r>
      <w:r w:rsidRPr="00340631">
        <w:rPr>
          <w:strike/>
          <w:sz w:val="16"/>
          <w:szCs w:val="16"/>
        </w:rPr>
        <w:t>in some situations, but cost, reliability, or other factors severely limits its application</w:t>
      </w:r>
      <w:r w:rsidRPr="00340631">
        <w:rPr>
          <w:sz w:val="16"/>
          <w:szCs w:val="16"/>
        </w:rPr>
        <w:t xml:space="preserve">; </w:t>
      </w:r>
      <w:r w:rsidRPr="00340631">
        <w:rPr>
          <w:color w:val="000000"/>
          <w:sz w:val="16"/>
          <w:szCs w:val="16"/>
        </w:rPr>
        <w:t>– = not appropriate for this purpose</w:t>
      </w:r>
      <w:r w:rsidRPr="00340631">
        <w:rPr>
          <w:strike/>
          <w:color w:val="000000"/>
          <w:sz w:val="16"/>
          <w:szCs w:val="16"/>
        </w:rPr>
        <w:t>; n/a = not applicable</w:t>
      </w:r>
      <w:r w:rsidRPr="00340631">
        <w:rPr>
          <w:color w:val="000000"/>
          <w:sz w:val="16"/>
          <w:szCs w:val="16"/>
        </w:rPr>
        <w:t>.</w:t>
      </w:r>
      <w:r w:rsidRPr="00340631">
        <w:rPr>
          <w:color w:val="000000"/>
          <w:sz w:val="16"/>
          <w:szCs w:val="16"/>
        </w:rPr>
        <w:br/>
      </w:r>
      <w:r w:rsidRPr="00340631">
        <w:rPr>
          <w:strike/>
          <w:sz w:val="16"/>
          <w:szCs w:val="16"/>
          <w:lang w:val="en-IE"/>
        </w:rPr>
        <w:t>Although not all of the tests listed as category +++ or ++ have undergone formal validation, their routine nature and the fact that they have been used widely without dubious results, makes them acceptable.</w:t>
      </w:r>
      <w:r w:rsidR="00C60511" w:rsidRPr="009544AD">
        <w:rPr>
          <w:sz w:val="16"/>
          <w:szCs w:val="16"/>
        </w:rPr>
        <w:t>.</w:t>
      </w:r>
      <w:r w:rsidR="00C60511" w:rsidRPr="009544AD">
        <w:rPr>
          <w:sz w:val="16"/>
          <w:szCs w:val="16"/>
        </w:rPr>
        <w:br/>
      </w:r>
      <w:r w:rsidR="00C60511" w:rsidRPr="009544AD">
        <w:rPr>
          <w:bCs/>
          <w:sz w:val="16"/>
          <w:szCs w:val="16"/>
        </w:rPr>
        <w:t xml:space="preserve">TEM: </w:t>
      </w:r>
      <w:r w:rsidR="009607AB">
        <w:rPr>
          <w:bCs/>
          <w:sz w:val="16"/>
          <w:szCs w:val="16"/>
        </w:rPr>
        <w:t xml:space="preserve">= </w:t>
      </w:r>
      <w:r w:rsidR="00C60511" w:rsidRPr="009544AD">
        <w:rPr>
          <w:bCs/>
          <w:sz w:val="16"/>
          <w:szCs w:val="16"/>
        </w:rPr>
        <w:t>Transmission electron microscopy;</w:t>
      </w:r>
      <w:r w:rsidR="00C60511" w:rsidRPr="009544AD">
        <w:rPr>
          <w:sz w:val="16"/>
          <w:szCs w:val="16"/>
        </w:rPr>
        <w:t xml:space="preserve"> PCR = polymerase chain reaction; ELISA = enzyme-linked immunosorbent assay</w:t>
      </w:r>
      <w:r w:rsidR="00D86A24">
        <w:rPr>
          <w:sz w:val="16"/>
          <w:szCs w:val="16"/>
        </w:rPr>
        <w:t xml:space="preserve">; </w:t>
      </w:r>
      <w:r w:rsidR="00D86A24" w:rsidRPr="00DD5373">
        <w:rPr>
          <w:sz w:val="16"/>
          <w:szCs w:val="16"/>
          <w:highlight w:val="yellow"/>
          <w:u w:val="double"/>
        </w:rPr>
        <w:t>CAM</w:t>
      </w:r>
      <w:r w:rsidR="00AC3039" w:rsidRPr="00DD5373">
        <w:rPr>
          <w:sz w:val="16"/>
          <w:szCs w:val="16"/>
          <w:highlight w:val="yellow"/>
          <w:u w:val="double"/>
        </w:rPr>
        <w:t xml:space="preserve"> = </w:t>
      </w:r>
      <w:proofErr w:type="spellStart"/>
      <w:r w:rsidR="00AC3039" w:rsidRPr="00DD5373">
        <w:rPr>
          <w:sz w:val="16"/>
          <w:szCs w:val="16"/>
          <w:highlight w:val="yellow"/>
          <w:u w:val="double"/>
        </w:rPr>
        <w:t>chorioallantoic</w:t>
      </w:r>
      <w:proofErr w:type="spellEnd"/>
      <w:r w:rsidR="00AC3039" w:rsidRPr="00DD5373">
        <w:rPr>
          <w:sz w:val="16"/>
          <w:szCs w:val="16"/>
          <w:highlight w:val="yellow"/>
          <w:u w:val="double"/>
        </w:rPr>
        <w:t xml:space="preserve"> membrane of embryonated chicken eggs</w:t>
      </w:r>
      <w:r w:rsidR="00C60511" w:rsidRPr="009544AD">
        <w:rPr>
          <w:sz w:val="16"/>
          <w:szCs w:val="16"/>
        </w:rPr>
        <w:t>.</w:t>
      </w:r>
    </w:p>
    <w:p w14:paraId="5037D39C" w14:textId="77777777" w:rsidR="00540933" w:rsidRPr="009544AD" w:rsidRDefault="00540933" w:rsidP="009C23C2">
      <w:pPr>
        <w:pStyle w:val="paraA0"/>
      </w:pPr>
      <w:r w:rsidRPr="009544AD">
        <w:t>During the vir</w:t>
      </w:r>
      <w:r w:rsidR="000B7EAE" w:rsidRPr="009544AD">
        <w:t>a</w:t>
      </w:r>
      <w:r w:rsidRPr="009544AD">
        <w:t xml:space="preserve">emic stage of the disease (within the first week of the occurrence of clinical signs) </w:t>
      </w:r>
      <w:proofErr w:type="spellStart"/>
      <w:r w:rsidRPr="009544AD">
        <w:t>camelpox</w:t>
      </w:r>
      <w:proofErr w:type="spellEnd"/>
      <w:r w:rsidRPr="009544AD">
        <w:t xml:space="preserve"> virus can be isolated </w:t>
      </w:r>
      <w:r w:rsidR="004E4D73" w:rsidRPr="009544AD">
        <w:t>in</w:t>
      </w:r>
      <w:r w:rsidRPr="009544AD">
        <w:t xml:space="preserve"> cell culture from heparini</w:t>
      </w:r>
      <w:r w:rsidR="001B3C8D" w:rsidRPr="009544AD">
        <w:t>s</w:t>
      </w:r>
      <w:r w:rsidRPr="009544AD">
        <w:t>ed blood samples</w:t>
      </w:r>
      <w:r w:rsidR="004E4D73" w:rsidRPr="009544AD">
        <w:t>,</w:t>
      </w:r>
      <w:r w:rsidRPr="009544AD">
        <w:t xml:space="preserve"> or viral DNA can be detected by the </w:t>
      </w:r>
      <w:r w:rsidR="004E4D73" w:rsidRPr="009544AD">
        <w:t>polymerase chain reaction (</w:t>
      </w:r>
      <w:r w:rsidRPr="009544AD">
        <w:t>PCR</w:t>
      </w:r>
      <w:r w:rsidR="004E4D73" w:rsidRPr="009544AD">
        <w:t>)</w:t>
      </w:r>
      <w:r w:rsidRPr="009544AD">
        <w:t xml:space="preserve"> from blood in EDTA (ethylene diamine tetra-acetic acid). The blood samples should be collected in a sterile </w:t>
      </w:r>
      <w:r w:rsidR="00EB6981" w:rsidRPr="009544AD">
        <w:t>manner</w:t>
      </w:r>
      <w:r w:rsidRPr="009544AD">
        <w:t xml:space="preserve"> by venepuncture. Blood </w:t>
      </w:r>
      <w:r w:rsidR="00905D52" w:rsidRPr="009544AD">
        <w:t>samples</w:t>
      </w:r>
      <w:r w:rsidR="001E494B" w:rsidRPr="009544AD">
        <w:t>,</w:t>
      </w:r>
      <w:r w:rsidR="00905D52" w:rsidRPr="009544AD">
        <w:t xml:space="preserve"> </w:t>
      </w:r>
      <w:r w:rsidRPr="009544AD">
        <w:t>with anticoagulant</w:t>
      </w:r>
      <w:r w:rsidR="00905D52" w:rsidRPr="009544AD">
        <w:t xml:space="preserve"> for virus isolation from the buffy coat, </w:t>
      </w:r>
      <w:r w:rsidRPr="009544AD">
        <w:t>should be</w:t>
      </w:r>
      <w:r w:rsidR="00905D52" w:rsidRPr="009544AD">
        <w:t xml:space="preserve"> placed immediately on ice and processed as soon as possible. In practice, the samples</w:t>
      </w:r>
      <w:r w:rsidRPr="009544AD">
        <w:t xml:space="preserve"> can be kept at </w:t>
      </w:r>
      <w:smartTag w:uri="urn:schemas-microsoft-com:office:smarttags" w:element="metricconverter">
        <w:smartTagPr>
          <w:attr w:name="ProductID" w:val="4ﾰC"/>
        </w:smartTagPr>
        <w:r w:rsidRPr="009544AD">
          <w:t>4</w:t>
        </w:r>
        <w:r w:rsidR="00033DAE" w:rsidRPr="009544AD">
          <w:t>°C</w:t>
        </w:r>
      </w:smartTag>
      <w:r w:rsidRPr="009544AD">
        <w:t xml:space="preserve"> for up to </w:t>
      </w:r>
      <w:r w:rsidR="00C9551C" w:rsidRPr="009544AD">
        <w:t>2 </w:t>
      </w:r>
      <w:r w:rsidRPr="009544AD">
        <w:t>days</w:t>
      </w:r>
      <w:r w:rsidR="00905D52" w:rsidRPr="009544AD">
        <w:t xml:space="preserve"> prior to processing, but sh</w:t>
      </w:r>
      <w:r w:rsidR="001E494B" w:rsidRPr="009544AD">
        <w:t>o</w:t>
      </w:r>
      <w:r w:rsidR="00905D52" w:rsidRPr="009544AD">
        <w:t>uld not be frozen</w:t>
      </w:r>
      <w:r w:rsidR="001E494B" w:rsidRPr="009544AD">
        <w:t xml:space="preserve"> </w:t>
      </w:r>
      <w:r w:rsidR="00905D52" w:rsidRPr="009544AD">
        <w:t xml:space="preserve">or kept at ambient temperatures. </w:t>
      </w:r>
    </w:p>
    <w:p w14:paraId="08BDF78B" w14:textId="6F7F3294" w:rsidR="00540933" w:rsidRPr="009544AD" w:rsidRDefault="00540933" w:rsidP="00A74211">
      <w:pPr>
        <w:pStyle w:val="paraA0"/>
      </w:pPr>
      <w:r w:rsidRPr="009544AD">
        <w:t xml:space="preserve">Blood obtained for serum samples should be collected in plain tubes with no anticoagulant. The blood tubes should be left to stand at room temperature for </w:t>
      </w:r>
      <w:r w:rsidR="00A74211" w:rsidRPr="009544AD">
        <w:t xml:space="preserve">4–8 </w:t>
      </w:r>
      <w:r w:rsidRPr="009544AD">
        <w:t>hours until the clot begins to contract</w:t>
      </w:r>
      <w:r w:rsidR="004E4D73" w:rsidRPr="009544AD">
        <w:t>,</w:t>
      </w:r>
      <w:r w:rsidRPr="009544AD">
        <w:t xml:space="preserve"> after which the blood is centrifuged at 100</w:t>
      </w:r>
      <w:r w:rsidR="002D4688" w:rsidRPr="009544AD">
        <w:t>0 </w:t>
      </w:r>
      <w:r w:rsidRPr="009544AD">
        <w:rPr>
          <w:b/>
          <w:bCs/>
          <w:i/>
          <w:iCs/>
        </w:rPr>
        <w:t>g</w:t>
      </w:r>
      <w:r w:rsidRPr="009544AD">
        <w:t xml:space="preserve"> for 10</w:t>
      </w:r>
      <w:r w:rsidR="00635BE5" w:rsidRPr="009544AD">
        <w:t>–</w:t>
      </w:r>
      <w:r w:rsidRPr="009544AD">
        <w:t>1</w:t>
      </w:r>
      <w:r w:rsidR="00AC4142" w:rsidRPr="009544AD">
        <w:t>5 </w:t>
      </w:r>
      <w:r w:rsidRPr="009544AD">
        <w:t>minutes. Separated serum can be collected with a pipette and held at 4</w:t>
      </w:r>
      <w:r w:rsidR="00033DAE" w:rsidRPr="009544AD">
        <w:t>°C</w:t>
      </w:r>
      <w:r w:rsidRPr="009544AD">
        <w:t xml:space="preserve"> for a shor</w:t>
      </w:r>
      <w:r w:rsidR="00635BE5" w:rsidRPr="009544AD">
        <w:t>t period of time or stored at –</w:t>
      </w:r>
      <w:r w:rsidRPr="009544AD">
        <w:t>20</w:t>
      </w:r>
      <w:r w:rsidR="00033DAE" w:rsidRPr="009544AD">
        <w:t>°C</w:t>
      </w:r>
      <w:r w:rsidRPr="009544AD">
        <w:t>.</w:t>
      </w:r>
    </w:p>
    <w:p w14:paraId="7ACE4A3D" w14:textId="4CCF8115" w:rsidR="00540933" w:rsidRPr="009544AD" w:rsidRDefault="00540933">
      <w:pPr>
        <w:pStyle w:val="paraA0"/>
      </w:pPr>
      <w:r w:rsidRPr="009544AD">
        <w:t xml:space="preserve">A minimum </w:t>
      </w:r>
      <w:r w:rsidR="004E4D73" w:rsidRPr="009544AD">
        <w:t xml:space="preserve">of </w:t>
      </w:r>
      <w:smartTag w:uri="urn:schemas-microsoft-com:office:smarttags" w:element="metricconverter">
        <w:smartTagPr>
          <w:attr w:name="ProductID" w:val="2ﾠg"/>
        </w:smartTagPr>
        <w:r w:rsidR="00C9551C" w:rsidRPr="009544AD">
          <w:t>2 </w:t>
        </w:r>
        <w:r w:rsidRPr="009544AD">
          <w:t>g</w:t>
        </w:r>
      </w:smartTag>
      <w:r w:rsidRPr="009544AD">
        <w:t xml:space="preserve"> of tissue from skin biopsies and organs should be collected for virus isolation and histopathology</w:t>
      </w:r>
      <w:r w:rsidR="00E32D1C" w:rsidRPr="009544AD">
        <w:t>.</w:t>
      </w:r>
      <w:r w:rsidR="00E32D1C">
        <w:t xml:space="preserve"> </w:t>
      </w:r>
      <w:r w:rsidR="00E32D1C" w:rsidRPr="006F23FD">
        <w:rPr>
          <w:u w:val="double"/>
        </w:rPr>
        <w:t>Scabs from different locations of the body are also suitable for virus isolation and histopathology. They should be transported without additives in plain tubes.</w:t>
      </w:r>
      <w:r w:rsidR="00E32D1C">
        <w:t xml:space="preserve"> </w:t>
      </w:r>
      <w:r w:rsidRPr="009544AD">
        <w:t>For the PCR</w:t>
      </w:r>
      <w:r w:rsidR="004E4D73" w:rsidRPr="009544AD">
        <w:t>,</w:t>
      </w:r>
      <w:r w:rsidRPr="009544AD">
        <w:t xml:space="preserve"> approximately 30</w:t>
      </w:r>
      <w:r w:rsidR="004E4D73" w:rsidRPr="009544AD">
        <w:t>–</w:t>
      </w:r>
      <w:r w:rsidRPr="009544AD">
        <w:t>5</w:t>
      </w:r>
      <w:r w:rsidR="002D4688" w:rsidRPr="009544AD">
        <w:t>0 </w:t>
      </w:r>
      <w:r w:rsidRPr="009544AD">
        <w:t xml:space="preserve">mg of tissue sample should be placed in a cryotube or </w:t>
      </w:r>
      <w:r w:rsidR="00EB6981" w:rsidRPr="009544AD">
        <w:t>similar</w:t>
      </w:r>
      <w:r w:rsidRPr="009544AD">
        <w:t xml:space="preserve"> container</w:t>
      </w:r>
      <w:r w:rsidR="004E4D73" w:rsidRPr="009544AD">
        <w:t>,</w:t>
      </w:r>
      <w:r w:rsidRPr="009544AD">
        <w:t xml:space="preserve"> kept at </w:t>
      </w:r>
      <w:smartTag w:uri="urn:schemas-microsoft-com:office:smarttags" w:element="metricconverter">
        <w:smartTagPr>
          <w:attr w:name="ProductID" w:val="4ﾰC"/>
        </w:smartTagPr>
        <w:r w:rsidRPr="009544AD">
          <w:t>4</w:t>
        </w:r>
        <w:r w:rsidR="00033DAE" w:rsidRPr="009544AD">
          <w:t>°C</w:t>
        </w:r>
      </w:smartTag>
      <w:r w:rsidRPr="009544AD">
        <w:t xml:space="preserve"> for transportation and stored at </w:t>
      </w:r>
      <w:r w:rsidR="0086603E" w:rsidRPr="009544AD">
        <w:t>–</w:t>
      </w:r>
      <w:r w:rsidRPr="009544AD">
        <w:t>20</w:t>
      </w:r>
      <w:r w:rsidR="00033DAE" w:rsidRPr="009544AD">
        <w:t>°C</w:t>
      </w:r>
      <w:r w:rsidRPr="009544AD">
        <w:t xml:space="preserve"> until processed. Tissue samples collected for virus</w:t>
      </w:r>
      <w:r w:rsidR="004E4D73" w:rsidRPr="009544AD">
        <w:t xml:space="preserve"> isolation should be placed in</w:t>
      </w:r>
      <w:r w:rsidRPr="009544AD">
        <w:t xml:space="preserve"> a virus transport medium, such as Tris-buffered </w:t>
      </w:r>
      <w:proofErr w:type="spellStart"/>
      <w:r w:rsidRPr="009544AD">
        <w:t>tryptose</w:t>
      </w:r>
      <w:proofErr w:type="spellEnd"/>
      <w:r w:rsidRPr="009544AD">
        <w:t xml:space="preserve"> broth</w:t>
      </w:r>
      <w:r w:rsidR="00A74211" w:rsidRPr="009544AD">
        <w:t xml:space="preserve"> or </w:t>
      </w:r>
      <w:r w:rsidR="00E23A25" w:rsidRPr="009544AD">
        <w:t>minimal essential medium</w:t>
      </w:r>
      <w:r w:rsidR="00A74211" w:rsidRPr="009544AD">
        <w:t xml:space="preserve"> (MEM) without </w:t>
      </w:r>
      <w:proofErr w:type="spellStart"/>
      <w:r w:rsidR="00A74211" w:rsidRPr="009544AD">
        <w:t>f</w:t>
      </w:r>
      <w:r w:rsidR="0003458D" w:rsidRPr="009544AD">
        <w:t>e</w:t>
      </w:r>
      <w:r w:rsidR="00A74211" w:rsidRPr="009544AD">
        <w:t>tal</w:t>
      </w:r>
      <w:proofErr w:type="spellEnd"/>
      <w:r w:rsidR="00A74211" w:rsidRPr="009544AD">
        <w:t xml:space="preserve"> calf serum (FCS)</w:t>
      </w:r>
      <w:r w:rsidR="004E4D73" w:rsidRPr="009544AD">
        <w:t>,</w:t>
      </w:r>
      <w:r w:rsidRPr="009544AD">
        <w:t xml:space="preserve"> kept at </w:t>
      </w:r>
      <w:smartTag w:uri="urn:schemas-microsoft-com:office:smarttags" w:element="metricconverter">
        <w:smartTagPr>
          <w:attr w:name="ProductID" w:val="4ﾰC"/>
        </w:smartTagPr>
        <w:r w:rsidRPr="009544AD">
          <w:t>4</w:t>
        </w:r>
        <w:r w:rsidR="00033DAE" w:rsidRPr="009544AD">
          <w:t>°C</w:t>
        </w:r>
      </w:smartTag>
      <w:r w:rsidRPr="009544AD">
        <w:t xml:space="preserve"> for transportation and stored at </w:t>
      </w:r>
      <w:r w:rsidR="0086603E" w:rsidRPr="009544AD">
        <w:t>–</w:t>
      </w:r>
      <w:r w:rsidRPr="009544AD">
        <w:t>80</w:t>
      </w:r>
      <w:r w:rsidR="00033DAE" w:rsidRPr="009544AD">
        <w:t>°C</w:t>
      </w:r>
      <w:r w:rsidRPr="009544AD">
        <w:t xml:space="preserve"> until processed. </w:t>
      </w:r>
      <w:r w:rsidR="004E4D73" w:rsidRPr="009544AD">
        <w:t>M</w:t>
      </w:r>
      <w:r w:rsidRPr="009544AD">
        <w:t>aterial for histology should be placed immediately after collection into ten times the sample volume of 10</w:t>
      </w:r>
      <w:r w:rsidR="00033DAE" w:rsidRPr="009544AD">
        <w:t>%</w:t>
      </w:r>
      <w:r w:rsidRPr="009544AD">
        <w:t xml:space="preserve"> formalin. The size of the samples should not exceed 0.</w:t>
      </w:r>
      <w:r w:rsidR="00AC4142" w:rsidRPr="009544AD">
        <w:t>5 </w:t>
      </w:r>
      <w:r w:rsidRPr="009544AD">
        <w:t xml:space="preserve">cm </w:t>
      </w:r>
      <w:r w:rsidR="00C9551C" w:rsidRPr="009544AD">
        <w:t>×</w:t>
      </w:r>
      <w:r w:rsidRPr="009544AD">
        <w:t xml:space="preserve"> 1</w:t>
      </w:r>
      <w:r w:rsidR="00C9551C" w:rsidRPr="009544AD">
        <w:t>–2 </w:t>
      </w:r>
      <w:r w:rsidRPr="009544AD">
        <w:t xml:space="preserve">cm. </w:t>
      </w:r>
      <w:r w:rsidR="004E4D73" w:rsidRPr="009544AD">
        <w:t>Sa</w:t>
      </w:r>
      <w:r w:rsidRPr="009544AD">
        <w:t xml:space="preserve">mples in formalin can be transported at room temperature. </w:t>
      </w:r>
    </w:p>
    <w:p w14:paraId="5702EF95" w14:textId="77777777" w:rsidR="00755B6A" w:rsidRPr="009544AD" w:rsidRDefault="00755B6A">
      <w:pPr>
        <w:pStyle w:val="1"/>
      </w:pPr>
      <w:r w:rsidRPr="009544AD">
        <w:t>1.</w:t>
      </w:r>
      <w:r w:rsidRPr="009544AD">
        <w:tab/>
        <w:t>Identification of the agent</w:t>
      </w:r>
    </w:p>
    <w:p w14:paraId="26AE16D9" w14:textId="77777777" w:rsidR="000B312D" w:rsidRPr="009544AD" w:rsidRDefault="00A65D7B" w:rsidP="00A65D7B">
      <w:pPr>
        <w:pStyle w:val="11"/>
      </w:pPr>
      <w:r w:rsidRPr="009544AD">
        <w:t>1.1.</w:t>
      </w:r>
      <w:r w:rsidR="000B312D" w:rsidRPr="009544AD">
        <w:tab/>
        <w:t>Transmission electron microscopy</w:t>
      </w:r>
    </w:p>
    <w:p w14:paraId="7FAF5600" w14:textId="05A478DD" w:rsidR="000B312D" w:rsidRDefault="000B312D" w:rsidP="00A65D7B">
      <w:pPr>
        <w:pStyle w:val="11Para"/>
      </w:pPr>
      <w:r w:rsidRPr="009544AD">
        <w:t xml:space="preserve">TEM is a rapid method to demonstrate </w:t>
      </w:r>
      <w:proofErr w:type="spellStart"/>
      <w:r w:rsidRPr="009544AD">
        <w:t>camelpox</w:t>
      </w:r>
      <w:proofErr w:type="spellEnd"/>
      <w:r w:rsidRPr="009544AD">
        <w:t xml:space="preserve"> virus in scabs or tissue samples. However, a relatively high concentration of virus in the sample is required for positive diagnosis</w:t>
      </w:r>
      <w:r w:rsidR="001E494B" w:rsidRPr="009544AD">
        <w:t xml:space="preserve"> and </w:t>
      </w:r>
      <w:proofErr w:type="spellStart"/>
      <w:r w:rsidR="001E494B" w:rsidRPr="009544AD">
        <w:t>camelpox</w:t>
      </w:r>
      <w:proofErr w:type="spellEnd"/>
      <w:r w:rsidR="001E494B" w:rsidRPr="009544AD">
        <w:t xml:space="preserve"> virus cannot be differentiated from other </w:t>
      </w:r>
      <w:proofErr w:type="spellStart"/>
      <w:r w:rsidR="00066432" w:rsidRPr="009544AD">
        <w:rPr>
          <w:i/>
        </w:rPr>
        <w:t>O</w:t>
      </w:r>
      <w:r w:rsidR="001E494B" w:rsidRPr="009544AD">
        <w:rPr>
          <w:i/>
        </w:rPr>
        <w:t>rthopoxvirus</w:t>
      </w:r>
      <w:proofErr w:type="spellEnd"/>
      <w:r w:rsidR="001E494B" w:rsidRPr="009544AD">
        <w:t xml:space="preserve"> species.</w:t>
      </w:r>
      <w:r w:rsidRPr="009544AD">
        <w:t xml:space="preserve"> </w:t>
      </w:r>
      <w:r w:rsidR="00B35BAA" w:rsidRPr="009544AD">
        <w:t>However, c</w:t>
      </w:r>
      <w:r w:rsidRPr="009544AD">
        <w:t xml:space="preserve">urrently, TEM is the </w:t>
      </w:r>
      <w:r w:rsidRPr="0086775A">
        <w:rPr>
          <w:strike/>
          <w:highlight w:val="yellow"/>
        </w:rPr>
        <w:t xml:space="preserve">best </w:t>
      </w:r>
      <w:r w:rsidR="00F00BE7" w:rsidRPr="0086775A">
        <w:rPr>
          <w:highlight w:val="yellow"/>
          <w:u w:val="double"/>
        </w:rPr>
        <w:t>fastest</w:t>
      </w:r>
      <w:r w:rsidR="00F00BE7">
        <w:t xml:space="preserve"> </w:t>
      </w:r>
      <w:r w:rsidRPr="009544AD">
        <w:t xml:space="preserve">method </w:t>
      </w:r>
      <w:r w:rsidR="00064FCC" w:rsidRPr="009544AD">
        <w:t>for</w:t>
      </w:r>
      <w:r w:rsidRPr="009544AD">
        <w:t xml:space="preserve"> distinguish</w:t>
      </w:r>
      <w:r w:rsidR="00064FCC" w:rsidRPr="009544AD">
        <w:t>ing</w:t>
      </w:r>
      <w:r w:rsidRPr="009544AD">
        <w:t xml:space="preserve"> </w:t>
      </w:r>
      <w:r w:rsidR="00514FAF" w:rsidRPr="009544AD">
        <w:t xml:space="preserve">clinical cases of </w:t>
      </w:r>
      <w:proofErr w:type="spellStart"/>
      <w:r w:rsidR="00514FAF" w:rsidRPr="009544AD">
        <w:t>camelpox</w:t>
      </w:r>
      <w:proofErr w:type="spellEnd"/>
      <w:r w:rsidR="00514FAF" w:rsidRPr="009544AD">
        <w:t xml:space="preserve"> and </w:t>
      </w:r>
      <w:proofErr w:type="spellStart"/>
      <w:r w:rsidR="00514FAF" w:rsidRPr="009544AD">
        <w:t>orf</w:t>
      </w:r>
      <w:proofErr w:type="spellEnd"/>
      <w:r w:rsidR="00514FAF" w:rsidRPr="009544AD">
        <w:t xml:space="preserve"> </w:t>
      </w:r>
      <w:r w:rsidR="00514FAF" w:rsidRPr="0086775A">
        <w:rPr>
          <w:strike/>
          <w:highlight w:val="yellow"/>
        </w:rPr>
        <w:t xml:space="preserve">caused by </w:t>
      </w:r>
      <w:proofErr w:type="spellStart"/>
      <w:r w:rsidR="00514FAF" w:rsidRPr="0086775A">
        <w:rPr>
          <w:strike/>
          <w:highlight w:val="yellow"/>
        </w:rPr>
        <w:t>c</w:t>
      </w:r>
      <w:r w:rsidRPr="0086775A">
        <w:rPr>
          <w:strike/>
          <w:highlight w:val="yellow"/>
        </w:rPr>
        <w:t>amelpox</w:t>
      </w:r>
      <w:proofErr w:type="spellEnd"/>
      <w:r w:rsidR="00514FAF" w:rsidRPr="0086775A">
        <w:rPr>
          <w:strike/>
          <w:highlight w:val="yellow"/>
        </w:rPr>
        <w:t xml:space="preserve"> </w:t>
      </w:r>
      <w:r w:rsidRPr="0086775A">
        <w:rPr>
          <w:strike/>
          <w:highlight w:val="yellow"/>
        </w:rPr>
        <w:t xml:space="preserve">and </w:t>
      </w:r>
      <w:proofErr w:type="spellStart"/>
      <w:r w:rsidRPr="0086775A">
        <w:rPr>
          <w:strike/>
          <w:highlight w:val="yellow"/>
        </w:rPr>
        <w:t>parapox</w:t>
      </w:r>
      <w:proofErr w:type="spellEnd"/>
      <w:r w:rsidRPr="0086775A">
        <w:rPr>
          <w:strike/>
          <w:highlight w:val="yellow"/>
        </w:rPr>
        <w:t xml:space="preserve"> viruses</w:t>
      </w:r>
      <w:r w:rsidR="00066432" w:rsidRPr="0086775A">
        <w:rPr>
          <w:strike/>
          <w:highlight w:val="yellow"/>
        </w:rPr>
        <w:t>,</w:t>
      </w:r>
      <w:r w:rsidR="00514FAF" w:rsidRPr="0086775A">
        <w:rPr>
          <w:strike/>
        </w:rPr>
        <w:t xml:space="preserve"> </w:t>
      </w:r>
      <w:r w:rsidR="00514FAF" w:rsidRPr="009544AD">
        <w:t>respectively</w:t>
      </w:r>
      <w:r w:rsidR="00D364B6" w:rsidRPr="009544AD">
        <w:t>,</w:t>
      </w:r>
      <w:r w:rsidRPr="009544AD">
        <w:t xml:space="preserve"> although the </w:t>
      </w:r>
      <w:r w:rsidR="008105F2" w:rsidRPr="0086775A">
        <w:rPr>
          <w:highlight w:val="yellow"/>
          <w:u w:val="double"/>
        </w:rPr>
        <w:t>pox</w:t>
      </w:r>
      <w:r w:rsidRPr="009544AD">
        <w:t>virus</w:t>
      </w:r>
      <w:r w:rsidRPr="0086775A">
        <w:rPr>
          <w:strike/>
          <w:highlight w:val="yellow"/>
        </w:rPr>
        <w:t>es</w:t>
      </w:r>
      <w:r w:rsidR="008105F2">
        <w:t xml:space="preserve"> </w:t>
      </w:r>
      <w:r w:rsidR="008105F2" w:rsidRPr="0086775A">
        <w:rPr>
          <w:highlight w:val="yellow"/>
          <w:u w:val="double"/>
        </w:rPr>
        <w:t>i</w:t>
      </w:r>
      <w:r w:rsidR="008E5B27" w:rsidRPr="0086775A">
        <w:rPr>
          <w:highlight w:val="yellow"/>
          <w:u w:val="double"/>
        </w:rPr>
        <w:t>nfections</w:t>
      </w:r>
      <w:r w:rsidRPr="009544AD">
        <w:t xml:space="preserve"> can be differentiated by serological techniques and by PCR (</w:t>
      </w:r>
      <w:r w:rsidR="00FB0BA9" w:rsidRPr="009544AD">
        <w:t>Mayer &amp; Czerny, 1990</w:t>
      </w:r>
      <w:r w:rsidRPr="009544AD">
        <w:t xml:space="preserve">). </w:t>
      </w:r>
    </w:p>
    <w:p w14:paraId="04832FAC" w14:textId="5BB5EED1" w:rsidR="00066432" w:rsidRPr="009544AD" w:rsidRDefault="00066432" w:rsidP="00066432">
      <w:pPr>
        <w:pStyle w:val="111"/>
        <w:rPr>
          <w:bCs/>
        </w:rPr>
      </w:pPr>
      <w:bookmarkStart w:id="0" w:name="_Hlk32848014"/>
      <w:r w:rsidRPr="009544AD">
        <w:rPr>
          <w:bCs/>
        </w:rPr>
        <w:t>1.1.1.</w:t>
      </w:r>
      <w:r w:rsidRPr="009544AD">
        <w:rPr>
          <w:bCs/>
        </w:rPr>
        <w:tab/>
        <w:t>Sample preparation</w:t>
      </w:r>
    </w:p>
    <w:bookmarkEnd w:id="0"/>
    <w:p w14:paraId="37C87BBA" w14:textId="13473733" w:rsidR="000B312D" w:rsidRPr="009544AD" w:rsidRDefault="000B312D" w:rsidP="00066432">
      <w:pPr>
        <w:pStyle w:val="111Para"/>
      </w:pPr>
      <w:r w:rsidRPr="009544AD">
        <w:t>The size of a sample should be at least 3</w:t>
      </w:r>
      <w:r w:rsidR="002D4688" w:rsidRPr="009544AD">
        <w:t>0</w:t>
      </w:r>
      <w:r w:rsidR="0086603E" w:rsidRPr="009544AD">
        <w:t>–</w:t>
      </w:r>
      <w:r w:rsidRPr="009544AD">
        <w:t>5</w:t>
      </w:r>
      <w:r w:rsidR="002D4688" w:rsidRPr="009544AD">
        <w:t>0 </w:t>
      </w:r>
      <w:r w:rsidRPr="009544AD">
        <w:t xml:space="preserve">mg. Mince the scabs or tissue sample with a disposable blade or sterile scissors and forceps. Grind the sample in a </w:t>
      </w:r>
      <w:r w:rsidR="0086603E" w:rsidRPr="009544AD">
        <w:t>five</w:t>
      </w:r>
      <w:r w:rsidRPr="009544AD">
        <w:t>-fold volume of phosphate</w:t>
      </w:r>
      <w:r w:rsidR="00066432" w:rsidRPr="009544AD">
        <w:t>-</w:t>
      </w:r>
      <w:r w:rsidRPr="009544AD">
        <w:t xml:space="preserve">buffered saline </w:t>
      </w:r>
      <w:r w:rsidR="006A21B4" w:rsidRPr="009544AD">
        <w:t xml:space="preserve">(PBS) </w:t>
      </w:r>
      <w:r w:rsidRPr="009544AD">
        <w:t>with antibiotics (such as 10</w:t>
      </w:r>
      <w:r w:rsidR="00AC4142" w:rsidRPr="00027048">
        <w:rPr>
          <w:vertAlign w:val="superscript"/>
        </w:rPr>
        <w:t>5 </w:t>
      </w:r>
      <w:r w:rsidRPr="009544AD">
        <w:t>I</w:t>
      </w:r>
      <w:r w:rsidR="00064FCC" w:rsidRPr="009544AD">
        <w:t>nternational Units [I</w:t>
      </w:r>
      <w:r w:rsidRPr="009544AD">
        <w:t>U</w:t>
      </w:r>
      <w:r w:rsidR="00064FCC" w:rsidRPr="009544AD">
        <w:t>]</w:t>
      </w:r>
      <w:r w:rsidRPr="009544AD">
        <w:t xml:space="preserve"> penicillin and 1</w:t>
      </w:r>
      <w:r w:rsidR="002D4688" w:rsidRPr="009544AD">
        <w:t>0 </w:t>
      </w:r>
      <w:r w:rsidRPr="009544AD">
        <w:t xml:space="preserve">mg streptomycin per ml) using </w:t>
      </w:r>
      <w:r w:rsidR="00D91864" w:rsidRPr="009544AD">
        <w:t>a</w:t>
      </w:r>
      <w:r w:rsidRPr="009544AD">
        <w:t xml:space="preserve"> mortar and pestle</w:t>
      </w:r>
      <w:r w:rsidR="00D91864" w:rsidRPr="009544AD">
        <w:t xml:space="preserve"> with sterile sand</w:t>
      </w:r>
      <w:r w:rsidRPr="009544AD">
        <w:t>. Transfer the sample into a centrifuge tube and freeze and thaw two to three times to release the virus from the cells. Vortex the samples while thawing. Place the tubes on ice and sonicate once for 3</w:t>
      </w:r>
      <w:r w:rsidR="002D4688" w:rsidRPr="009544AD">
        <w:t>0 </w:t>
      </w:r>
      <w:r w:rsidRPr="009544AD">
        <w:t>seconds at 8</w:t>
      </w:r>
      <w:r w:rsidR="002D4688" w:rsidRPr="009544AD">
        <w:t>0 </w:t>
      </w:r>
      <w:r w:rsidRPr="009544AD">
        <w:t xml:space="preserve">Hz. Centrifuge at </w:t>
      </w:r>
      <w:smartTag w:uri="urn:schemas-microsoft-com:office:smarttags" w:element="metricconverter">
        <w:smartTagPr>
          <w:attr w:name="ProductID" w:val="1000ﾠg"/>
        </w:smartTagPr>
        <w:r w:rsidRPr="009544AD">
          <w:t>100</w:t>
        </w:r>
        <w:r w:rsidR="002D4688" w:rsidRPr="009544AD">
          <w:t>0 </w:t>
        </w:r>
        <w:r w:rsidRPr="009544AD">
          <w:rPr>
            <w:b/>
            <w:bCs/>
            <w:i/>
            <w:iCs/>
          </w:rPr>
          <w:t>g</w:t>
        </w:r>
      </w:smartTag>
      <w:r w:rsidRPr="009544AD">
        <w:t xml:space="preserve"> for 1</w:t>
      </w:r>
      <w:r w:rsidR="002D4688" w:rsidRPr="009544AD">
        <w:t>0 </w:t>
      </w:r>
      <w:r w:rsidRPr="009544AD">
        <w:t>minutes to remove the gross particles and collect the supernatant (</w:t>
      </w:r>
      <w:r w:rsidR="00FB0BA9" w:rsidRPr="009544AD">
        <w:t xml:space="preserve">Pfeffer </w:t>
      </w:r>
      <w:r w:rsidR="00D4764B" w:rsidRPr="009544AD">
        <w:rPr>
          <w:i/>
        </w:rPr>
        <w:t>et al</w:t>
      </w:r>
      <w:r w:rsidR="00FB0BA9" w:rsidRPr="009544AD">
        <w:t>., 1996</w:t>
      </w:r>
      <w:r w:rsidR="008A2815" w:rsidRPr="009544AD">
        <w:t>;</w:t>
      </w:r>
      <w:r w:rsidRPr="009544AD">
        <w:t xml:space="preserve"> </w:t>
      </w:r>
      <w:r w:rsidR="00FB0BA9" w:rsidRPr="009544AD">
        <w:t>1998b</w:t>
      </w:r>
      <w:r w:rsidRPr="009544AD">
        <w:t>).</w:t>
      </w:r>
    </w:p>
    <w:p w14:paraId="213F68C9" w14:textId="3F765BE5" w:rsidR="000B312D" w:rsidRPr="009544AD" w:rsidRDefault="00A65D7B" w:rsidP="0074226F">
      <w:pPr>
        <w:pStyle w:val="111"/>
        <w:keepNext/>
      </w:pPr>
      <w:r w:rsidRPr="009544AD">
        <w:lastRenderedPageBreak/>
        <w:t>1.1.</w:t>
      </w:r>
      <w:r w:rsidR="00066432" w:rsidRPr="009544AD">
        <w:t>2</w:t>
      </w:r>
      <w:r w:rsidRPr="009544AD">
        <w:t>.</w:t>
      </w:r>
      <w:r w:rsidR="000B312D" w:rsidRPr="009544AD">
        <w:tab/>
      </w:r>
      <w:r w:rsidR="00962187" w:rsidRPr="009544AD">
        <w:t xml:space="preserve">Test </w:t>
      </w:r>
      <w:r w:rsidR="00064FCC" w:rsidRPr="009544AD">
        <w:t>p</w:t>
      </w:r>
      <w:r w:rsidR="00962187" w:rsidRPr="009544AD">
        <w:t>rocedure</w:t>
      </w:r>
    </w:p>
    <w:p w14:paraId="18A3B52C" w14:textId="3158E84F" w:rsidR="000B312D" w:rsidRPr="009544AD" w:rsidRDefault="000B312D" w:rsidP="0074226F">
      <w:pPr>
        <w:pStyle w:val="111Para"/>
        <w:keepLines/>
      </w:pPr>
      <w:r w:rsidRPr="009544AD">
        <w:t>Place 1</w:t>
      </w:r>
      <w:r w:rsidR="002D4688" w:rsidRPr="009544AD">
        <w:t>0 </w:t>
      </w:r>
      <w:r w:rsidRPr="009544AD">
        <w:t>µl of above</w:t>
      </w:r>
      <w:r w:rsidR="00064FCC" w:rsidRPr="009544AD">
        <w:t>-</w:t>
      </w:r>
      <w:r w:rsidRPr="009544AD">
        <w:t xml:space="preserve">mentioned supernatant on poly-L-lysine-covered grids and incubate at room temperature for </w:t>
      </w:r>
      <w:r w:rsidR="00AC4142" w:rsidRPr="009544AD">
        <w:t>5 </w:t>
      </w:r>
      <w:r w:rsidRPr="009544AD">
        <w:t>min</w:t>
      </w:r>
      <w:r w:rsidR="00AC4142" w:rsidRPr="009544AD">
        <w:t>utes</w:t>
      </w:r>
      <w:r w:rsidRPr="009544AD">
        <w:t>. Remove the fluid with a chromatography filter paper. Add one drop of 2</w:t>
      </w:r>
      <w:r w:rsidR="00033DAE" w:rsidRPr="009544AD">
        <w:t>%</w:t>
      </w:r>
      <w:r w:rsidRPr="009544AD">
        <w:t xml:space="preserve"> </w:t>
      </w:r>
      <w:proofErr w:type="spellStart"/>
      <w:r w:rsidRPr="009544AD">
        <w:t>p</w:t>
      </w:r>
      <w:r w:rsidR="00064FCC" w:rsidRPr="009544AD">
        <w:t>hosphotungstic</w:t>
      </w:r>
      <w:proofErr w:type="spellEnd"/>
      <w:r w:rsidR="00064FCC" w:rsidRPr="009544AD">
        <w:t xml:space="preserve"> acid (diluted in</w:t>
      </w:r>
      <w:r w:rsidRPr="009544AD">
        <w:t xml:space="preserve"> sterile water and pH adjusted to 7.2 with NaOH) to the grid</w:t>
      </w:r>
      <w:r w:rsidR="00064FCC" w:rsidRPr="009544AD">
        <w:t>,</w:t>
      </w:r>
      <w:r w:rsidRPr="009544AD">
        <w:t xml:space="preserve"> incubate at room temperature for </w:t>
      </w:r>
      <w:r w:rsidR="00AC4142" w:rsidRPr="009544AD">
        <w:t>5 </w:t>
      </w:r>
      <w:r w:rsidRPr="009544AD">
        <w:t xml:space="preserve">minutes and air dry. Examine the grid </w:t>
      </w:r>
      <w:r w:rsidR="00064FCC" w:rsidRPr="009544AD">
        <w:t>by TEM</w:t>
      </w:r>
      <w:r w:rsidRPr="009544AD">
        <w:t xml:space="preserve"> (</w:t>
      </w:r>
      <w:r w:rsidR="00FB0BA9" w:rsidRPr="009544AD">
        <w:t xml:space="preserve">Pfeffer </w:t>
      </w:r>
      <w:r w:rsidR="00D4764B" w:rsidRPr="009544AD">
        <w:rPr>
          <w:i/>
        </w:rPr>
        <w:t>et al</w:t>
      </w:r>
      <w:r w:rsidR="00FB0BA9" w:rsidRPr="009544AD">
        <w:t>., 1996</w:t>
      </w:r>
      <w:r w:rsidR="008A2815" w:rsidRPr="009544AD">
        <w:t>;</w:t>
      </w:r>
      <w:r w:rsidRPr="009544AD">
        <w:t xml:space="preserve"> </w:t>
      </w:r>
      <w:r w:rsidR="00FB0BA9" w:rsidRPr="009544AD">
        <w:t>1998b</w:t>
      </w:r>
      <w:r w:rsidRPr="009544AD">
        <w:t xml:space="preserve">). </w:t>
      </w:r>
    </w:p>
    <w:p w14:paraId="5B6A1DC4" w14:textId="77777777" w:rsidR="000B312D" w:rsidRPr="009544AD" w:rsidRDefault="000B312D" w:rsidP="00A65D7B">
      <w:pPr>
        <w:pStyle w:val="111Para"/>
      </w:pPr>
      <w:proofErr w:type="spellStart"/>
      <w:r w:rsidRPr="009544AD">
        <w:t>Camelpox</w:t>
      </w:r>
      <w:proofErr w:type="spellEnd"/>
      <w:r w:rsidRPr="009544AD">
        <w:t xml:space="preserve"> virus has a typical brick-shaped appearance with irregularly arranged, tubular surface proteins. </w:t>
      </w:r>
      <w:proofErr w:type="spellStart"/>
      <w:r w:rsidRPr="009544AD">
        <w:t>Parapoxviruses</w:t>
      </w:r>
      <w:proofErr w:type="spellEnd"/>
      <w:r w:rsidRPr="009544AD">
        <w:t xml:space="preserve"> are slightly smaller, ovoid-shaped and the surface proteins are regularly arranged.</w:t>
      </w:r>
    </w:p>
    <w:p w14:paraId="1104DEAB" w14:textId="77777777" w:rsidR="000B312D" w:rsidRPr="009544AD" w:rsidRDefault="00A65D7B" w:rsidP="00A65D7B">
      <w:pPr>
        <w:pStyle w:val="11"/>
      </w:pPr>
      <w:r w:rsidRPr="009544AD">
        <w:t>1.2.</w:t>
      </w:r>
      <w:r w:rsidR="000B312D" w:rsidRPr="009544AD">
        <w:tab/>
        <w:t xml:space="preserve">Virus isolation </w:t>
      </w:r>
      <w:r w:rsidR="00064FCC" w:rsidRPr="009544AD">
        <w:t>i</w:t>
      </w:r>
      <w:r w:rsidR="000B312D" w:rsidRPr="009544AD">
        <w:t>n cell cultures</w:t>
      </w:r>
    </w:p>
    <w:p w14:paraId="02DF0045" w14:textId="21BC6B91" w:rsidR="000B312D" w:rsidRPr="009544AD" w:rsidRDefault="000B312D" w:rsidP="00A65D7B">
      <w:pPr>
        <w:pStyle w:val="11Para"/>
      </w:pPr>
      <w:proofErr w:type="spellStart"/>
      <w:r w:rsidRPr="009544AD">
        <w:t>Camelpox</w:t>
      </w:r>
      <w:proofErr w:type="spellEnd"/>
      <w:r w:rsidRPr="009544AD">
        <w:t xml:space="preserve"> virus can be propagated in a large variety </w:t>
      </w:r>
      <w:r w:rsidR="00DC3599" w:rsidRPr="0086775A">
        <w:rPr>
          <w:highlight w:val="yellow"/>
          <w:u w:val="double"/>
        </w:rPr>
        <w:t>of</w:t>
      </w:r>
      <w:r w:rsidR="00DC3599">
        <w:t xml:space="preserve"> </w:t>
      </w:r>
      <w:r w:rsidR="00D91864" w:rsidRPr="009544AD">
        <w:t xml:space="preserve">cell </w:t>
      </w:r>
      <w:r w:rsidR="00694216" w:rsidRPr="0086775A">
        <w:rPr>
          <w:strike/>
          <w:highlight w:val="yellow"/>
        </w:rPr>
        <w:t>cultures</w:t>
      </w:r>
      <w:r w:rsidR="00D91864" w:rsidRPr="0086775A">
        <w:rPr>
          <w:strike/>
          <w:highlight w:val="yellow"/>
        </w:rPr>
        <w:t xml:space="preserve"> </w:t>
      </w:r>
      <w:r w:rsidR="0034149A" w:rsidRPr="0086775A">
        <w:rPr>
          <w:highlight w:val="yellow"/>
          <w:u w:val="double"/>
        </w:rPr>
        <w:t>lines</w:t>
      </w:r>
      <w:r w:rsidR="0034149A" w:rsidRPr="009544AD">
        <w:t xml:space="preserve"> </w:t>
      </w:r>
      <w:r w:rsidR="00D91864" w:rsidRPr="009544AD">
        <w:t xml:space="preserve">including </w:t>
      </w:r>
      <w:r w:rsidR="00D91864" w:rsidRPr="0086775A">
        <w:rPr>
          <w:strike/>
          <w:highlight w:val="yellow"/>
        </w:rPr>
        <w:t>the following cell lines:</w:t>
      </w:r>
      <w:r w:rsidR="00D91864" w:rsidRPr="0086775A">
        <w:rPr>
          <w:strike/>
        </w:rPr>
        <w:t xml:space="preserve"> </w:t>
      </w:r>
      <w:r w:rsidR="00D91864" w:rsidRPr="009544AD">
        <w:t>V</w:t>
      </w:r>
      <w:r w:rsidRPr="009544AD">
        <w:t>ero</w:t>
      </w:r>
      <w:r w:rsidR="00D91864" w:rsidRPr="009544AD">
        <w:t>, MA-104 and MS</w:t>
      </w:r>
      <w:r w:rsidRPr="009544AD">
        <w:t xml:space="preserve"> monkey kidney</w:t>
      </w:r>
      <w:r w:rsidR="00D91864" w:rsidRPr="009544AD">
        <w:t xml:space="preserve">, </w:t>
      </w:r>
      <w:r w:rsidRPr="009544AD">
        <w:t>baby hamster kidney (BHK)</w:t>
      </w:r>
      <w:r w:rsidR="00B8043C" w:rsidRPr="009544AD">
        <w:t xml:space="preserve">, and Dubai </w:t>
      </w:r>
      <w:r w:rsidR="0003458D" w:rsidRPr="009544AD">
        <w:t>c</w:t>
      </w:r>
      <w:r w:rsidR="00B8043C" w:rsidRPr="009544AD">
        <w:t xml:space="preserve">amel </w:t>
      </w:r>
      <w:r w:rsidR="0003458D" w:rsidRPr="009544AD">
        <w:t>s</w:t>
      </w:r>
      <w:r w:rsidR="00B8043C" w:rsidRPr="009544AD">
        <w:t>kin (</w:t>
      </w:r>
      <w:proofErr w:type="spellStart"/>
      <w:r w:rsidR="002C2103" w:rsidRPr="009544AD">
        <w:t>Dubca</w:t>
      </w:r>
      <w:proofErr w:type="spellEnd"/>
      <w:r w:rsidR="00B8043C" w:rsidRPr="009544AD">
        <w:t>)</w:t>
      </w:r>
      <w:r w:rsidR="00D91864" w:rsidRPr="009544AD">
        <w:t xml:space="preserve"> </w:t>
      </w:r>
      <w:r w:rsidR="00D91864" w:rsidRPr="0086775A">
        <w:rPr>
          <w:strike/>
          <w:highlight w:val="yellow"/>
        </w:rPr>
        <w:t xml:space="preserve">and the </w:t>
      </w:r>
      <w:r w:rsidR="00C42BE1" w:rsidRPr="0086775A">
        <w:rPr>
          <w:strike/>
          <w:highlight w:val="yellow"/>
        </w:rPr>
        <w:t>following</w:t>
      </w:r>
      <w:r w:rsidR="00D91864" w:rsidRPr="00E802F6">
        <w:rPr>
          <w:strike/>
          <w:highlight w:val="yellow"/>
        </w:rPr>
        <w:t xml:space="preserve"> </w:t>
      </w:r>
      <w:r w:rsidR="005218AE" w:rsidRPr="0086775A">
        <w:rPr>
          <w:highlight w:val="yellow"/>
          <w:u w:val="double"/>
        </w:rPr>
        <w:t>as well as in</w:t>
      </w:r>
      <w:r w:rsidR="005218AE">
        <w:t xml:space="preserve"> </w:t>
      </w:r>
      <w:r w:rsidR="00D91864" w:rsidRPr="009544AD">
        <w:t>primary cell cultures</w:t>
      </w:r>
      <w:r w:rsidRPr="009544AD">
        <w:t xml:space="preserve"> </w:t>
      </w:r>
      <w:r w:rsidR="00165F05">
        <w:t>(</w:t>
      </w:r>
      <w:r w:rsidRPr="009544AD">
        <w:t>lamb testis, lamb kidney, camel embryo</w:t>
      </w:r>
      <w:r w:rsidR="00D91864" w:rsidRPr="009544AD">
        <w:t>nic</w:t>
      </w:r>
      <w:r w:rsidRPr="009544AD">
        <w:t xml:space="preserve"> kidney, calf kidney, </w:t>
      </w:r>
      <w:r w:rsidR="00D91864" w:rsidRPr="009544AD">
        <w:t xml:space="preserve">and </w:t>
      </w:r>
      <w:r w:rsidRPr="009544AD">
        <w:t>chicken embryo fibroblast</w:t>
      </w:r>
      <w:r w:rsidR="001B7964">
        <w:t>)</w:t>
      </w:r>
      <w:r w:rsidRPr="009544AD">
        <w:t xml:space="preserve"> (</w:t>
      </w:r>
      <w:r w:rsidR="00FB0BA9" w:rsidRPr="009544AD">
        <w:t xml:space="preserve">Davies </w:t>
      </w:r>
      <w:r w:rsidR="00D4764B" w:rsidRPr="009544AD">
        <w:rPr>
          <w:i/>
        </w:rPr>
        <w:t>et al</w:t>
      </w:r>
      <w:r w:rsidR="00FB0BA9" w:rsidRPr="009544AD">
        <w:t>., 1975</w:t>
      </w:r>
      <w:r w:rsidR="008A2815" w:rsidRPr="009544AD">
        <w:t xml:space="preserve">; </w:t>
      </w:r>
      <w:r w:rsidR="00FB0BA9" w:rsidRPr="009544AD">
        <w:t xml:space="preserve">Tantawi </w:t>
      </w:r>
      <w:r w:rsidR="00D4764B" w:rsidRPr="009544AD">
        <w:rPr>
          <w:i/>
        </w:rPr>
        <w:t>et al</w:t>
      </w:r>
      <w:r w:rsidR="00FB0BA9" w:rsidRPr="009544AD">
        <w:t>., 1974</w:t>
      </w:r>
      <w:r w:rsidRPr="009544AD">
        <w:t>).</w:t>
      </w:r>
    </w:p>
    <w:p w14:paraId="401A08BF" w14:textId="77777777" w:rsidR="000B312D" w:rsidRPr="009544AD" w:rsidRDefault="000B312D" w:rsidP="00A65D7B">
      <w:pPr>
        <w:pStyle w:val="11Para"/>
      </w:pPr>
      <w:r w:rsidRPr="009544AD">
        <w:t xml:space="preserve">The samples are prepared for virus isolation as described above in </w:t>
      </w:r>
      <w:r w:rsidR="004E25CC" w:rsidRPr="009544AD">
        <w:t>S</w:t>
      </w:r>
      <w:r w:rsidRPr="009544AD">
        <w:t xml:space="preserve">ection </w:t>
      </w:r>
      <w:r w:rsidR="004E25CC" w:rsidRPr="009544AD">
        <w:t>B.</w:t>
      </w:r>
      <w:r w:rsidRPr="009544AD">
        <w:t>1.</w:t>
      </w:r>
      <w:r w:rsidR="00066432" w:rsidRPr="009544AD">
        <w:t>1.1</w:t>
      </w:r>
      <w:r w:rsidRPr="009544AD">
        <w:t>.</w:t>
      </w:r>
    </w:p>
    <w:p w14:paraId="41CE4B46" w14:textId="77777777" w:rsidR="000B312D" w:rsidRPr="009544AD" w:rsidRDefault="00A65D7B" w:rsidP="00A65D7B">
      <w:pPr>
        <w:pStyle w:val="111"/>
      </w:pPr>
      <w:r w:rsidRPr="009544AD">
        <w:t>1.2.1.</w:t>
      </w:r>
      <w:r w:rsidR="000B312D" w:rsidRPr="009544AD">
        <w:tab/>
      </w:r>
      <w:r w:rsidR="00962187" w:rsidRPr="009544AD">
        <w:t>Test procedure</w:t>
      </w:r>
    </w:p>
    <w:p w14:paraId="222A9CA4" w14:textId="40E7DF4E" w:rsidR="000B312D" w:rsidRPr="009544AD" w:rsidRDefault="000B312D" w:rsidP="00A65D7B">
      <w:pPr>
        <w:pStyle w:val="111Para"/>
      </w:pPr>
      <w:r w:rsidRPr="009544AD">
        <w:t>Incubate 40</w:t>
      </w:r>
      <w:r w:rsidR="002D4688" w:rsidRPr="009544AD">
        <w:t>0 </w:t>
      </w:r>
      <w:r w:rsidRPr="009544AD">
        <w:t xml:space="preserve">µl of the supernatant for </w:t>
      </w:r>
      <w:r w:rsidR="005E774A" w:rsidRPr="009544AD">
        <w:t>1 </w:t>
      </w:r>
      <w:r w:rsidRPr="009544AD">
        <w:t xml:space="preserve">hour at room temperature and </w:t>
      </w:r>
      <w:r w:rsidR="00022389">
        <w:t xml:space="preserve">then </w:t>
      </w:r>
      <w:r w:rsidRPr="009544AD">
        <w:t xml:space="preserve">overnight at </w:t>
      </w:r>
      <w:smartTag w:uri="urn:schemas-microsoft-com:office:smarttags" w:element="metricconverter">
        <w:smartTagPr>
          <w:attr w:name="ProductID" w:val="4ﾰC"/>
        </w:smartTagPr>
        <w:r w:rsidRPr="009544AD">
          <w:t>4</w:t>
        </w:r>
        <w:r w:rsidR="00033DAE" w:rsidRPr="009544AD">
          <w:t>°C</w:t>
        </w:r>
      </w:smartTag>
      <w:r w:rsidRPr="009544AD">
        <w:t>. Filter the supernatant through a 0.4</w:t>
      </w:r>
      <w:r w:rsidR="00AC4142" w:rsidRPr="009544AD">
        <w:t>5 </w:t>
      </w:r>
      <w:r w:rsidRPr="009544AD">
        <w:t xml:space="preserve">µm filter and inoculate into </w:t>
      </w:r>
      <w:r w:rsidR="005E774A" w:rsidRPr="009544AD">
        <w:t xml:space="preserve">a </w:t>
      </w:r>
      <w:r w:rsidRPr="009544AD">
        <w:t>2</w:t>
      </w:r>
      <w:r w:rsidR="00AC4142" w:rsidRPr="009544AD">
        <w:t>5 </w:t>
      </w:r>
      <w:r w:rsidRPr="009544AD">
        <w:t>cm</w:t>
      </w:r>
      <w:r w:rsidRPr="00027048">
        <w:rPr>
          <w:vertAlign w:val="superscript"/>
        </w:rPr>
        <w:t>2</w:t>
      </w:r>
      <w:r w:rsidRPr="009544AD">
        <w:t xml:space="preserve"> flask of confluent cell</w:t>
      </w:r>
      <w:r w:rsidR="003C03F3" w:rsidRPr="009544AD">
        <w:t>s</w:t>
      </w:r>
      <w:r w:rsidRPr="009544AD">
        <w:t>. Flush the filter with 0.</w:t>
      </w:r>
      <w:r w:rsidR="00AC4142" w:rsidRPr="009544AD">
        <w:t>5 </w:t>
      </w:r>
      <w:r w:rsidRPr="009544AD">
        <w:t>ml of</w:t>
      </w:r>
      <w:r w:rsidR="00D364B6" w:rsidRPr="009544AD">
        <w:t xml:space="preserve"> the maintenance </w:t>
      </w:r>
      <w:r w:rsidR="00C65F2F" w:rsidRPr="009544AD">
        <w:t>medium used in the cell culture</w:t>
      </w:r>
      <w:r w:rsidR="00B10549" w:rsidRPr="009544AD">
        <w:t xml:space="preserve"> </w:t>
      </w:r>
      <w:r w:rsidRPr="009544AD">
        <w:t xml:space="preserve">and incubate the flasks at </w:t>
      </w:r>
      <w:smartTag w:uri="urn:schemas-microsoft-com:office:smarttags" w:element="metricconverter">
        <w:smartTagPr>
          <w:attr w:name="ProductID" w:val="37ﾰC"/>
        </w:smartTagPr>
        <w:r w:rsidRPr="009544AD">
          <w:t>37</w:t>
        </w:r>
        <w:r w:rsidR="00033DAE" w:rsidRPr="009544AD">
          <w:t>°C</w:t>
        </w:r>
      </w:smartTag>
      <w:r w:rsidRPr="009544AD">
        <w:t xml:space="preserve"> for </w:t>
      </w:r>
      <w:r w:rsidR="00AC4142" w:rsidRPr="009544AD">
        <w:t>1 </w:t>
      </w:r>
      <w:r w:rsidRPr="009544AD">
        <w:t>hour. Add 6</w:t>
      </w:r>
      <w:r w:rsidR="00AC4142" w:rsidRPr="009544AD">
        <w:t>–</w:t>
      </w:r>
      <w:r w:rsidR="007B5B59" w:rsidRPr="009544AD">
        <w:t>7 </w:t>
      </w:r>
      <w:r w:rsidRPr="009544AD">
        <w:t xml:space="preserve">ml of fresh medium into the flask and continue the incubation for about </w:t>
      </w:r>
      <w:r w:rsidRPr="006F23FD">
        <w:rPr>
          <w:strike/>
        </w:rPr>
        <w:t>1</w:t>
      </w:r>
      <w:r w:rsidR="002D4688" w:rsidRPr="006F23FD">
        <w:rPr>
          <w:strike/>
        </w:rPr>
        <w:t>0</w:t>
      </w:r>
      <w:r w:rsidR="006F23FD">
        <w:rPr>
          <w:strike/>
        </w:rPr>
        <w:t xml:space="preserve"> </w:t>
      </w:r>
      <w:r w:rsidR="000D0ADD" w:rsidRPr="000D0ADD">
        <w:rPr>
          <w:u w:val="double"/>
        </w:rPr>
        <w:t>5–7</w:t>
      </w:r>
      <w:r w:rsidR="00E32D1C" w:rsidRPr="000D0ADD">
        <w:t> </w:t>
      </w:r>
      <w:r w:rsidRPr="000D0ADD">
        <w:t>days</w:t>
      </w:r>
      <w:r w:rsidRPr="009544AD">
        <w:t>. If there is any reason to suspect fungal contamination</w:t>
      </w:r>
      <w:r w:rsidR="005E774A" w:rsidRPr="009544AD">
        <w:t>,</w:t>
      </w:r>
      <w:r w:rsidRPr="009544AD">
        <w:t xml:space="preserve"> the contaminated medium must be discarded and </w:t>
      </w:r>
      <w:r w:rsidR="00AC4142" w:rsidRPr="009544AD">
        <w:t>5 </w:t>
      </w:r>
      <w:r w:rsidRPr="009544AD">
        <w:t>µg</w:t>
      </w:r>
      <w:r w:rsidR="001B3C8D" w:rsidRPr="009544AD">
        <w:t>/</w:t>
      </w:r>
      <w:r w:rsidRPr="009544AD">
        <w:t xml:space="preserve">ml of amphotericin B added to a new medium. The flasks must be monitored daily for </w:t>
      </w:r>
      <w:r w:rsidRPr="006F23FD">
        <w:rPr>
          <w:strike/>
        </w:rPr>
        <w:t>10</w:t>
      </w:r>
      <w:r w:rsidR="00C9551C" w:rsidRPr="006F23FD">
        <w:rPr>
          <w:strike/>
        </w:rPr>
        <w:t>–</w:t>
      </w:r>
      <w:r w:rsidRPr="006F23FD">
        <w:rPr>
          <w:strike/>
        </w:rPr>
        <w:t>1</w:t>
      </w:r>
      <w:r w:rsidR="00C9551C" w:rsidRPr="006F23FD">
        <w:rPr>
          <w:strike/>
        </w:rPr>
        <w:t>2</w:t>
      </w:r>
      <w:r w:rsidR="006F23FD">
        <w:rPr>
          <w:strike/>
        </w:rPr>
        <w:t xml:space="preserve"> </w:t>
      </w:r>
      <w:r w:rsidR="00E32D1C" w:rsidRPr="000D0ADD">
        <w:rPr>
          <w:u w:val="double"/>
        </w:rPr>
        <w:t>5</w:t>
      </w:r>
      <w:r w:rsidR="006F23FD" w:rsidRPr="000D0ADD">
        <w:rPr>
          <w:u w:val="double"/>
        </w:rPr>
        <w:t>–</w:t>
      </w:r>
      <w:r w:rsidR="00E32D1C" w:rsidRPr="000D0ADD">
        <w:rPr>
          <w:u w:val="double"/>
        </w:rPr>
        <w:t>7</w:t>
      </w:r>
      <w:r w:rsidR="00C9551C" w:rsidRPr="000D0ADD">
        <w:t> </w:t>
      </w:r>
      <w:r w:rsidRPr="000D0ADD">
        <w:t>days</w:t>
      </w:r>
      <w:r w:rsidRPr="009544AD">
        <w:t>.</w:t>
      </w:r>
    </w:p>
    <w:p w14:paraId="57C7FBBF" w14:textId="4573CB19" w:rsidR="000B312D" w:rsidRPr="009544AD" w:rsidRDefault="000B312D" w:rsidP="00A65D7B">
      <w:pPr>
        <w:pStyle w:val="111Para"/>
      </w:pPr>
      <w:r w:rsidRPr="009544AD">
        <w:t xml:space="preserve">Characteristic, </w:t>
      </w:r>
      <w:r w:rsidR="003C03F3" w:rsidRPr="009544AD">
        <w:t>plaque</w:t>
      </w:r>
      <w:r w:rsidRPr="009544AD">
        <w:t xml:space="preserve">-type cytopathic effect </w:t>
      </w:r>
      <w:r w:rsidR="00970EFF" w:rsidRPr="009544AD">
        <w:t xml:space="preserve">(CPE) </w:t>
      </w:r>
      <w:r w:rsidRPr="009544AD">
        <w:t>showing foci of rounded cells, cell detachment, giant cell formation and syncytia may appear as soon as 2</w:t>
      </w:r>
      <w:r w:rsidR="007B7C82" w:rsidRPr="009544AD">
        <w:t>4 </w:t>
      </w:r>
      <w:r w:rsidRPr="009544AD">
        <w:t>hours post</w:t>
      </w:r>
      <w:r w:rsidR="005E774A" w:rsidRPr="009544AD">
        <w:t>-</w:t>
      </w:r>
      <w:r w:rsidRPr="009544AD">
        <w:t>inoculation. Syncytia may contain up to 20</w:t>
      </w:r>
      <w:r w:rsidR="00AC4142" w:rsidRPr="009544AD">
        <w:t>–</w:t>
      </w:r>
      <w:r w:rsidRPr="009544AD">
        <w:t>2</w:t>
      </w:r>
      <w:r w:rsidR="00AC4142" w:rsidRPr="009544AD">
        <w:t>5 </w:t>
      </w:r>
      <w:r w:rsidRPr="009544AD">
        <w:t>nuclei (</w:t>
      </w:r>
      <w:r w:rsidR="00FB0BA9" w:rsidRPr="009544AD">
        <w:t xml:space="preserve">Tantawi </w:t>
      </w:r>
      <w:r w:rsidR="00D4764B" w:rsidRPr="009544AD">
        <w:rPr>
          <w:i/>
        </w:rPr>
        <w:t>et al</w:t>
      </w:r>
      <w:r w:rsidR="00FB0BA9" w:rsidRPr="009544AD">
        <w:t>., 1974</w:t>
      </w:r>
      <w:r w:rsidRPr="009544AD">
        <w:t xml:space="preserve">). The growth of </w:t>
      </w:r>
      <w:proofErr w:type="spellStart"/>
      <w:r w:rsidRPr="009544AD">
        <w:t>camelpox</w:t>
      </w:r>
      <w:proofErr w:type="spellEnd"/>
      <w:r w:rsidRPr="009544AD">
        <w:t xml:space="preserve"> virus </w:t>
      </w:r>
      <w:r w:rsidR="00BF7CA7">
        <w:t>i</w:t>
      </w:r>
      <w:r w:rsidRPr="009544AD">
        <w:t xml:space="preserve">n a cell culture can be confirmed by </w:t>
      </w:r>
      <w:r w:rsidR="005E774A" w:rsidRPr="009544AD">
        <w:t>TEM</w:t>
      </w:r>
      <w:r w:rsidRPr="009544AD">
        <w:t>, PCR o</w:t>
      </w:r>
      <w:r w:rsidR="00962187" w:rsidRPr="009544AD">
        <w:t xml:space="preserve">r antigen-capture </w:t>
      </w:r>
      <w:r w:rsidR="005E774A" w:rsidRPr="009544AD">
        <w:t xml:space="preserve">enzyme-linked immunosorbent assay (ELISA) </w:t>
      </w:r>
      <w:r w:rsidR="00962187" w:rsidRPr="009544AD">
        <w:t>(</w:t>
      </w:r>
      <w:r w:rsidR="00FB0BA9" w:rsidRPr="009544AD">
        <w:t>Johann &amp; Czerny, 1993</w:t>
      </w:r>
      <w:r w:rsidR="00962187" w:rsidRPr="009544AD">
        <w:t>).</w:t>
      </w:r>
    </w:p>
    <w:p w14:paraId="2E11A2C2" w14:textId="77777777" w:rsidR="000B312D" w:rsidRPr="009544AD" w:rsidRDefault="00A65D7B" w:rsidP="00A65D7B">
      <w:pPr>
        <w:pStyle w:val="11"/>
      </w:pPr>
      <w:r w:rsidRPr="009544AD">
        <w:t>1.3.</w:t>
      </w:r>
      <w:r w:rsidR="000B312D" w:rsidRPr="009544AD">
        <w:tab/>
        <w:t xml:space="preserve">Virus isolation on </w:t>
      </w:r>
      <w:proofErr w:type="spellStart"/>
      <w:r w:rsidR="000B312D" w:rsidRPr="009544AD">
        <w:t>chorioallantoic</w:t>
      </w:r>
      <w:proofErr w:type="spellEnd"/>
      <w:r w:rsidR="000B312D" w:rsidRPr="009544AD">
        <w:t xml:space="preserve"> membrane of embryonated chicken eggs</w:t>
      </w:r>
    </w:p>
    <w:p w14:paraId="759DB42E" w14:textId="31EA8D8C" w:rsidR="000B312D" w:rsidRPr="009544AD" w:rsidRDefault="000B312D" w:rsidP="00A65D7B">
      <w:pPr>
        <w:pStyle w:val="11Para"/>
      </w:pPr>
      <w:proofErr w:type="spellStart"/>
      <w:r w:rsidRPr="009544AD">
        <w:t>Camelpox</w:t>
      </w:r>
      <w:proofErr w:type="spellEnd"/>
      <w:r w:rsidRPr="009544AD">
        <w:t xml:space="preserve"> virus can be isolated on the </w:t>
      </w:r>
      <w:proofErr w:type="spellStart"/>
      <w:r w:rsidRPr="009544AD">
        <w:t>chorioallantoic</w:t>
      </w:r>
      <w:proofErr w:type="spellEnd"/>
      <w:r w:rsidRPr="009544AD">
        <w:t xml:space="preserve"> membrane (CAM) of 11</w:t>
      </w:r>
      <w:r w:rsidR="008660BD">
        <w:t xml:space="preserve">- to </w:t>
      </w:r>
      <w:r w:rsidRPr="009544AD">
        <w:t>1</w:t>
      </w:r>
      <w:r w:rsidR="00CF517D" w:rsidRPr="009544AD">
        <w:t>3</w:t>
      </w:r>
      <w:r w:rsidR="005E774A" w:rsidRPr="009544AD">
        <w:t>-</w:t>
      </w:r>
      <w:r w:rsidRPr="009544AD">
        <w:t>day</w:t>
      </w:r>
      <w:r w:rsidR="008660BD">
        <w:t>-</w:t>
      </w:r>
      <w:r w:rsidRPr="009544AD">
        <w:t xml:space="preserve">old </w:t>
      </w:r>
      <w:r w:rsidR="00C42BE1" w:rsidRPr="009544AD">
        <w:t xml:space="preserve">embryonating </w:t>
      </w:r>
      <w:r w:rsidRPr="009544AD">
        <w:t xml:space="preserve">chicken </w:t>
      </w:r>
      <w:r w:rsidR="00C42BE1" w:rsidRPr="009544AD">
        <w:t>eggs</w:t>
      </w:r>
      <w:r w:rsidRPr="009544AD">
        <w:t xml:space="preserve">. The eggs </w:t>
      </w:r>
      <w:r w:rsidR="00C42BE1" w:rsidRPr="009544AD">
        <w:t>should</w:t>
      </w:r>
      <w:r w:rsidRPr="009544AD">
        <w:t xml:space="preserve"> be incubated at </w:t>
      </w:r>
      <w:smartTag w:uri="urn:schemas-microsoft-com:office:smarttags" w:element="metricconverter">
        <w:smartTagPr>
          <w:attr w:name="ProductID" w:val="37ﾰC"/>
        </w:smartTagPr>
        <w:r w:rsidRPr="009544AD">
          <w:t>37</w:t>
        </w:r>
        <w:r w:rsidR="00033DAE" w:rsidRPr="009544AD">
          <w:t>°C</w:t>
        </w:r>
      </w:smartTag>
      <w:r w:rsidRPr="009544AD">
        <w:t xml:space="preserve"> </w:t>
      </w:r>
      <w:r w:rsidR="00C42BE1" w:rsidRPr="009544AD">
        <w:t>and a</w:t>
      </w:r>
      <w:r w:rsidRPr="009544AD">
        <w:t xml:space="preserve">fter </w:t>
      </w:r>
      <w:r w:rsidR="00AC4142" w:rsidRPr="009544AD">
        <w:t>5 </w:t>
      </w:r>
      <w:r w:rsidRPr="009544AD">
        <w:t xml:space="preserve">days </w:t>
      </w:r>
      <w:r w:rsidR="00C42BE1" w:rsidRPr="009544AD">
        <w:t xml:space="preserve">the </w:t>
      </w:r>
      <w:r w:rsidRPr="009544AD">
        <w:t xml:space="preserve">eggs containing living embryos </w:t>
      </w:r>
      <w:r w:rsidR="00C42BE1" w:rsidRPr="009544AD">
        <w:t>are</w:t>
      </w:r>
      <w:r w:rsidRPr="009544AD">
        <w:t xml:space="preserve"> opened and </w:t>
      </w:r>
      <w:r w:rsidR="005E774A" w:rsidRPr="009544AD">
        <w:t xml:space="preserve">the </w:t>
      </w:r>
      <w:r w:rsidRPr="009544AD">
        <w:t xml:space="preserve">CAM examined for the presence of characteristic pock lesions: dense, greyish-white pocks. </w:t>
      </w:r>
      <w:proofErr w:type="spellStart"/>
      <w:r w:rsidR="00A127BB" w:rsidRPr="009544AD">
        <w:t>Camelpox</w:t>
      </w:r>
      <w:proofErr w:type="spellEnd"/>
      <w:r w:rsidR="00A127BB" w:rsidRPr="009544AD">
        <w:t xml:space="preserve"> virus does not cause death in inoculated embryonat</w:t>
      </w:r>
      <w:r w:rsidR="002F1783" w:rsidRPr="009544AD">
        <w:t>ed</w:t>
      </w:r>
      <w:r w:rsidR="00A127BB" w:rsidRPr="009544AD">
        <w:t xml:space="preserve"> chicken eggs. </w:t>
      </w:r>
      <w:r w:rsidRPr="009544AD">
        <w:t xml:space="preserve">The </w:t>
      </w:r>
      <w:r w:rsidR="00C42BE1" w:rsidRPr="009544AD">
        <w:t>maximum</w:t>
      </w:r>
      <w:r w:rsidRPr="009544AD">
        <w:t xml:space="preserve"> temperature for the formation of pock lesions is </w:t>
      </w:r>
      <w:smartTag w:uri="urn:schemas-microsoft-com:office:smarttags" w:element="metricconverter">
        <w:smartTagPr>
          <w:attr w:name="ProductID" w:val="38.5ﾰC"/>
        </w:smartTagPr>
        <w:r w:rsidRPr="009544AD">
          <w:t>38.5</w:t>
        </w:r>
        <w:r w:rsidR="00033DAE" w:rsidRPr="009544AD">
          <w:t>°C</w:t>
        </w:r>
      </w:smartTag>
      <w:r w:rsidRPr="009544AD">
        <w:t xml:space="preserve">. If the eggs are incubated at </w:t>
      </w:r>
      <w:smartTag w:uri="urn:schemas-microsoft-com:office:smarttags" w:element="metricconverter">
        <w:smartTagPr>
          <w:attr w:name="ProductID" w:val="34.5ﾰC"/>
        </w:smartTagPr>
        <w:r w:rsidRPr="009544AD">
          <w:t>34.5</w:t>
        </w:r>
        <w:r w:rsidR="00033DAE" w:rsidRPr="009544AD">
          <w:t>°C</w:t>
        </w:r>
        <w:r w:rsidR="00066432" w:rsidRPr="009544AD">
          <w:t>,</w:t>
        </w:r>
      </w:smartTag>
      <w:r w:rsidRPr="009544AD">
        <w:t xml:space="preserve"> the pocks are flatter and a haemorr</w:t>
      </w:r>
      <w:r w:rsidR="005E774A" w:rsidRPr="009544AD">
        <w:t>h</w:t>
      </w:r>
      <w:r w:rsidRPr="009544AD">
        <w:t>a</w:t>
      </w:r>
      <w:r w:rsidR="005E774A" w:rsidRPr="009544AD">
        <w:t>g</w:t>
      </w:r>
      <w:r w:rsidRPr="009544AD">
        <w:t>ic centre may develop (</w:t>
      </w:r>
      <w:r w:rsidR="00FB0BA9" w:rsidRPr="009544AD">
        <w:t xml:space="preserve">Tantawi </w:t>
      </w:r>
      <w:r w:rsidR="00D4764B" w:rsidRPr="009544AD">
        <w:rPr>
          <w:i/>
        </w:rPr>
        <w:t>et al</w:t>
      </w:r>
      <w:r w:rsidR="00FB0BA9" w:rsidRPr="009544AD">
        <w:t>., 1974</w:t>
      </w:r>
      <w:r w:rsidRPr="009544AD">
        <w:t xml:space="preserve">). </w:t>
      </w:r>
    </w:p>
    <w:p w14:paraId="3E164265" w14:textId="77777777" w:rsidR="000B312D" w:rsidRPr="009544AD" w:rsidRDefault="00A65D7B" w:rsidP="00A65D7B">
      <w:pPr>
        <w:pStyle w:val="11"/>
      </w:pPr>
      <w:r w:rsidRPr="009544AD">
        <w:t>1.4.</w:t>
      </w:r>
      <w:r w:rsidR="000B312D" w:rsidRPr="009544AD">
        <w:tab/>
        <w:t>Immunohistochemistry</w:t>
      </w:r>
    </w:p>
    <w:p w14:paraId="76FDF5EE" w14:textId="2F541901" w:rsidR="000B312D" w:rsidRPr="009544AD" w:rsidRDefault="000B312D" w:rsidP="00A65D7B">
      <w:pPr>
        <w:pStyle w:val="11Para"/>
      </w:pPr>
      <w:r w:rsidRPr="009544AD">
        <w:t xml:space="preserve">Immunohistochemistry for the detection of </w:t>
      </w:r>
      <w:r w:rsidR="006A21B4" w:rsidRPr="0086775A">
        <w:rPr>
          <w:strike/>
          <w:highlight w:val="yellow"/>
        </w:rPr>
        <w:t xml:space="preserve">the </w:t>
      </w:r>
      <w:r w:rsidRPr="0086775A">
        <w:rPr>
          <w:strike/>
          <w:highlight w:val="yellow"/>
        </w:rPr>
        <w:t>infectious agent of</w:t>
      </w:r>
      <w:r w:rsidRPr="0086775A">
        <w:rPr>
          <w:strike/>
        </w:rPr>
        <w:t xml:space="preserve"> </w:t>
      </w:r>
      <w:proofErr w:type="spellStart"/>
      <w:r w:rsidR="0051241D" w:rsidRPr="009544AD">
        <w:t>camelpox</w:t>
      </w:r>
      <w:proofErr w:type="spellEnd"/>
      <w:r w:rsidR="00846A1C">
        <w:t xml:space="preserve"> </w:t>
      </w:r>
      <w:r w:rsidR="00846A1C" w:rsidRPr="0086775A">
        <w:rPr>
          <w:highlight w:val="yellow"/>
          <w:u w:val="double"/>
        </w:rPr>
        <w:t>viral antigen</w:t>
      </w:r>
      <w:r w:rsidRPr="009544AD">
        <w:t xml:space="preserve"> is a relatively fast method and can be used instead of electron microscopy </w:t>
      </w:r>
      <w:r w:rsidR="00A13B11">
        <w:t>to</w:t>
      </w:r>
      <w:r w:rsidR="00A13B11" w:rsidRPr="009544AD">
        <w:t xml:space="preserve"> </w:t>
      </w:r>
      <w:r w:rsidR="00C42BE1" w:rsidRPr="009544AD">
        <w:t>establish</w:t>
      </w:r>
      <w:r w:rsidRPr="009544AD">
        <w:t xml:space="preserve"> </w:t>
      </w:r>
      <w:r w:rsidR="006A21B4" w:rsidRPr="009544AD">
        <w:t>a</w:t>
      </w:r>
      <w:r w:rsidRPr="009544AD">
        <w:t xml:space="preserve"> tentative diagnosis (</w:t>
      </w:r>
      <w:proofErr w:type="spellStart"/>
      <w:r w:rsidR="00FB0BA9" w:rsidRPr="009544AD">
        <w:t>Nothelfer</w:t>
      </w:r>
      <w:proofErr w:type="spellEnd"/>
      <w:r w:rsidR="00FB0BA9" w:rsidRPr="009544AD">
        <w:t xml:space="preserve"> </w:t>
      </w:r>
      <w:r w:rsidR="00D4764B" w:rsidRPr="009544AD">
        <w:rPr>
          <w:i/>
        </w:rPr>
        <w:t>et al</w:t>
      </w:r>
      <w:r w:rsidR="00FB0BA9" w:rsidRPr="009544AD">
        <w:t>., 1995</w:t>
      </w:r>
      <w:r w:rsidRPr="009544AD">
        <w:t xml:space="preserve">). </w:t>
      </w:r>
      <w:r w:rsidR="001E494B" w:rsidRPr="009544AD">
        <w:t>A</w:t>
      </w:r>
      <w:r w:rsidRPr="009544AD">
        <w:t xml:space="preserve">lmost any polyclonal antibody against vaccinia virus is likely to produce reasonable results in this test </w:t>
      </w:r>
      <w:r w:rsidR="006A21B4" w:rsidRPr="009544AD">
        <w:t>because of the</w:t>
      </w:r>
      <w:r w:rsidRPr="009544AD">
        <w:t xml:space="preserve"> </w:t>
      </w:r>
      <w:r w:rsidRPr="0086775A">
        <w:rPr>
          <w:strike/>
          <w:highlight w:val="yellow"/>
        </w:rPr>
        <w:t>wide homology</w:t>
      </w:r>
      <w:r w:rsidR="0086775A" w:rsidRPr="0086775A">
        <w:rPr>
          <w:strike/>
          <w:highlight w:val="yellow"/>
        </w:rPr>
        <w:t xml:space="preserve"> </w:t>
      </w:r>
      <w:r w:rsidR="00BB1799" w:rsidRPr="0086775A">
        <w:rPr>
          <w:highlight w:val="yellow"/>
          <w:u w:val="double"/>
        </w:rPr>
        <w:t>antigenic relatedness</w:t>
      </w:r>
      <w:r w:rsidRPr="009544AD">
        <w:t xml:space="preserve"> between vaccinia and </w:t>
      </w:r>
      <w:proofErr w:type="spellStart"/>
      <w:r w:rsidRPr="009544AD">
        <w:t>camelpox</w:t>
      </w:r>
      <w:proofErr w:type="spellEnd"/>
      <w:r w:rsidRPr="009544AD">
        <w:t xml:space="preserve"> virus</w:t>
      </w:r>
      <w:r w:rsidR="003C03F3" w:rsidRPr="009544AD">
        <w:t>es</w:t>
      </w:r>
      <w:r w:rsidRPr="009544AD">
        <w:t xml:space="preserve"> (</w:t>
      </w:r>
      <w:proofErr w:type="spellStart"/>
      <w:r w:rsidR="009663FF" w:rsidRPr="009544AD">
        <w:t>Nothelfer</w:t>
      </w:r>
      <w:proofErr w:type="spellEnd"/>
      <w:r w:rsidR="009663FF" w:rsidRPr="009544AD">
        <w:t xml:space="preserve"> </w:t>
      </w:r>
      <w:r w:rsidR="009663FF" w:rsidRPr="009544AD">
        <w:rPr>
          <w:i/>
        </w:rPr>
        <w:t>et al</w:t>
      </w:r>
      <w:r w:rsidR="009663FF" w:rsidRPr="009544AD">
        <w:t>., 1995</w:t>
      </w:r>
      <w:r w:rsidRPr="009544AD">
        <w:t>).</w:t>
      </w:r>
    </w:p>
    <w:p w14:paraId="07D0921E" w14:textId="77777777" w:rsidR="000B312D" w:rsidRPr="009544AD" w:rsidRDefault="00A65D7B" w:rsidP="00A65D7B">
      <w:pPr>
        <w:pStyle w:val="111"/>
      </w:pPr>
      <w:r w:rsidRPr="009544AD">
        <w:t>1.4.1.</w:t>
      </w:r>
      <w:r w:rsidR="000B312D" w:rsidRPr="009544AD">
        <w:tab/>
        <w:t>Test procedure</w:t>
      </w:r>
    </w:p>
    <w:p w14:paraId="678236AD" w14:textId="05E9DEEF" w:rsidR="000B312D" w:rsidRPr="009544AD" w:rsidRDefault="000B312D" w:rsidP="00A65D7B">
      <w:pPr>
        <w:pStyle w:val="111Para"/>
      </w:pPr>
      <w:r w:rsidRPr="009544AD">
        <w:t xml:space="preserve">The following procedure for immunohistochemistry is described by </w:t>
      </w:r>
      <w:proofErr w:type="spellStart"/>
      <w:r w:rsidRPr="009544AD">
        <w:t>Kinne</w:t>
      </w:r>
      <w:proofErr w:type="spellEnd"/>
      <w:r w:rsidRPr="009544AD">
        <w:t xml:space="preserve"> </w:t>
      </w:r>
      <w:r w:rsidR="00D4764B" w:rsidRPr="009544AD">
        <w:rPr>
          <w:i/>
          <w:iCs/>
        </w:rPr>
        <w:t>et al</w:t>
      </w:r>
      <w:r w:rsidRPr="009544AD">
        <w:rPr>
          <w:i/>
          <w:iCs/>
        </w:rPr>
        <w:t>.</w:t>
      </w:r>
      <w:r w:rsidRPr="009544AD">
        <w:t xml:space="preserve"> (</w:t>
      </w:r>
      <w:r w:rsidR="00FB0BA9" w:rsidRPr="009544AD">
        <w:t>1998</w:t>
      </w:r>
      <w:r w:rsidRPr="009544AD">
        <w:t xml:space="preserve">) and Pfeffer </w:t>
      </w:r>
      <w:r w:rsidR="00D4764B" w:rsidRPr="009544AD">
        <w:rPr>
          <w:i/>
          <w:iCs/>
        </w:rPr>
        <w:t>et al</w:t>
      </w:r>
      <w:r w:rsidRPr="009544AD">
        <w:rPr>
          <w:i/>
          <w:iCs/>
        </w:rPr>
        <w:t>.</w:t>
      </w:r>
      <w:r w:rsidRPr="009544AD">
        <w:t xml:space="preserve"> (</w:t>
      </w:r>
      <w:r w:rsidR="00FB0BA9" w:rsidRPr="009544AD">
        <w:t>1998</w:t>
      </w:r>
      <w:r w:rsidR="006942C9" w:rsidRPr="009544AD">
        <w:t>b</w:t>
      </w:r>
      <w:r w:rsidRPr="009544AD">
        <w:t>). The entire skin pustule should be collected for the immunohistochemical examination. Fix the tissue in 10</w:t>
      </w:r>
      <w:r w:rsidR="00033DAE" w:rsidRPr="009544AD">
        <w:t>%</w:t>
      </w:r>
      <w:r w:rsidRPr="009544AD">
        <w:t xml:space="preserve"> formalin, dehydrate through graded alcohols and embed in paraffin wax according to standard histopathological procedures. Cut approximately </w:t>
      </w:r>
      <w:r w:rsidR="00CF517D" w:rsidRPr="009544AD">
        <w:t>3 </w:t>
      </w:r>
      <w:r w:rsidRPr="009544AD">
        <w:t>µm sections and place on glass slides. Treat the deparaffinised and dehydrated sections with 3</w:t>
      </w:r>
      <w:r w:rsidR="00033DAE" w:rsidRPr="009544AD">
        <w:t>%</w:t>
      </w:r>
      <w:r w:rsidRPr="009544AD">
        <w:t xml:space="preserve"> H</w:t>
      </w:r>
      <w:r w:rsidRPr="00027048">
        <w:rPr>
          <w:vertAlign w:val="subscript"/>
        </w:rPr>
        <w:t>2</w:t>
      </w:r>
      <w:r w:rsidRPr="009544AD">
        <w:t>O</w:t>
      </w:r>
      <w:r w:rsidRPr="00027048">
        <w:rPr>
          <w:vertAlign w:val="subscript"/>
        </w:rPr>
        <w:t>2</w:t>
      </w:r>
      <w:r w:rsidR="002B41E2" w:rsidRPr="009544AD">
        <w:t>,</w:t>
      </w:r>
      <w:r w:rsidRPr="009544AD">
        <w:t xml:space="preserve"> prepared in distilled water, for </w:t>
      </w:r>
      <w:r w:rsidR="00AC4142" w:rsidRPr="009544AD">
        <w:t>5 </w:t>
      </w:r>
      <w:r w:rsidRPr="009544AD">
        <w:t xml:space="preserve">minutes and wash with PBS. Incubate the slides for </w:t>
      </w:r>
      <w:r w:rsidRPr="009544AD">
        <w:lastRenderedPageBreak/>
        <w:t>6</w:t>
      </w:r>
      <w:r w:rsidR="002D4688" w:rsidRPr="009544AD">
        <w:t>0 </w:t>
      </w:r>
      <w:r w:rsidRPr="009544AD">
        <w:t xml:space="preserve">minutes at </w:t>
      </w:r>
      <w:smartTag w:uri="urn:schemas-microsoft-com:office:smarttags" w:element="metricconverter">
        <w:smartTagPr>
          <w:attr w:name="ProductID" w:val="37ﾰC"/>
        </w:smartTagPr>
        <w:r w:rsidRPr="009544AD">
          <w:t>37</w:t>
        </w:r>
        <w:r w:rsidR="006A21B4" w:rsidRPr="009544AD">
          <w:t>°</w:t>
        </w:r>
        <w:r w:rsidR="00033DAE" w:rsidRPr="009544AD">
          <w:t>C</w:t>
        </w:r>
      </w:smartTag>
      <w:r w:rsidRPr="009544AD">
        <w:t xml:space="preserve"> with anti-vaccinia virus monoclonal antibody 5B4</w:t>
      </w:r>
      <w:r w:rsidR="003C764C" w:rsidRPr="00027048">
        <w:rPr>
          <w:rStyle w:val="Appelnotedebasdep"/>
        </w:rPr>
        <w:footnoteReference w:id="4"/>
      </w:r>
      <w:r w:rsidRPr="009544AD">
        <w:t>, diluted 1</w:t>
      </w:r>
      <w:r w:rsidR="00635BE5" w:rsidRPr="009544AD">
        <w:t>/</w:t>
      </w:r>
      <w:r w:rsidRPr="009544AD">
        <w:t>500. Remove the monoclonal antibody by washing twice with cold PBS. Incubate the slides for 3</w:t>
      </w:r>
      <w:r w:rsidR="002D4688" w:rsidRPr="009544AD">
        <w:t>0 </w:t>
      </w:r>
      <w:r w:rsidRPr="009544AD">
        <w:t xml:space="preserve">minutes with anti-mouse antibodies labelled with biotin. Wash with PBS for </w:t>
      </w:r>
      <w:r w:rsidR="00AC4142" w:rsidRPr="009544AD">
        <w:t>5 </w:t>
      </w:r>
      <w:r w:rsidRPr="009544AD">
        <w:t>minutes and incubate with streptavidin-peroxidase for 3</w:t>
      </w:r>
      <w:r w:rsidR="002D4688" w:rsidRPr="009544AD">
        <w:t>0 </w:t>
      </w:r>
      <w:r w:rsidRPr="009544AD">
        <w:t xml:space="preserve">minutes. Wash again with PBS for </w:t>
      </w:r>
      <w:r w:rsidR="00AC4142" w:rsidRPr="009544AD">
        <w:t>5 </w:t>
      </w:r>
      <w:r w:rsidRPr="009544AD">
        <w:t>minutes and add diaminobenzidine as c</w:t>
      </w:r>
      <w:r w:rsidR="000E1A0E" w:rsidRPr="009544AD">
        <w:t>h</w:t>
      </w:r>
      <w:r w:rsidRPr="009544AD">
        <w:t>romogen for 1</w:t>
      </w:r>
      <w:r w:rsidR="002D4688" w:rsidRPr="009544AD">
        <w:t>0 </w:t>
      </w:r>
      <w:r w:rsidRPr="009544AD">
        <w:t>minutes</w:t>
      </w:r>
      <w:r w:rsidR="006F23FD">
        <w:t xml:space="preserve">. </w:t>
      </w:r>
      <w:r w:rsidR="00E32D1C" w:rsidRPr="006F23FD">
        <w:rPr>
          <w:u w:val="double"/>
        </w:rPr>
        <w:t xml:space="preserve">Examine the slides under the microscope using </w:t>
      </w:r>
      <w:r w:rsidR="006F23FD">
        <w:rPr>
          <w:u w:val="double"/>
        </w:rPr>
        <w:t>×</w:t>
      </w:r>
      <w:r w:rsidR="00E32D1C" w:rsidRPr="006F23FD">
        <w:rPr>
          <w:u w:val="double"/>
        </w:rPr>
        <w:t>200</w:t>
      </w:r>
      <w:r w:rsidR="006F23FD" w:rsidRPr="006F23FD">
        <w:rPr>
          <w:u w:val="double"/>
        </w:rPr>
        <w:t>–</w:t>
      </w:r>
      <w:r w:rsidR="00E32D1C" w:rsidRPr="006F23FD">
        <w:rPr>
          <w:u w:val="double"/>
        </w:rPr>
        <w:t>400 magnification for any brown-labelled pox antigen.</w:t>
      </w:r>
    </w:p>
    <w:p w14:paraId="09788A61" w14:textId="77777777" w:rsidR="000B312D" w:rsidRPr="009544AD" w:rsidRDefault="00A65D7B" w:rsidP="00A65D7B">
      <w:pPr>
        <w:pStyle w:val="11"/>
      </w:pPr>
      <w:r w:rsidRPr="009544AD">
        <w:t>1.5.</w:t>
      </w:r>
      <w:r w:rsidR="000B312D" w:rsidRPr="009544AD">
        <w:tab/>
        <w:t>Polymerase chain reaction</w:t>
      </w:r>
    </w:p>
    <w:p w14:paraId="7061648E" w14:textId="11C913EE" w:rsidR="000B312D" w:rsidRPr="009544AD" w:rsidRDefault="000B312D" w:rsidP="00A65D7B">
      <w:pPr>
        <w:pStyle w:val="11Para"/>
      </w:pPr>
      <w:r w:rsidRPr="009544AD">
        <w:t xml:space="preserve">The PCR is a fast and sensitive method for the detection of orthopoxviral DNA. </w:t>
      </w:r>
      <w:r w:rsidR="006610DD" w:rsidRPr="009544AD">
        <w:t xml:space="preserve">Several gel-based PCR methods have been described for the detection of </w:t>
      </w:r>
      <w:proofErr w:type="spellStart"/>
      <w:r w:rsidR="006610DD" w:rsidRPr="009544AD">
        <w:t>camelpox</w:t>
      </w:r>
      <w:proofErr w:type="spellEnd"/>
      <w:r w:rsidR="006610DD" w:rsidRPr="009544AD">
        <w:t xml:space="preserve"> viral DNA (Balamurugan </w:t>
      </w:r>
      <w:r w:rsidR="006610DD" w:rsidRPr="009544AD">
        <w:rPr>
          <w:i/>
        </w:rPr>
        <w:t>et al</w:t>
      </w:r>
      <w:r w:rsidR="006610DD" w:rsidRPr="009544AD">
        <w:t xml:space="preserve">., 2009; Meyer </w:t>
      </w:r>
      <w:r w:rsidR="006610DD" w:rsidRPr="009544AD">
        <w:rPr>
          <w:i/>
        </w:rPr>
        <w:t>et al</w:t>
      </w:r>
      <w:r w:rsidR="006610DD" w:rsidRPr="009544AD">
        <w:t>.</w:t>
      </w:r>
      <w:r w:rsidR="006D25D1" w:rsidRPr="009544AD">
        <w:t xml:space="preserve">, </w:t>
      </w:r>
      <w:r w:rsidR="006610DD" w:rsidRPr="009544AD">
        <w:t xml:space="preserve">1994; 1997; </w:t>
      </w:r>
      <w:proofErr w:type="spellStart"/>
      <w:r w:rsidR="006610DD" w:rsidRPr="009544AD">
        <w:t>Ropp</w:t>
      </w:r>
      <w:proofErr w:type="spellEnd"/>
      <w:r w:rsidR="006610DD" w:rsidRPr="009544AD">
        <w:t xml:space="preserve"> </w:t>
      </w:r>
      <w:r w:rsidR="006610DD" w:rsidRPr="009544AD">
        <w:rPr>
          <w:i/>
        </w:rPr>
        <w:t>et al</w:t>
      </w:r>
      <w:r w:rsidR="006610DD" w:rsidRPr="009544AD">
        <w:t>., 1995)</w:t>
      </w:r>
      <w:r w:rsidR="006D25D1" w:rsidRPr="009544AD">
        <w:t>.</w:t>
      </w:r>
      <w:r w:rsidR="006610DD" w:rsidRPr="009544AD">
        <w:t xml:space="preserve"> </w:t>
      </w:r>
      <w:r w:rsidRPr="009544AD">
        <w:t xml:space="preserve">A </w:t>
      </w:r>
      <w:r w:rsidR="001E494B" w:rsidRPr="009544AD">
        <w:t xml:space="preserve">generic PCR assay, </w:t>
      </w:r>
      <w:r w:rsidRPr="009544AD">
        <w:t xml:space="preserve">described by Meyer </w:t>
      </w:r>
      <w:r w:rsidR="00D4764B" w:rsidRPr="009544AD">
        <w:rPr>
          <w:i/>
        </w:rPr>
        <w:t>et al</w:t>
      </w:r>
      <w:r w:rsidRPr="009544AD">
        <w:rPr>
          <w:i/>
        </w:rPr>
        <w:t>.</w:t>
      </w:r>
      <w:r w:rsidRPr="009544AD">
        <w:t xml:space="preserve"> (</w:t>
      </w:r>
      <w:r w:rsidR="00FB0BA9" w:rsidRPr="009544AD">
        <w:t>1994</w:t>
      </w:r>
      <w:r w:rsidRPr="009544AD">
        <w:t xml:space="preserve">), allows the detection and differentiation of species of the genus </w:t>
      </w:r>
      <w:proofErr w:type="spellStart"/>
      <w:r w:rsidRPr="009544AD">
        <w:rPr>
          <w:i/>
        </w:rPr>
        <w:t>Orthopoxvirus</w:t>
      </w:r>
      <w:proofErr w:type="spellEnd"/>
      <w:r w:rsidR="001E494B" w:rsidRPr="009544AD">
        <w:rPr>
          <w:i/>
        </w:rPr>
        <w:t xml:space="preserve"> </w:t>
      </w:r>
      <w:r w:rsidR="00146FFE" w:rsidRPr="009544AD">
        <w:t>because of</w:t>
      </w:r>
      <w:r w:rsidR="001E494B" w:rsidRPr="009544AD">
        <w:t xml:space="preserve"> the size differences of the am</w:t>
      </w:r>
      <w:r w:rsidR="002B41E2" w:rsidRPr="009544AD">
        <w:t>p</w:t>
      </w:r>
      <w:r w:rsidR="001E494B" w:rsidRPr="009544AD">
        <w:t>licons</w:t>
      </w:r>
      <w:r w:rsidR="0086603E" w:rsidRPr="009544AD">
        <w:t>. Using the primer pair: 5’-</w:t>
      </w:r>
      <w:r w:rsidRPr="009544AD">
        <w:t>AAT</w:t>
      </w:r>
      <w:r w:rsidR="0086603E" w:rsidRPr="009544AD">
        <w:t>-</w:t>
      </w:r>
      <w:r w:rsidRPr="009544AD">
        <w:t>ACA</w:t>
      </w:r>
      <w:r w:rsidR="0086603E" w:rsidRPr="009544AD">
        <w:t>-</w:t>
      </w:r>
      <w:r w:rsidRPr="009544AD">
        <w:t>AGG</w:t>
      </w:r>
      <w:r w:rsidR="0086603E" w:rsidRPr="009544AD">
        <w:t>-</w:t>
      </w:r>
      <w:r w:rsidRPr="009544AD">
        <w:t>AGG</w:t>
      </w:r>
      <w:r w:rsidR="0086603E" w:rsidRPr="009544AD">
        <w:t>-</w:t>
      </w:r>
      <w:r w:rsidRPr="009544AD">
        <w:t>ATC</w:t>
      </w:r>
      <w:r w:rsidR="0086603E" w:rsidRPr="009544AD">
        <w:t>-</w:t>
      </w:r>
      <w:r w:rsidRPr="009544AD">
        <w:t>T</w:t>
      </w:r>
      <w:r w:rsidR="0086603E" w:rsidRPr="009544AD">
        <w:t>-</w:t>
      </w:r>
      <w:smartTag w:uri="urn:schemas-microsoft-com:office:smarttags" w:element="metricconverter">
        <w:smartTagPr>
          <w:attr w:name="ProductID" w:val="3’"/>
        </w:smartTagPr>
        <w:r w:rsidRPr="009544AD">
          <w:t>3’</w:t>
        </w:r>
      </w:smartTag>
      <w:r w:rsidRPr="009544AD">
        <w:t xml:space="preserve"> and 5’</w:t>
      </w:r>
      <w:r w:rsidR="0086603E" w:rsidRPr="009544AD">
        <w:t>-</w:t>
      </w:r>
      <w:r w:rsidRPr="009544AD">
        <w:t>CTT</w:t>
      </w:r>
      <w:r w:rsidR="0086603E" w:rsidRPr="009544AD">
        <w:t>-</w:t>
      </w:r>
      <w:r w:rsidRPr="009544AD">
        <w:t>AAC</w:t>
      </w:r>
      <w:r w:rsidR="0086603E" w:rsidRPr="009544AD">
        <w:t>-</w:t>
      </w:r>
      <w:r w:rsidRPr="009544AD">
        <w:t>TTT</w:t>
      </w:r>
      <w:r w:rsidR="0086603E" w:rsidRPr="009544AD">
        <w:t>-</w:t>
      </w:r>
      <w:r w:rsidRPr="009544AD">
        <w:t>TTC</w:t>
      </w:r>
      <w:r w:rsidR="0086603E" w:rsidRPr="009544AD">
        <w:t>-</w:t>
      </w:r>
      <w:r w:rsidRPr="009544AD">
        <w:t>TTT</w:t>
      </w:r>
      <w:r w:rsidR="0086603E" w:rsidRPr="009544AD">
        <w:t>-</w:t>
      </w:r>
      <w:r w:rsidRPr="009544AD">
        <w:t>CTC</w:t>
      </w:r>
      <w:r w:rsidR="0086603E" w:rsidRPr="009544AD">
        <w:t>-</w:t>
      </w:r>
      <w:smartTag w:uri="urn:schemas-microsoft-com:office:smarttags" w:element="metricconverter">
        <w:smartTagPr>
          <w:attr w:name="ProductID" w:val="3’"/>
        </w:smartTagPr>
        <w:r w:rsidRPr="009544AD">
          <w:t>3’</w:t>
        </w:r>
      </w:smartTag>
      <w:r w:rsidR="000E1A0E" w:rsidRPr="009544AD">
        <w:t>,</w:t>
      </w:r>
      <w:r w:rsidRPr="009544AD">
        <w:t xml:space="preserve"> the gene sequence encoding the A-type inclusion protein (ATIP) will be amplified. The size of the PCR product, specific for the </w:t>
      </w:r>
      <w:proofErr w:type="spellStart"/>
      <w:r w:rsidRPr="009544AD">
        <w:t>camelpox</w:t>
      </w:r>
      <w:proofErr w:type="spellEnd"/>
      <w:r w:rsidRPr="009544AD">
        <w:t xml:space="preserve"> virus, is 88</w:t>
      </w:r>
      <w:r w:rsidR="00635BE5" w:rsidRPr="009544AD">
        <w:t>1 </w:t>
      </w:r>
      <w:r w:rsidR="000E1A0E" w:rsidRPr="009544AD">
        <w:t>bp.</w:t>
      </w:r>
    </w:p>
    <w:p w14:paraId="635B9A10" w14:textId="09C9B5F4" w:rsidR="000B312D" w:rsidRPr="009544AD" w:rsidRDefault="00A65D7B" w:rsidP="00A65D7B">
      <w:pPr>
        <w:pStyle w:val="111"/>
      </w:pPr>
      <w:r w:rsidRPr="009544AD">
        <w:t>1.5.1.</w:t>
      </w:r>
      <w:r w:rsidR="000B312D" w:rsidRPr="009544AD">
        <w:tab/>
      </w:r>
      <w:r w:rsidR="00962187" w:rsidRPr="009544AD">
        <w:t>Test procedure</w:t>
      </w:r>
      <w:r w:rsidR="006610DD" w:rsidRPr="009544AD">
        <w:t xml:space="preserve"> for gel-based PCR</w:t>
      </w:r>
    </w:p>
    <w:p w14:paraId="4C324907" w14:textId="7B2A677D" w:rsidR="000B312D" w:rsidRPr="009544AD" w:rsidRDefault="000B312D" w:rsidP="00A65D7B">
      <w:pPr>
        <w:pStyle w:val="111Para"/>
      </w:pPr>
      <w:r w:rsidRPr="009544AD">
        <w:t>Suspend a small aliquot of crusted scabs in 9</w:t>
      </w:r>
      <w:r w:rsidR="002D4688" w:rsidRPr="009544AD">
        <w:t>0 </w:t>
      </w:r>
      <w:r w:rsidRPr="009544AD">
        <w:t>µl of lysis solution (</w:t>
      </w:r>
      <w:smartTag w:uri="urn:schemas-microsoft-com:office:smarttags" w:element="metricconverter">
        <w:smartTagPr>
          <w:attr w:name="ProductID" w:val="50ﾠmM"/>
        </w:smartTagPr>
        <w:r w:rsidRPr="009544AD">
          <w:t>5</w:t>
        </w:r>
        <w:r w:rsidR="002D4688" w:rsidRPr="009544AD">
          <w:t>0 </w:t>
        </w:r>
        <w:r w:rsidRPr="009544AD">
          <w:t>m</w:t>
        </w:r>
        <w:r w:rsidRPr="009544AD">
          <w:rPr>
            <w:iCs/>
          </w:rPr>
          <w:t>M</w:t>
        </w:r>
      </w:smartTag>
      <w:r w:rsidRPr="009544AD">
        <w:t xml:space="preserve"> Tris</w:t>
      </w:r>
      <w:r w:rsidR="000E1A0E" w:rsidRPr="009544AD">
        <w:t>/</w:t>
      </w:r>
      <w:r w:rsidRPr="009544AD">
        <w:t>HCl, pH</w:t>
      </w:r>
      <w:r w:rsidR="000E1A0E" w:rsidRPr="009544AD">
        <w:t> </w:t>
      </w:r>
      <w:r w:rsidRPr="009544AD">
        <w:t xml:space="preserve">8.0, </w:t>
      </w:r>
      <w:smartTag w:uri="urn:schemas-microsoft-com:office:smarttags" w:element="metricconverter">
        <w:smartTagPr>
          <w:attr w:name="ProductID" w:val="100ﾠmM"/>
        </w:smartTagPr>
        <w:r w:rsidRPr="009544AD">
          <w:t>10</w:t>
        </w:r>
        <w:r w:rsidR="002D4688" w:rsidRPr="009544AD">
          <w:t>0 </w:t>
        </w:r>
        <w:r w:rsidRPr="009544AD">
          <w:t>mM</w:t>
        </w:r>
      </w:smartTag>
      <w:r w:rsidRPr="009544AD">
        <w:t xml:space="preserve"> Na</w:t>
      </w:r>
      <w:r w:rsidRPr="00027048">
        <w:rPr>
          <w:vertAlign w:val="subscript"/>
        </w:rPr>
        <w:t>2</w:t>
      </w:r>
      <w:r w:rsidR="000E1A0E" w:rsidRPr="00027048">
        <w:rPr>
          <w:vertAlign w:val="subscript"/>
        </w:rPr>
        <w:t> </w:t>
      </w:r>
      <w:r w:rsidRPr="009544AD">
        <w:t xml:space="preserve">EDTA, </w:t>
      </w:r>
      <w:smartTag w:uri="urn:schemas-microsoft-com:office:smarttags" w:element="metricconverter">
        <w:smartTagPr>
          <w:attr w:name="ProductID" w:val="100ﾠmM"/>
        </w:smartTagPr>
        <w:r w:rsidRPr="009544AD">
          <w:t>100</w:t>
        </w:r>
        <w:r w:rsidR="0086603E" w:rsidRPr="009544AD">
          <w:t> </w:t>
        </w:r>
        <w:r w:rsidRPr="009544AD">
          <w:t>m</w:t>
        </w:r>
        <w:r w:rsidRPr="009544AD">
          <w:rPr>
            <w:iCs/>
          </w:rPr>
          <w:t>M</w:t>
        </w:r>
      </w:smartTag>
      <w:r w:rsidRPr="009544AD">
        <w:t xml:space="preserve"> NaCl, 1% sodium dodecyl sulphate) and add 1</w:t>
      </w:r>
      <w:r w:rsidR="002D4688" w:rsidRPr="009544AD">
        <w:t>0 </w:t>
      </w:r>
      <w:r w:rsidRPr="009544AD">
        <w:t>µl of proteinase K (2</w:t>
      </w:r>
      <w:r w:rsidR="002D4688" w:rsidRPr="009544AD">
        <w:t>0 </w:t>
      </w:r>
      <w:r w:rsidRPr="009544AD">
        <w:t>mg/ml</w:t>
      </w:r>
      <w:r w:rsidRPr="003530E4">
        <w:rPr>
          <w:strike/>
        </w:rPr>
        <w:t>, Invitrogen</w:t>
      </w:r>
      <w:r w:rsidRPr="009544AD">
        <w:t>). Digest the sample for 1</w:t>
      </w:r>
      <w:r w:rsidR="002D4688" w:rsidRPr="009544AD">
        <w:t>0 </w:t>
      </w:r>
      <w:r w:rsidRPr="009544AD">
        <w:t>min</w:t>
      </w:r>
      <w:r w:rsidR="0086603E" w:rsidRPr="009544AD">
        <w:t>utes</w:t>
      </w:r>
      <w:r w:rsidRPr="009544AD">
        <w:t xml:space="preserve"> at </w:t>
      </w:r>
      <w:smartTag w:uri="urn:schemas-microsoft-com:office:smarttags" w:element="metricconverter">
        <w:smartTagPr>
          <w:attr w:name="ProductID" w:val="37ﾰC"/>
        </w:smartTagPr>
        <w:r w:rsidRPr="009544AD">
          <w:t>37</w:t>
        </w:r>
        <w:r w:rsidR="00033DAE" w:rsidRPr="009544AD">
          <w:t>°C</w:t>
        </w:r>
      </w:smartTag>
      <w:r w:rsidRPr="009544AD">
        <w:t xml:space="preserve"> prior to the disruption of the scab or tissue with a microfuge tube pestle. Add another 35</w:t>
      </w:r>
      <w:r w:rsidR="002D4688" w:rsidRPr="009544AD">
        <w:t>0 </w:t>
      </w:r>
      <w:r w:rsidRPr="009544AD">
        <w:t>µl lysis solution and 5</w:t>
      </w:r>
      <w:r w:rsidR="002D4688" w:rsidRPr="009544AD">
        <w:t>0 </w:t>
      </w:r>
      <w:r w:rsidRPr="009544AD">
        <w:t xml:space="preserve">µl of proteinase K, mix gently and incubate for </w:t>
      </w:r>
      <w:r w:rsidR="00CF517D" w:rsidRPr="009544AD">
        <w:t>3 </w:t>
      </w:r>
      <w:r w:rsidRPr="009544AD">
        <w:t xml:space="preserve">hours at </w:t>
      </w:r>
      <w:smartTag w:uri="urn:schemas-microsoft-com:office:smarttags" w:element="metricconverter">
        <w:smartTagPr>
          <w:attr w:name="ProductID" w:val="37ﾰC"/>
        </w:smartTagPr>
        <w:r w:rsidRPr="009544AD">
          <w:t>37</w:t>
        </w:r>
        <w:r w:rsidR="00033DAE" w:rsidRPr="009544AD">
          <w:t>°C</w:t>
        </w:r>
      </w:smartTag>
      <w:r w:rsidRPr="009544AD">
        <w:t xml:space="preserve">. Extract the lysed suspension with </w:t>
      </w:r>
      <w:r w:rsidR="000E1A0E" w:rsidRPr="009544AD">
        <w:t xml:space="preserve">an </w:t>
      </w:r>
      <w:r w:rsidRPr="009544AD">
        <w:t>equal volume of phenol</w:t>
      </w:r>
      <w:r w:rsidR="0086603E" w:rsidRPr="009544AD">
        <w:t>/</w:t>
      </w:r>
      <w:r w:rsidRPr="009544AD">
        <w:t>chloroform</w:t>
      </w:r>
      <w:r w:rsidR="0086603E" w:rsidRPr="009544AD">
        <w:t>/</w:t>
      </w:r>
      <w:r w:rsidRPr="009544AD">
        <w:t>isoamyl</w:t>
      </w:r>
      <w:r w:rsidR="003E2A96">
        <w:t xml:space="preserve"> </w:t>
      </w:r>
      <w:r w:rsidRPr="009544AD">
        <w:t>alcohol (25</w:t>
      </w:r>
      <w:r w:rsidR="0086603E" w:rsidRPr="009544AD">
        <w:t>/</w:t>
      </w:r>
      <w:r w:rsidRPr="009544AD">
        <w:t>24</w:t>
      </w:r>
      <w:r w:rsidR="0086603E" w:rsidRPr="009544AD">
        <w:t>/</w:t>
      </w:r>
      <w:r w:rsidRPr="009544AD">
        <w:t xml:space="preserve">1) and centrifuge at </w:t>
      </w:r>
      <w:smartTag w:uri="urn:schemas-microsoft-com:office:smarttags" w:element="metricconverter">
        <w:smartTagPr>
          <w:attr w:name="ProductID" w:val="8000ﾠg"/>
        </w:smartTagPr>
        <w:r w:rsidRPr="009544AD">
          <w:t>800</w:t>
        </w:r>
        <w:r w:rsidR="002D4688" w:rsidRPr="009544AD">
          <w:t>0 </w:t>
        </w:r>
        <w:r w:rsidRPr="009544AD">
          <w:rPr>
            <w:b/>
            <w:bCs/>
            <w:i/>
            <w:iCs/>
          </w:rPr>
          <w:t>g</w:t>
        </w:r>
      </w:smartTag>
      <w:r w:rsidRPr="009544AD">
        <w:t xml:space="preserve"> at </w:t>
      </w:r>
      <w:smartTag w:uri="urn:schemas-microsoft-com:office:smarttags" w:element="metricconverter">
        <w:smartTagPr>
          <w:attr w:name="ProductID" w:val="4ﾰC"/>
        </w:smartTagPr>
        <w:r w:rsidRPr="009544AD">
          <w:t>4</w:t>
        </w:r>
        <w:r w:rsidR="00033DAE" w:rsidRPr="009544AD">
          <w:t>°C</w:t>
        </w:r>
      </w:smartTag>
      <w:r w:rsidRPr="009544AD">
        <w:t xml:space="preserve"> for </w:t>
      </w:r>
      <w:r w:rsidR="00635BE5" w:rsidRPr="009544AD">
        <w:t>1 </w:t>
      </w:r>
      <w:r w:rsidRPr="009544AD">
        <w:t>min</w:t>
      </w:r>
      <w:r w:rsidR="00635BE5" w:rsidRPr="009544AD">
        <w:t>ute</w:t>
      </w:r>
      <w:r w:rsidRPr="009544AD">
        <w:t>. Collect the upper aqueous phase and mix it again with an equal volume of phenol</w:t>
      </w:r>
      <w:r w:rsidR="000E1A0E" w:rsidRPr="009544AD">
        <w:t>/</w:t>
      </w:r>
      <w:r w:rsidRPr="009544AD">
        <w:t>chloroform</w:t>
      </w:r>
      <w:r w:rsidR="000E1A0E" w:rsidRPr="009544AD">
        <w:t>/</w:t>
      </w:r>
      <w:r w:rsidRPr="009544AD">
        <w:t>isoamyl</w:t>
      </w:r>
      <w:r w:rsidR="005360A2">
        <w:t xml:space="preserve"> </w:t>
      </w:r>
      <w:r w:rsidRPr="009544AD">
        <w:t>alcohol (25</w:t>
      </w:r>
      <w:r w:rsidR="000E1A0E" w:rsidRPr="009544AD">
        <w:t>/</w:t>
      </w:r>
      <w:r w:rsidRPr="009544AD">
        <w:t>24</w:t>
      </w:r>
      <w:r w:rsidR="000E1A0E" w:rsidRPr="009544AD">
        <w:t>/</w:t>
      </w:r>
      <w:r w:rsidRPr="009544AD">
        <w:t xml:space="preserve">1). Centrifuge at </w:t>
      </w:r>
      <w:smartTag w:uri="urn:schemas-microsoft-com:office:smarttags" w:element="metricconverter">
        <w:smartTagPr>
          <w:attr w:name="ProductID" w:val="8000ﾠg"/>
        </w:smartTagPr>
        <w:r w:rsidRPr="009544AD">
          <w:t>800</w:t>
        </w:r>
        <w:r w:rsidR="002D4688" w:rsidRPr="009544AD">
          <w:t>0 </w:t>
        </w:r>
        <w:r w:rsidRPr="009544AD">
          <w:rPr>
            <w:b/>
            <w:bCs/>
            <w:i/>
            <w:iCs/>
          </w:rPr>
          <w:t>g</w:t>
        </w:r>
      </w:smartTag>
      <w:r w:rsidRPr="009544AD">
        <w:t xml:space="preserve"> at </w:t>
      </w:r>
      <w:smartTag w:uri="urn:schemas-microsoft-com:office:smarttags" w:element="metricconverter">
        <w:smartTagPr>
          <w:attr w:name="ProductID" w:val="4ﾰC"/>
        </w:smartTagPr>
        <w:r w:rsidRPr="009544AD">
          <w:t>4</w:t>
        </w:r>
        <w:r w:rsidR="00033DAE" w:rsidRPr="009544AD">
          <w:t>°C</w:t>
        </w:r>
      </w:smartTag>
      <w:r w:rsidRPr="009544AD">
        <w:t xml:space="preserve"> for </w:t>
      </w:r>
      <w:r w:rsidR="00635BE5" w:rsidRPr="009544AD">
        <w:t>1 </w:t>
      </w:r>
      <w:r w:rsidRPr="009544AD">
        <w:t>min</w:t>
      </w:r>
      <w:r w:rsidR="00635BE5" w:rsidRPr="009544AD">
        <w:t>ute</w:t>
      </w:r>
      <w:r w:rsidRPr="009544AD">
        <w:t xml:space="preserve"> and transfer the upper, aqueous phase to a new tube. Precipitate the DNA by adding 1</w:t>
      </w:r>
      <w:r w:rsidR="0086603E" w:rsidRPr="009544AD">
        <w:t>/</w:t>
      </w:r>
      <w:r w:rsidRPr="009544AD">
        <w:t>1</w:t>
      </w:r>
      <w:r w:rsidR="002D4688" w:rsidRPr="009544AD">
        <w:t>0 </w:t>
      </w:r>
      <w:r w:rsidRPr="009544AD">
        <w:t xml:space="preserve">volume of </w:t>
      </w:r>
      <w:smartTag w:uri="urn:schemas-microsoft-com:office:smarttags" w:element="metricconverter">
        <w:smartTagPr>
          <w:attr w:name="ProductID" w:val="3ﾠM"/>
        </w:smartTagPr>
        <w:r w:rsidRPr="009544AD">
          <w:t>3</w:t>
        </w:r>
        <w:r w:rsidR="0086603E" w:rsidRPr="009544AD">
          <w:t> </w:t>
        </w:r>
        <w:r w:rsidRPr="009544AD">
          <w:t>M</w:t>
        </w:r>
      </w:smartTag>
      <w:r w:rsidRPr="009544AD">
        <w:t xml:space="preserve"> sodium acetate and </w:t>
      </w:r>
      <w:r w:rsidR="0086603E" w:rsidRPr="009544AD">
        <w:t xml:space="preserve">two </w:t>
      </w:r>
      <w:r w:rsidRPr="009544AD">
        <w:t>volumes of ice</w:t>
      </w:r>
      <w:r w:rsidR="000E1A0E" w:rsidRPr="009544AD">
        <w:t>-</w:t>
      </w:r>
      <w:r w:rsidRPr="009544AD">
        <w:t xml:space="preserve">cold absolute ethanol. Place the mixture at </w:t>
      </w:r>
      <w:r w:rsidR="0086603E" w:rsidRPr="009544AD">
        <w:t>–</w:t>
      </w:r>
      <w:r w:rsidRPr="009544AD">
        <w:t>70</w:t>
      </w:r>
      <w:r w:rsidR="00033DAE" w:rsidRPr="009544AD">
        <w:t>°C</w:t>
      </w:r>
      <w:r w:rsidRPr="009544AD">
        <w:t xml:space="preserve"> for 3</w:t>
      </w:r>
      <w:r w:rsidR="002D4688" w:rsidRPr="009544AD">
        <w:t>0 </w:t>
      </w:r>
      <w:r w:rsidRPr="009544AD">
        <w:t xml:space="preserve">minutes or </w:t>
      </w:r>
      <w:r w:rsidR="0086603E" w:rsidRPr="009544AD">
        <w:t>–</w:t>
      </w:r>
      <w:r w:rsidRPr="009544AD">
        <w:t>20°C overnight. Centrifuge at 1</w:t>
      </w:r>
      <w:r w:rsidR="00AC4142" w:rsidRPr="009544AD">
        <w:t>5</w:t>
      </w:r>
      <w:r w:rsidR="000E1A0E" w:rsidRPr="009544AD">
        <w:t>,</w:t>
      </w:r>
      <w:r w:rsidRPr="009544AD">
        <w:t>00</w:t>
      </w:r>
      <w:r w:rsidR="002D4688" w:rsidRPr="009544AD">
        <w:t>0 </w:t>
      </w:r>
      <w:r w:rsidRPr="009544AD">
        <w:rPr>
          <w:b/>
          <w:bCs/>
          <w:i/>
          <w:iCs/>
        </w:rPr>
        <w:t>g</w:t>
      </w:r>
      <w:r w:rsidRPr="009544AD">
        <w:t xml:space="preserve"> for </w:t>
      </w:r>
      <w:r w:rsidR="00AC4142" w:rsidRPr="009544AD">
        <w:t>5 </w:t>
      </w:r>
      <w:r w:rsidRPr="009544AD">
        <w:t xml:space="preserve">minutes at </w:t>
      </w:r>
      <w:smartTag w:uri="urn:schemas-microsoft-com:office:smarttags" w:element="metricconverter">
        <w:smartTagPr>
          <w:attr w:name="ProductID" w:val="4ﾰC"/>
        </w:smartTagPr>
        <w:r w:rsidRPr="009544AD">
          <w:t>4</w:t>
        </w:r>
        <w:r w:rsidR="00033DAE" w:rsidRPr="009544AD">
          <w:t>°C</w:t>
        </w:r>
      </w:smartTag>
      <w:r w:rsidRPr="009544AD">
        <w:t>. Discard the supernatant and wash the pellet with 0.</w:t>
      </w:r>
      <w:r w:rsidR="00AC4142" w:rsidRPr="009544AD">
        <w:t>5 </w:t>
      </w:r>
      <w:r w:rsidRPr="009544AD">
        <w:t>ml of 70</w:t>
      </w:r>
      <w:r w:rsidR="00033DAE" w:rsidRPr="009544AD">
        <w:t>%</w:t>
      </w:r>
      <w:r w:rsidRPr="009544AD">
        <w:t xml:space="preserve"> ethanol. Centrifuge at 1</w:t>
      </w:r>
      <w:r w:rsidR="00AC4142" w:rsidRPr="009544AD">
        <w:t>5</w:t>
      </w:r>
      <w:r w:rsidR="000E1A0E" w:rsidRPr="009544AD">
        <w:t>,</w:t>
      </w:r>
      <w:r w:rsidRPr="009544AD">
        <w:t>00</w:t>
      </w:r>
      <w:r w:rsidR="002D4688" w:rsidRPr="009544AD">
        <w:t>0 </w:t>
      </w:r>
      <w:r w:rsidRPr="009544AD">
        <w:rPr>
          <w:b/>
          <w:bCs/>
          <w:i/>
          <w:iCs/>
        </w:rPr>
        <w:t>g</w:t>
      </w:r>
      <w:r w:rsidRPr="009544AD">
        <w:t xml:space="preserve"> for </w:t>
      </w:r>
      <w:r w:rsidR="00AC4142" w:rsidRPr="009544AD">
        <w:t>5 </w:t>
      </w:r>
      <w:r w:rsidRPr="009544AD">
        <w:t>minutes. Discard the supernatant and air-dry the pellets. Re</w:t>
      </w:r>
      <w:r w:rsidR="00694216" w:rsidRPr="009544AD">
        <w:t>suspend</w:t>
      </w:r>
      <w:r w:rsidRPr="009544AD">
        <w:t xml:space="preserve"> the pellets in 1</w:t>
      </w:r>
      <w:r w:rsidR="002D4688" w:rsidRPr="009544AD">
        <w:t>0 </w:t>
      </w:r>
      <w:r w:rsidRPr="009544AD">
        <w:t>µl of nuclease-free water.</w:t>
      </w:r>
      <w:r w:rsidR="002746AC" w:rsidRPr="009544AD">
        <w:t xml:space="preserve"> </w:t>
      </w:r>
      <w:r w:rsidR="000D0ADD" w:rsidRPr="009544AD">
        <w:t>Alternatively,</w:t>
      </w:r>
      <w:r w:rsidR="002746AC" w:rsidRPr="009544AD">
        <w:t xml:space="preserve"> DNA can be extracted using commercially available DNA extraction kits. </w:t>
      </w:r>
    </w:p>
    <w:p w14:paraId="40287CFE" w14:textId="77777777" w:rsidR="000B312D" w:rsidRPr="009544AD" w:rsidRDefault="000B312D" w:rsidP="00A65D7B">
      <w:pPr>
        <w:pStyle w:val="111Para"/>
      </w:pPr>
      <w:r w:rsidRPr="009544AD">
        <w:t>DNA amplification is carried out in a final volume of 5</w:t>
      </w:r>
      <w:r w:rsidR="002D4688" w:rsidRPr="009544AD">
        <w:t>0 </w:t>
      </w:r>
      <w:r w:rsidRPr="009544AD">
        <w:t xml:space="preserve">µl containing </w:t>
      </w:r>
      <w:r w:rsidR="00C9551C" w:rsidRPr="009544AD">
        <w:t>2 </w:t>
      </w:r>
      <w:r w:rsidRPr="009544AD">
        <w:t>µl of each dNTP (</w:t>
      </w:r>
      <w:smartTag w:uri="urn:schemas-microsoft-com:office:smarttags" w:element="metricconverter">
        <w:smartTagPr>
          <w:attr w:name="ProductID" w:val="10ﾠmM"/>
        </w:smartTagPr>
        <w:r w:rsidRPr="009544AD">
          <w:t>1</w:t>
        </w:r>
        <w:r w:rsidR="002D4688" w:rsidRPr="009544AD">
          <w:t>0 </w:t>
        </w:r>
        <w:r w:rsidRPr="009544AD">
          <w:t>mM</w:t>
        </w:r>
      </w:smartTag>
      <w:r w:rsidRPr="009544AD">
        <w:t xml:space="preserve">), </w:t>
      </w:r>
      <w:r w:rsidR="00AC4142" w:rsidRPr="009544AD">
        <w:t>5 </w:t>
      </w:r>
      <w:r w:rsidRPr="009544AD">
        <w:t>µl of 1</w:t>
      </w:r>
      <w:r w:rsidR="002D4688" w:rsidRPr="009544AD">
        <w:t>0 </w:t>
      </w:r>
      <w:r w:rsidR="0086603E" w:rsidRPr="009544AD">
        <w:t>×</w:t>
      </w:r>
      <w:r w:rsidRPr="009544AD">
        <w:t xml:space="preserve"> PCR buffer, 1.</w:t>
      </w:r>
      <w:r w:rsidR="00AC4142" w:rsidRPr="009544AD">
        <w:t>5 </w:t>
      </w:r>
      <w:r w:rsidRPr="009544AD">
        <w:t>µl of MgCl</w:t>
      </w:r>
      <w:r w:rsidRPr="00027048">
        <w:rPr>
          <w:vertAlign w:val="subscript"/>
        </w:rPr>
        <w:t xml:space="preserve">2 </w:t>
      </w:r>
      <w:r w:rsidRPr="009544AD">
        <w:t>(</w:t>
      </w:r>
      <w:smartTag w:uri="urn:schemas-microsoft-com:office:smarttags" w:element="metricconverter">
        <w:smartTagPr>
          <w:attr w:name="ProductID" w:val="50ﾠmM"/>
        </w:smartTagPr>
        <w:r w:rsidRPr="009544AD">
          <w:t>5</w:t>
        </w:r>
        <w:r w:rsidR="002D4688" w:rsidRPr="009544AD">
          <w:t>0 </w:t>
        </w:r>
        <w:r w:rsidRPr="009544AD">
          <w:t>mM</w:t>
        </w:r>
      </w:smartTag>
      <w:r w:rsidRPr="009544AD">
        <w:t xml:space="preserve">), </w:t>
      </w:r>
      <w:r w:rsidR="00635BE5" w:rsidRPr="009544AD">
        <w:t>1 </w:t>
      </w:r>
      <w:r w:rsidRPr="009544AD">
        <w:t>µl of each primer, 2.</w:t>
      </w:r>
      <w:r w:rsidR="00AC4142" w:rsidRPr="009544AD">
        <w:t>5 </w:t>
      </w:r>
      <w:r w:rsidRPr="009544AD">
        <w:t xml:space="preserve">U </w:t>
      </w:r>
      <w:proofErr w:type="spellStart"/>
      <w:r w:rsidRPr="009544AD">
        <w:rPr>
          <w:i/>
        </w:rPr>
        <w:t>Taq</w:t>
      </w:r>
      <w:proofErr w:type="spellEnd"/>
      <w:r w:rsidR="00033DAE" w:rsidRPr="009544AD">
        <w:t xml:space="preserve"> </w:t>
      </w:r>
      <w:r w:rsidRPr="009544AD">
        <w:t xml:space="preserve">DNA polymerase, </w:t>
      </w:r>
      <w:r w:rsidR="00635BE5" w:rsidRPr="009544AD">
        <w:t>1 </w:t>
      </w:r>
      <w:r w:rsidRPr="009544AD">
        <w:t>µl DNA template and an appropriate volume of nuclease-free water.</w:t>
      </w:r>
    </w:p>
    <w:p w14:paraId="6C4FE1E1" w14:textId="7D97BA3E" w:rsidR="000B312D" w:rsidRPr="009544AD" w:rsidRDefault="000B312D" w:rsidP="00A65D7B">
      <w:pPr>
        <w:pStyle w:val="111Para"/>
      </w:pPr>
      <w:r w:rsidRPr="0086775A">
        <w:rPr>
          <w:strike/>
          <w:highlight w:val="yellow"/>
        </w:rPr>
        <w:t xml:space="preserve">Incubate </w:t>
      </w:r>
      <w:r w:rsidR="00E95DCD" w:rsidRPr="0086775A">
        <w:rPr>
          <w:highlight w:val="yellow"/>
          <w:u w:val="double"/>
        </w:rPr>
        <w:t>Run</w:t>
      </w:r>
      <w:r w:rsidR="00E95DCD" w:rsidRPr="009544AD">
        <w:t xml:space="preserve"> </w:t>
      </w:r>
      <w:r w:rsidRPr="009544AD">
        <w:t>the samples in a thermal cycler</w:t>
      </w:r>
      <w:r w:rsidR="00501AA2">
        <w:t xml:space="preserve"> </w:t>
      </w:r>
      <w:r w:rsidR="00501AA2" w:rsidRPr="0086775A">
        <w:rPr>
          <w:highlight w:val="yellow"/>
          <w:u w:val="double"/>
        </w:rPr>
        <w:t>as follows</w:t>
      </w:r>
      <w:r w:rsidRPr="0086775A">
        <w:rPr>
          <w:highlight w:val="yellow"/>
        </w:rPr>
        <w:t>:</w:t>
      </w:r>
      <w:r w:rsidRPr="00E802F6">
        <w:rPr>
          <w:strike/>
          <w:highlight w:val="yellow"/>
        </w:rPr>
        <w:t xml:space="preserve"> </w:t>
      </w:r>
      <w:r w:rsidR="000E1A0E" w:rsidRPr="0086775A">
        <w:rPr>
          <w:strike/>
          <w:highlight w:val="yellow"/>
        </w:rPr>
        <w:t xml:space="preserve">first </w:t>
      </w:r>
      <w:r w:rsidRPr="0086775A">
        <w:rPr>
          <w:strike/>
          <w:highlight w:val="yellow"/>
        </w:rPr>
        <w:t>cycle:</w:t>
      </w:r>
      <w:r w:rsidRPr="009544AD">
        <w:t xml:space="preserve"> </w:t>
      </w:r>
      <w:r w:rsidR="00AC4142" w:rsidRPr="009544AD">
        <w:t>5 </w:t>
      </w:r>
      <w:r w:rsidRPr="009544AD">
        <w:t>minutes at 94</w:t>
      </w:r>
      <w:r w:rsidR="00033DAE" w:rsidRPr="009544AD">
        <w:t>°C</w:t>
      </w:r>
      <w:r w:rsidR="00BE1B7C" w:rsidRPr="0086775A">
        <w:rPr>
          <w:highlight w:val="yellow"/>
        </w:rPr>
        <w:t>;</w:t>
      </w:r>
      <w:r w:rsidRPr="0086775A">
        <w:rPr>
          <w:highlight w:val="yellow"/>
        </w:rPr>
        <w:t xml:space="preserve"> </w:t>
      </w:r>
      <w:r w:rsidRPr="0086775A">
        <w:rPr>
          <w:strike/>
          <w:highlight w:val="yellow"/>
        </w:rPr>
        <w:t xml:space="preserve">(initial denaturation step), </w:t>
      </w:r>
      <w:r w:rsidR="000E1A0E" w:rsidRPr="0086775A">
        <w:rPr>
          <w:strike/>
          <w:highlight w:val="yellow"/>
        </w:rPr>
        <w:t>second</w:t>
      </w:r>
      <w:r w:rsidRPr="0086775A">
        <w:rPr>
          <w:strike/>
          <w:highlight w:val="yellow"/>
        </w:rPr>
        <w:t xml:space="preserve"> cycle:</w:t>
      </w:r>
      <w:r w:rsidRPr="0086775A">
        <w:rPr>
          <w:strike/>
        </w:rPr>
        <w:t xml:space="preserve"> </w:t>
      </w:r>
      <w:r w:rsidR="00635BE5" w:rsidRPr="009544AD">
        <w:t>1 </w:t>
      </w:r>
      <w:r w:rsidRPr="009544AD">
        <w:t>min</w:t>
      </w:r>
      <w:r w:rsidR="00635BE5" w:rsidRPr="009544AD">
        <w:t>ute</w:t>
      </w:r>
      <w:r w:rsidRPr="009544AD">
        <w:t xml:space="preserve"> at 94</w:t>
      </w:r>
      <w:r w:rsidR="00033DAE" w:rsidRPr="009544AD">
        <w:t>°C</w:t>
      </w:r>
      <w:r w:rsidRPr="009544AD">
        <w:t xml:space="preserve">, </w:t>
      </w:r>
      <w:r w:rsidR="00635BE5" w:rsidRPr="009544AD">
        <w:t>1 </w:t>
      </w:r>
      <w:r w:rsidRPr="009544AD">
        <w:t>min</w:t>
      </w:r>
      <w:r w:rsidR="00635BE5" w:rsidRPr="009544AD">
        <w:t>ute</w:t>
      </w:r>
      <w:r w:rsidRPr="009544AD">
        <w:t xml:space="preserve"> at 45</w:t>
      </w:r>
      <w:r w:rsidR="00033DAE" w:rsidRPr="009544AD">
        <w:t>°C</w:t>
      </w:r>
      <w:r w:rsidRPr="009544AD">
        <w:t>, 2.</w:t>
      </w:r>
      <w:r w:rsidR="00AC4142" w:rsidRPr="009544AD">
        <w:t>5 </w:t>
      </w:r>
      <w:r w:rsidRPr="009544AD">
        <w:t>min</w:t>
      </w:r>
      <w:r w:rsidR="00635BE5" w:rsidRPr="009544AD">
        <w:t>utes</w:t>
      </w:r>
      <w:r w:rsidRPr="009544AD">
        <w:t xml:space="preserve"> at 72</w:t>
      </w:r>
      <w:r w:rsidR="00033DAE" w:rsidRPr="009544AD">
        <w:t>°C</w:t>
      </w:r>
      <w:r w:rsidRPr="009544AD">
        <w:t xml:space="preserve">. </w:t>
      </w:r>
      <w:r w:rsidRPr="0086775A">
        <w:rPr>
          <w:strike/>
          <w:highlight w:val="yellow"/>
        </w:rPr>
        <w:t>Repeat the second cycle</w:t>
      </w:r>
      <w:r w:rsidRPr="0086775A">
        <w:rPr>
          <w:highlight w:val="yellow"/>
        </w:rPr>
        <w:t xml:space="preserve"> </w:t>
      </w:r>
      <w:r w:rsidR="00B42764" w:rsidRPr="0086775A">
        <w:rPr>
          <w:highlight w:val="yellow"/>
          <w:u w:val="double"/>
        </w:rPr>
        <w:t>(</w:t>
      </w:r>
      <w:r w:rsidRPr="009544AD">
        <w:t>2</w:t>
      </w:r>
      <w:r w:rsidR="007B5B59" w:rsidRPr="009544AD">
        <w:t>9 </w:t>
      </w:r>
      <w:r w:rsidR="006A735D" w:rsidRPr="0086775A">
        <w:rPr>
          <w:highlight w:val="yellow"/>
          <w:u w:val="double"/>
        </w:rPr>
        <w:t>cycles)</w:t>
      </w:r>
      <w:r w:rsidR="00E802F6">
        <w:rPr>
          <w:highlight w:val="yellow"/>
          <w:u w:val="double"/>
        </w:rPr>
        <w:t>;</w:t>
      </w:r>
      <w:r w:rsidR="0086775A" w:rsidRPr="00E802F6">
        <w:rPr>
          <w:highlight w:val="yellow"/>
        </w:rPr>
        <w:t xml:space="preserve"> </w:t>
      </w:r>
      <w:r w:rsidRPr="00E802F6">
        <w:rPr>
          <w:strike/>
          <w:highlight w:val="yellow"/>
        </w:rPr>
        <w:t>times. Last cycle:</w:t>
      </w:r>
      <w:r w:rsidRPr="00E802F6">
        <w:rPr>
          <w:strike/>
        </w:rPr>
        <w:t xml:space="preserve"> </w:t>
      </w:r>
      <w:r w:rsidRPr="009544AD">
        <w:t>1</w:t>
      </w:r>
      <w:r w:rsidR="002D4688" w:rsidRPr="009544AD">
        <w:t>0 </w:t>
      </w:r>
      <w:r w:rsidRPr="009544AD">
        <w:t>min</w:t>
      </w:r>
      <w:r w:rsidR="00635BE5" w:rsidRPr="009544AD">
        <w:t>utes</w:t>
      </w:r>
      <w:r w:rsidRPr="009544AD">
        <w:t xml:space="preserve"> at 72</w:t>
      </w:r>
      <w:r w:rsidR="00033DAE" w:rsidRPr="009544AD">
        <w:t>°C</w:t>
      </w:r>
      <w:r w:rsidRPr="009544AD">
        <w:t xml:space="preserve"> </w:t>
      </w:r>
      <w:r w:rsidRPr="0086775A">
        <w:rPr>
          <w:strike/>
          <w:highlight w:val="yellow"/>
        </w:rPr>
        <w:t>(final elongation step) and</w:t>
      </w:r>
      <w:r w:rsidR="0086775A" w:rsidRPr="0086775A">
        <w:rPr>
          <w:strike/>
          <w:highlight w:val="yellow"/>
        </w:rPr>
        <w:t xml:space="preserve"> </w:t>
      </w:r>
      <w:r w:rsidR="00425CB0" w:rsidRPr="0086775A">
        <w:rPr>
          <w:highlight w:val="yellow"/>
          <w:u w:val="double"/>
        </w:rPr>
        <w:t>then</w:t>
      </w:r>
      <w:r w:rsidRPr="009544AD">
        <w:t xml:space="preserve"> hold at 4</w:t>
      </w:r>
      <w:r w:rsidR="00033DAE" w:rsidRPr="009544AD">
        <w:t>°C</w:t>
      </w:r>
      <w:r w:rsidRPr="009544AD">
        <w:t xml:space="preserve"> until analysis.</w:t>
      </w:r>
    </w:p>
    <w:p w14:paraId="4F996B20" w14:textId="3D48F105" w:rsidR="000B312D" w:rsidRPr="009544AD" w:rsidRDefault="000B312D" w:rsidP="00A65D7B">
      <w:pPr>
        <w:pStyle w:val="111Para"/>
      </w:pPr>
      <w:r w:rsidRPr="009544AD">
        <w:t>Mix 1</w:t>
      </w:r>
      <w:r w:rsidR="002D4688" w:rsidRPr="009544AD">
        <w:t>0 </w:t>
      </w:r>
      <w:r w:rsidRPr="009544AD">
        <w:t xml:space="preserve">µl of a sample with </w:t>
      </w:r>
      <w:r w:rsidR="007C7BE8" w:rsidRPr="009544AD">
        <w:t xml:space="preserve">loading </w:t>
      </w:r>
      <w:r w:rsidRPr="009544AD">
        <w:t>dye solution and load in 1</w:t>
      </w:r>
      <w:r w:rsidR="00033DAE" w:rsidRPr="009544AD">
        <w:t>%</w:t>
      </w:r>
      <w:r w:rsidRPr="009544AD">
        <w:t xml:space="preserve"> agarose gel in TBE</w:t>
      </w:r>
      <w:r w:rsidR="008F60CE" w:rsidRPr="009544AD">
        <w:t xml:space="preserve"> (</w:t>
      </w:r>
      <w:r w:rsidR="008F60CE" w:rsidRPr="009544AD">
        <w:rPr>
          <w:color w:val="000000"/>
        </w:rPr>
        <w:t>Tris/Borate/EDTA</w:t>
      </w:r>
      <w:r w:rsidR="008F60CE" w:rsidRPr="009544AD">
        <w:t>)</w:t>
      </w:r>
      <w:r w:rsidRPr="009544AD">
        <w:t xml:space="preserve"> buffer</w:t>
      </w:r>
      <w:r w:rsidR="00D44747" w:rsidRPr="009544AD">
        <w:t xml:space="preserve"> containing ethidium bromide</w:t>
      </w:r>
      <w:r w:rsidR="00885F68" w:rsidRPr="009544AD">
        <w:t xml:space="preserve"> or </w:t>
      </w:r>
      <w:r w:rsidR="007C3E3C" w:rsidRPr="009544AD">
        <w:t>cya</w:t>
      </w:r>
      <w:r w:rsidR="00E50D1D">
        <w:t>n</w:t>
      </w:r>
      <w:r w:rsidR="007C3E3C" w:rsidRPr="009544AD">
        <w:t>ine</w:t>
      </w:r>
      <w:r w:rsidR="00885F68" w:rsidRPr="009544AD">
        <w:t xml:space="preserve"> nucleic acid stain</w:t>
      </w:r>
      <w:r w:rsidR="008A414D" w:rsidRPr="009544AD">
        <w:t>.</w:t>
      </w:r>
      <w:r w:rsidRPr="009544AD">
        <w:t xml:space="preserve"> Load a parallel lane with a 10</w:t>
      </w:r>
      <w:r w:rsidR="002D4688" w:rsidRPr="009544AD">
        <w:t>0 </w:t>
      </w:r>
      <w:r w:rsidRPr="009544AD">
        <w:t>bp DNA-marker ladder. Separate the products at 10</w:t>
      </w:r>
      <w:r w:rsidR="002D4688" w:rsidRPr="009544AD">
        <w:t>0 </w:t>
      </w:r>
      <w:r w:rsidRPr="009544AD">
        <w:t>V for 3</w:t>
      </w:r>
      <w:r w:rsidR="002D4688" w:rsidRPr="009544AD">
        <w:t>0</w:t>
      </w:r>
      <w:r w:rsidR="000E1A0E" w:rsidRPr="009544AD">
        <w:t>–</w:t>
      </w:r>
      <w:r w:rsidRPr="009544AD">
        <w:t>4</w:t>
      </w:r>
      <w:r w:rsidR="002D4688" w:rsidRPr="009544AD">
        <w:t>0 </w:t>
      </w:r>
      <w:r w:rsidRPr="009544AD">
        <w:t>minutes and visuali</w:t>
      </w:r>
      <w:r w:rsidR="001B3C8D" w:rsidRPr="009544AD">
        <w:t>s</w:t>
      </w:r>
      <w:r w:rsidRPr="009544AD">
        <w:t>e</w:t>
      </w:r>
      <w:r w:rsidR="00C43B02" w:rsidRPr="009544AD">
        <w:t xml:space="preserve"> using an </w:t>
      </w:r>
      <w:r w:rsidR="00D44747" w:rsidRPr="009544AD">
        <w:t>UV</w:t>
      </w:r>
      <w:r w:rsidR="00C43B02" w:rsidRPr="009544AD">
        <w:t xml:space="preserve"> transilluminator</w:t>
      </w:r>
      <w:r w:rsidR="008A414D" w:rsidRPr="009544AD">
        <w:t>.</w:t>
      </w:r>
      <w:r w:rsidR="00D44747" w:rsidRPr="009544AD">
        <w:t xml:space="preserve"> </w:t>
      </w:r>
      <w:r w:rsidR="00C43B02" w:rsidRPr="009544AD">
        <w:t xml:space="preserve">Confirm the positive reactions according to the </w:t>
      </w:r>
      <w:r w:rsidR="00012CF1" w:rsidRPr="0086775A">
        <w:rPr>
          <w:highlight w:val="yellow"/>
          <w:u w:val="double"/>
        </w:rPr>
        <w:t>amplicon</w:t>
      </w:r>
      <w:r w:rsidR="00012CF1">
        <w:t xml:space="preserve"> </w:t>
      </w:r>
      <w:r w:rsidR="00C43B02" w:rsidRPr="009544AD">
        <w:t>size.</w:t>
      </w:r>
    </w:p>
    <w:p w14:paraId="4BAF842A" w14:textId="77777777" w:rsidR="007C1BB4" w:rsidRPr="009544AD" w:rsidRDefault="007C1BB4" w:rsidP="00A65D7B">
      <w:pPr>
        <w:pStyle w:val="111Para"/>
      </w:pPr>
      <w:r w:rsidRPr="009544AD">
        <w:t xml:space="preserve">A commercial PCR kit has been developed that allows detection of </w:t>
      </w:r>
      <w:proofErr w:type="spellStart"/>
      <w:r w:rsidR="00066432" w:rsidRPr="009544AD">
        <w:rPr>
          <w:i/>
        </w:rPr>
        <w:t>O</w:t>
      </w:r>
      <w:r w:rsidRPr="009544AD">
        <w:rPr>
          <w:i/>
        </w:rPr>
        <w:t>rthopoxvirus</w:t>
      </w:r>
      <w:proofErr w:type="spellEnd"/>
      <w:r w:rsidR="00066432" w:rsidRPr="009544AD">
        <w:t xml:space="preserve"> </w:t>
      </w:r>
      <w:r w:rsidRPr="009544AD">
        <w:t xml:space="preserve">DNA and </w:t>
      </w:r>
      <w:r w:rsidR="00866F7F" w:rsidRPr="009544AD">
        <w:t xml:space="preserve">contains </w:t>
      </w:r>
      <w:r w:rsidRPr="009544AD">
        <w:t xml:space="preserve">a second </w:t>
      </w:r>
      <w:r w:rsidR="00146FFE" w:rsidRPr="009544AD">
        <w:t>‘</w:t>
      </w:r>
      <w:r w:rsidRPr="009544AD">
        <w:t>conventional</w:t>
      </w:r>
      <w:r w:rsidR="00146FFE" w:rsidRPr="009544AD">
        <w:t xml:space="preserve">’ </w:t>
      </w:r>
      <w:r w:rsidR="00866F7F" w:rsidRPr="009544AD">
        <w:t>amplification</w:t>
      </w:r>
      <w:r w:rsidRPr="009544AD">
        <w:t xml:space="preserve"> system</w:t>
      </w:r>
      <w:r w:rsidR="007038DA" w:rsidRPr="009544AD">
        <w:t>,</w:t>
      </w:r>
      <w:r w:rsidRPr="009544AD">
        <w:t xml:space="preserve"> </w:t>
      </w:r>
      <w:r w:rsidR="00866F7F" w:rsidRPr="009544AD">
        <w:t>consisting</w:t>
      </w:r>
      <w:r w:rsidRPr="009544AD">
        <w:t xml:space="preserve"> of primers </w:t>
      </w:r>
      <w:r w:rsidR="00431482" w:rsidRPr="009544AD">
        <w:t>to the</w:t>
      </w:r>
      <w:r w:rsidRPr="009544AD">
        <w:t xml:space="preserve"> </w:t>
      </w:r>
      <w:r w:rsidR="00431482" w:rsidRPr="009544AD">
        <w:t>h</w:t>
      </w:r>
      <w:r w:rsidR="00146FFE" w:rsidRPr="009544AD">
        <w:t>a</w:t>
      </w:r>
      <w:r w:rsidR="00431482" w:rsidRPr="009544AD">
        <w:t>emagglutinin</w:t>
      </w:r>
      <w:r w:rsidRPr="009544AD">
        <w:t xml:space="preserve"> (HA</w:t>
      </w:r>
      <w:r w:rsidR="00866F7F" w:rsidRPr="009544AD">
        <w:t>)</w:t>
      </w:r>
      <w:r w:rsidRPr="009544AD">
        <w:t xml:space="preserve"> </w:t>
      </w:r>
      <w:r w:rsidR="00866F7F" w:rsidRPr="009544AD">
        <w:t>gene</w:t>
      </w:r>
      <w:r w:rsidRPr="009544AD">
        <w:t xml:space="preserve"> of the </w:t>
      </w:r>
      <w:proofErr w:type="spellStart"/>
      <w:r w:rsidRPr="009544AD">
        <w:t>or</w:t>
      </w:r>
      <w:r w:rsidR="00866F7F" w:rsidRPr="009544AD">
        <w:t>th</w:t>
      </w:r>
      <w:r w:rsidRPr="009544AD">
        <w:t>op</w:t>
      </w:r>
      <w:r w:rsidR="00866F7F" w:rsidRPr="009544AD">
        <w:t>o</w:t>
      </w:r>
      <w:r w:rsidRPr="009544AD">
        <w:t>xvirus</w:t>
      </w:r>
      <w:proofErr w:type="spellEnd"/>
      <w:r w:rsidRPr="009544AD">
        <w:t xml:space="preserve">. The amplicon can </w:t>
      </w:r>
      <w:r w:rsidR="00866F7F" w:rsidRPr="009544AD">
        <w:t xml:space="preserve">be sequenced and identified by comparison </w:t>
      </w:r>
      <w:r w:rsidR="00146FFE" w:rsidRPr="009544AD">
        <w:t xml:space="preserve">with </w:t>
      </w:r>
      <w:r w:rsidR="00866F7F" w:rsidRPr="009544AD">
        <w:t xml:space="preserve">already existing </w:t>
      </w:r>
      <w:proofErr w:type="spellStart"/>
      <w:r w:rsidR="00866F7F" w:rsidRPr="009544AD">
        <w:t>orthopoxvirus</w:t>
      </w:r>
      <w:proofErr w:type="spellEnd"/>
      <w:r w:rsidR="00866F7F" w:rsidRPr="009544AD">
        <w:t xml:space="preserve"> sequences.</w:t>
      </w:r>
    </w:p>
    <w:p w14:paraId="276E1B6C" w14:textId="77777777" w:rsidR="00B8043C" w:rsidRPr="009544AD" w:rsidRDefault="00A65D7B" w:rsidP="00A65D7B">
      <w:pPr>
        <w:pStyle w:val="11"/>
      </w:pPr>
      <w:r w:rsidRPr="009544AD">
        <w:t>1.6.</w:t>
      </w:r>
      <w:r w:rsidR="00E23A25" w:rsidRPr="009544AD">
        <w:tab/>
      </w:r>
      <w:r w:rsidR="00B8043C" w:rsidRPr="009544AD">
        <w:t>Real</w:t>
      </w:r>
      <w:r w:rsidR="00E23A25" w:rsidRPr="009544AD">
        <w:t>-t</w:t>
      </w:r>
      <w:r w:rsidR="00B8043C" w:rsidRPr="009544AD">
        <w:t>ime PCR</w:t>
      </w:r>
    </w:p>
    <w:p w14:paraId="461EC1BF" w14:textId="280CCB54" w:rsidR="00B8043C" w:rsidRPr="009544AD" w:rsidRDefault="00B8043C" w:rsidP="00A65D7B">
      <w:pPr>
        <w:pStyle w:val="11Para"/>
      </w:pPr>
      <w:r w:rsidRPr="009544AD">
        <w:t>A small quantity of test material (blood, skin lesion, tissue) is suspended in 200</w:t>
      </w:r>
      <w:r w:rsidR="00E23A25" w:rsidRPr="009544AD">
        <w:t> µ</w:t>
      </w:r>
      <w:r w:rsidRPr="009544AD">
        <w:t>l of lysis buffer and 20</w:t>
      </w:r>
      <w:r w:rsidR="00204860" w:rsidRPr="009544AD">
        <w:t> </w:t>
      </w:r>
      <w:r w:rsidR="00E23A25" w:rsidRPr="009544AD">
        <w:t>µ</w:t>
      </w:r>
      <w:r w:rsidRPr="009544AD">
        <w:t>l of proteinase K and incubated at 6</w:t>
      </w:r>
      <w:r w:rsidR="00E23A25" w:rsidRPr="009544AD">
        <w:t>5°</w:t>
      </w:r>
      <w:r w:rsidRPr="009544AD">
        <w:t>C for 1</w:t>
      </w:r>
      <w:r w:rsidR="00E23A25" w:rsidRPr="009544AD">
        <w:t xml:space="preserve"> </w:t>
      </w:r>
      <w:r w:rsidRPr="009544AD">
        <w:t>h</w:t>
      </w:r>
      <w:r w:rsidR="00E23A25" w:rsidRPr="009544AD">
        <w:t>our</w:t>
      </w:r>
      <w:r w:rsidRPr="009544AD">
        <w:t>. The ly</w:t>
      </w:r>
      <w:r w:rsidR="002D358B" w:rsidRPr="009544AD">
        <w:t>s</w:t>
      </w:r>
      <w:r w:rsidRPr="009544AD">
        <w:t>ed sample is extracted with an equal volume of phenol/chloroform/isoamyl alcohol (25</w:t>
      </w:r>
      <w:r w:rsidR="00B54043">
        <w:t>/</w:t>
      </w:r>
      <w:r w:rsidRPr="009544AD">
        <w:t>24</w:t>
      </w:r>
      <w:r w:rsidR="00B54043">
        <w:t>/</w:t>
      </w:r>
      <w:r w:rsidRPr="009544AD">
        <w:t>1) and centrifuged at 8000</w:t>
      </w:r>
      <w:r w:rsidR="00E23A25" w:rsidRPr="009544AD">
        <w:t xml:space="preserve"> </w:t>
      </w:r>
      <w:r w:rsidRPr="009544AD">
        <w:rPr>
          <w:b/>
          <w:i/>
        </w:rPr>
        <w:t>g</w:t>
      </w:r>
      <w:r w:rsidRPr="009544AD">
        <w:t xml:space="preserve"> for 10 min</w:t>
      </w:r>
      <w:r w:rsidR="00E23A25" w:rsidRPr="009544AD">
        <w:t>utes</w:t>
      </w:r>
      <w:r w:rsidRPr="009544AD">
        <w:t>. The upper aqueous phase is transferred to a clean tube and</w:t>
      </w:r>
      <w:r w:rsidR="00066432" w:rsidRPr="009544AD">
        <w:t xml:space="preserve"> the</w:t>
      </w:r>
      <w:r w:rsidR="002A3D16" w:rsidRPr="009544AD">
        <w:t xml:space="preserve"> DNA is precipitated by adding 1/10 volume 3</w:t>
      </w:r>
      <w:r w:rsidR="00066432" w:rsidRPr="009544AD">
        <w:t> </w:t>
      </w:r>
      <w:r w:rsidR="002A3D16" w:rsidRPr="009544AD">
        <w:t>M sodium acetate and 2.5 volumes</w:t>
      </w:r>
      <w:r w:rsidR="00066432" w:rsidRPr="009544AD">
        <w:t xml:space="preserve"> of</w:t>
      </w:r>
      <w:r w:rsidR="002A3D16" w:rsidRPr="009544AD">
        <w:t xml:space="preserve"> </w:t>
      </w:r>
      <w:r w:rsidR="000D0ADD" w:rsidRPr="009544AD">
        <w:t>ice-cold</w:t>
      </w:r>
      <w:r w:rsidR="002A3D16" w:rsidRPr="009544AD">
        <w:t xml:space="preserve"> absolute ethanol. The mixture is placed at </w:t>
      </w:r>
      <w:r w:rsidR="00E23A25" w:rsidRPr="009544AD">
        <w:t>–20°C</w:t>
      </w:r>
      <w:r w:rsidR="002A3D16" w:rsidRPr="009544AD">
        <w:t xml:space="preserve"> for 1</w:t>
      </w:r>
      <w:r w:rsidR="00066432" w:rsidRPr="009544AD">
        <w:t> </w:t>
      </w:r>
      <w:r w:rsidR="002A3D16" w:rsidRPr="009544AD">
        <w:t>hour followed by centrifugation at 13,000</w:t>
      </w:r>
      <w:r w:rsidR="00E23A25" w:rsidRPr="009544AD">
        <w:t xml:space="preserve"> </w:t>
      </w:r>
      <w:r w:rsidR="002A3D16" w:rsidRPr="009544AD">
        <w:rPr>
          <w:b/>
          <w:i/>
        </w:rPr>
        <w:t>g</w:t>
      </w:r>
      <w:r w:rsidR="002A3D16" w:rsidRPr="009544AD">
        <w:t xml:space="preserve"> for 10 min</w:t>
      </w:r>
      <w:r w:rsidR="00E23A25" w:rsidRPr="009544AD">
        <w:t>utes</w:t>
      </w:r>
      <w:r w:rsidR="002A3D16" w:rsidRPr="009544AD">
        <w:t xml:space="preserve">. The supernatant is discarded and the pellet is </w:t>
      </w:r>
      <w:r w:rsidR="002A3D16" w:rsidRPr="009544AD">
        <w:lastRenderedPageBreak/>
        <w:t>washed with 0.5 ml 70% ethanol. The dried DNA pellet is resuspended in 30</w:t>
      </w:r>
      <w:r w:rsidR="00E23A25" w:rsidRPr="009544AD">
        <w:t xml:space="preserve"> </w:t>
      </w:r>
      <w:r w:rsidR="00AD502F" w:rsidRPr="009544AD">
        <w:t>µ</w:t>
      </w:r>
      <w:r w:rsidR="00E23A25" w:rsidRPr="009544AD">
        <w:t>l</w:t>
      </w:r>
      <w:r w:rsidR="002A3D16" w:rsidRPr="009544AD">
        <w:t xml:space="preserve"> of nuclease-free water.</w:t>
      </w:r>
      <w:r w:rsidR="002746AC" w:rsidRPr="009544AD">
        <w:t xml:space="preserve"> </w:t>
      </w:r>
      <w:r w:rsidR="000D0ADD" w:rsidRPr="009544AD">
        <w:t>Alternatively,</w:t>
      </w:r>
      <w:r w:rsidR="002746AC" w:rsidRPr="009544AD">
        <w:t xml:space="preserve"> DNA can be extracted using commercially available DNA extraction kits.</w:t>
      </w:r>
    </w:p>
    <w:p w14:paraId="24FB891E" w14:textId="1691B408" w:rsidR="002A3D16" w:rsidRPr="009544AD" w:rsidRDefault="002A3D16" w:rsidP="00A65D7B">
      <w:pPr>
        <w:pStyle w:val="11Para"/>
      </w:pPr>
      <w:r w:rsidRPr="009544AD">
        <w:t>For standardi</w:t>
      </w:r>
      <w:r w:rsidR="00E23A25" w:rsidRPr="009544AD">
        <w:t>sation of the PCR, extra</w:t>
      </w:r>
      <w:r w:rsidRPr="009544AD">
        <w:t xml:space="preserve">cted DNA from the purified virus is used to amplify </w:t>
      </w:r>
      <w:r w:rsidR="00066432" w:rsidRPr="009544AD">
        <w:t xml:space="preserve">a </w:t>
      </w:r>
      <w:r w:rsidRPr="009544AD">
        <w:t xml:space="preserve">166-bp product from the HA gene of the </w:t>
      </w:r>
      <w:proofErr w:type="spellStart"/>
      <w:r w:rsidRPr="009544AD">
        <w:t>camelpox</w:t>
      </w:r>
      <w:proofErr w:type="spellEnd"/>
      <w:r w:rsidRPr="009544AD">
        <w:t xml:space="preserve"> virus genome</w:t>
      </w:r>
      <w:r w:rsidR="000D0ADD">
        <w:t xml:space="preserve"> (Pfeffer </w:t>
      </w:r>
      <w:r w:rsidR="000D0ADD" w:rsidRPr="000D0ADD">
        <w:rPr>
          <w:i/>
        </w:rPr>
        <w:t>et al.,</w:t>
      </w:r>
      <w:r w:rsidR="000D0ADD">
        <w:t xml:space="preserve"> 1998b)</w:t>
      </w:r>
      <w:r w:rsidRPr="009544AD">
        <w:t>. PCR is performed in a 20</w:t>
      </w:r>
      <w:r w:rsidR="00E23A25" w:rsidRPr="009544AD">
        <w:t>-µ</w:t>
      </w:r>
      <w:r w:rsidRPr="009544AD">
        <w:t xml:space="preserve">l reaction containing </w:t>
      </w:r>
      <w:r w:rsidR="005B74CD" w:rsidRPr="009544AD">
        <w:t>2 µl of 10× PCR reaction buffer, 1.6 µl of MgCl</w:t>
      </w:r>
      <w:r w:rsidR="005B74CD" w:rsidRPr="00027048">
        <w:rPr>
          <w:vertAlign w:val="subscript"/>
        </w:rPr>
        <w:t>2</w:t>
      </w:r>
      <w:r w:rsidR="005B74CD" w:rsidRPr="009544AD">
        <w:t>,</w:t>
      </w:r>
      <w:r w:rsidR="000D0ADD">
        <w:t xml:space="preserve"> </w:t>
      </w:r>
      <w:r w:rsidR="005B74CD" w:rsidRPr="009544AD">
        <w:t>(25</w:t>
      </w:r>
      <w:r w:rsidR="00652A97" w:rsidRPr="009544AD">
        <w:t xml:space="preserve"> </w:t>
      </w:r>
      <w:r w:rsidR="005B74CD" w:rsidRPr="009544AD">
        <w:t>mM), 0.4</w:t>
      </w:r>
      <w:r w:rsidR="00652A97" w:rsidRPr="009544AD">
        <w:t xml:space="preserve"> </w:t>
      </w:r>
      <w:r w:rsidR="005B74CD" w:rsidRPr="009544AD">
        <w:t>µl of dNTP (10</w:t>
      </w:r>
      <w:r w:rsidR="00A65D7B" w:rsidRPr="009544AD">
        <w:t> </w:t>
      </w:r>
      <w:r w:rsidR="005B74CD" w:rsidRPr="009544AD">
        <w:t>mM), (0.4 µl) of</w:t>
      </w:r>
      <w:r w:rsidR="00652A97" w:rsidRPr="009544AD">
        <w:t xml:space="preserve"> </w:t>
      </w:r>
      <w:proofErr w:type="spellStart"/>
      <w:r w:rsidR="005B74CD" w:rsidRPr="009544AD">
        <w:rPr>
          <w:i/>
        </w:rPr>
        <w:t>Taq</w:t>
      </w:r>
      <w:proofErr w:type="spellEnd"/>
      <w:r w:rsidR="005B74CD" w:rsidRPr="009544AD">
        <w:t xml:space="preserve"> </w:t>
      </w:r>
      <w:r w:rsidR="00652A97" w:rsidRPr="009544AD">
        <w:t>p</w:t>
      </w:r>
      <w:r w:rsidR="005B74CD" w:rsidRPr="009544AD">
        <w:t>olymerase, 5 units/µl</w:t>
      </w:r>
      <w:r w:rsidRPr="009544AD">
        <w:t xml:space="preserve">, 2 </w:t>
      </w:r>
      <w:r w:rsidR="00E23A25" w:rsidRPr="009544AD">
        <w:t>µl</w:t>
      </w:r>
      <w:r w:rsidRPr="009544AD">
        <w:t xml:space="preserve"> DNA (approximately 50–100</w:t>
      </w:r>
      <w:r w:rsidR="00E23A25" w:rsidRPr="009544AD">
        <w:t> </w:t>
      </w:r>
      <w:r w:rsidRPr="009544AD">
        <w:t>ng),</w:t>
      </w:r>
      <w:r w:rsidR="00AD502F" w:rsidRPr="009544AD">
        <w:t xml:space="preserve"> 6 </w:t>
      </w:r>
      <w:proofErr w:type="spellStart"/>
      <w:r w:rsidR="00AD502F" w:rsidRPr="009544AD">
        <w:t>pmol</w:t>
      </w:r>
      <w:proofErr w:type="spellEnd"/>
      <w:r w:rsidR="00AD502F" w:rsidRPr="009544AD">
        <w:t xml:space="preserve"> of each primer, and 2.5 </w:t>
      </w:r>
      <w:proofErr w:type="spellStart"/>
      <w:r w:rsidRPr="009544AD">
        <w:t>pmol</w:t>
      </w:r>
      <w:proofErr w:type="spellEnd"/>
      <w:r w:rsidRPr="009544AD">
        <w:t xml:space="preserve"> of each probe.</w:t>
      </w:r>
    </w:p>
    <w:p w14:paraId="60C7F75F" w14:textId="77777777" w:rsidR="002A3D16" w:rsidRPr="009544AD" w:rsidRDefault="002A3D16" w:rsidP="000D0ADD">
      <w:pPr>
        <w:pStyle w:val="11Para"/>
        <w:spacing w:after="120"/>
      </w:pPr>
      <w:r w:rsidRPr="009544AD">
        <w:t>The cycling conditions are as follows:</w:t>
      </w:r>
    </w:p>
    <w:tbl>
      <w:tblPr>
        <w:tblStyle w:val="Grilledutableau"/>
        <w:tblW w:w="0" w:type="auto"/>
        <w:tblInd w:w="959" w:type="dxa"/>
        <w:tblLook w:val="04A0" w:firstRow="1" w:lastRow="0" w:firstColumn="1" w:lastColumn="0" w:noHBand="0" w:noVBand="1"/>
      </w:tblPr>
      <w:tblGrid>
        <w:gridCol w:w="1823"/>
        <w:gridCol w:w="983"/>
        <w:gridCol w:w="1945"/>
        <w:gridCol w:w="1957"/>
        <w:gridCol w:w="1394"/>
      </w:tblGrid>
      <w:tr w:rsidR="00F0383B" w:rsidRPr="009544AD" w14:paraId="208480D3" w14:textId="77777777" w:rsidTr="000D0ADD">
        <w:trPr>
          <w:tblHeader/>
        </w:trPr>
        <w:tc>
          <w:tcPr>
            <w:tcW w:w="1843" w:type="dxa"/>
            <w:tcBorders>
              <w:top w:val="single" w:sz="4" w:space="0" w:color="auto"/>
            </w:tcBorders>
            <w:vAlign w:val="center"/>
          </w:tcPr>
          <w:p w14:paraId="7269EF8B" w14:textId="77777777" w:rsidR="00F0383B" w:rsidRPr="009544AD" w:rsidRDefault="00F0383B" w:rsidP="00F0383B">
            <w:pPr>
              <w:pStyle w:val="paraa"/>
              <w:spacing w:before="60" w:after="60"/>
              <w:ind w:left="0"/>
              <w:jc w:val="center"/>
              <w:rPr>
                <w:b/>
              </w:rPr>
            </w:pPr>
            <w:r w:rsidRPr="009544AD">
              <w:rPr>
                <w:b/>
              </w:rPr>
              <w:t>Step</w:t>
            </w:r>
          </w:p>
        </w:tc>
        <w:tc>
          <w:tcPr>
            <w:tcW w:w="992" w:type="dxa"/>
            <w:tcBorders>
              <w:top w:val="single" w:sz="4" w:space="0" w:color="auto"/>
            </w:tcBorders>
            <w:vAlign w:val="center"/>
          </w:tcPr>
          <w:p w14:paraId="6517A73F" w14:textId="77777777" w:rsidR="00F0383B" w:rsidRPr="009544AD" w:rsidRDefault="00F0383B" w:rsidP="00F0383B">
            <w:pPr>
              <w:pStyle w:val="paraa"/>
              <w:spacing w:before="60" w:after="60"/>
              <w:ind w:left="0"/>
              <w:jc w:val="center"/>
              <w:rPr>
                <w:b/>
              </w:rPr>
            </w:pPr>
            <w:r w:rsidRPr="009544AD">
              <w:rPr>
                <w:b/>
              </w:rPr>
              <w:t>Temp.</w:t>
            </w:r>
          </w:p>
        </w:tc>
        <w:tc>
          <w:tcPr>
            <w:tcW w:w="1984" w:type="dxa"/>
            <w:tcBorders>
              <w:top w:val="single" w:sz="4" w:space="0" w:color="auto"/>
            </w:tcBorders>
            <w:vAlign w:val="center"/>
          </w:tcPr>
          <w:p w14:paraId="5778108D" w14:textId="77777777" w:rsidR="00F0383B" w:rsidRPr="009544AD" w:rsidRDefault="00F0383B" w:rsidP="00F0383B">
            <w:pPr>
              <w:pStyle w:val="paraa"/>
              <w:spacing w:before="60" w:after="60"/>
              <w:ind w:left="0"/>
              <w:jc w:val="center"/>
              <w:rPr>
                <w:b/>
              </w:rPr>
            </w:pPr>
            <w:r w:rsidRPr="009544AD">
              <w:rPr>
                <w:b/>
              </w:rPr>
              <w:t>Time</w:t>
            </w:r>
          </w:p>
        </w:tc>
        <w:tc>
          <w:tcPr>
            <w:tcW w:w="1985" w:type="dxa"/>
            <w:tcBorders>
              <w:top w:val="single" w:sz="4" w:space="0" w:color="auto"/>
            </w:tcBorders>
            <w:vAlign w:val="center"/>
          </w:tcPr>
          <w:p w14:paraId="341FC3F2" w14:textId="77777777" w:rsidR="00F0383B" w:rsidRPr="009544AD" w:rsidRDefault="00F0383B" w:rsidP="00F0383B">
            <w:pPr>
              <w:pStyle w:val="paraa"/>
              <w:spacing w:before="60" w:after="60"/>
              <w:ind w:left="0"/>
              <w:jc w:val="center"/>
              <w:rPr>
                <w:b/>
              </w:rPr>
            </w:pPr>
            <w:r w:rsidRPr="009544AD">
              <w:rPr>
                <w:b/>
              </w:rPr>
              <w:t>Acquisition mode</w:t>
            </w:r>
          </w:p>
        </w:tc>
        <w:tc>
          <w:tcPr>
            <w:tcW w:w="1417" w:type="dxa"/>
            <w:tcBorders>
              <w:top w:val="single" w:sz="4" w:space="0" w:color="auto"/>
            </w:tcBorders>
            <w:vAlign w:val="center"/>
          </w:tcPr>
          <w:p w14:paraId="41ACE2C5" w14:textId="77777777" w:rsidR="00F0383B" w:rsidRPr="009544AD" w:rsidRDefault="00F0383B" w:rsidP="00F0383B">
            <w:pPr>
              <w:pStyle w:val="paraa"/>
              <w:spacing w:before="60" w:after="60"/>
              <w:ind w:left="0"/>
              <w:jc w:val="center"/>
              <w:rPr>
                <w:b/>
              </w:rPr>
            </w:pPr>
            <w:r w:rsidRPr="009544AD">
              <w:rPr>
                <w:b/>
              </w:rPr>
              <w:t>No. of cycles</w:t>
            </w:r>
          </w:p>
        </w:tc>
      </w:tr>
      <w:tr w:rsidR="00F0383B" w:rsidRPr="009544AD" w14:paraId="75BC1C95" w14:textId="77777777" w:rsidTr="00F0383B">
        <w:tc>
          <w:tcPr>
            <w:tcW w:w="1843" w:type="dxa"/>
            <w:vAlign w:val="center"/>
          </w:tcPr>
          <w:p w14:paraId="164EEFA7" w14:textId="77777777" w:rsidR="00F0383B" w:rsidRPr="009544AD" w:rsidRDefault="00F0383B" w:rsidP="00F0383B">
            <w:pPr>
              <w:pStyle w:val="paraa"/>
              <w:spacing w:before="60" w:after="60"/>
              <w:ind w:left="0"/>
              <w:jc w:val="center"/>
            </w:pPr>
            <w:r w:rsidRPr="009544AD">
              <w:t>Initial denaturation</w:t>
            </w:r>
          </w:p>
        </w:tc>
        <w:tc>
          <w:tcPr>
            <w:tcW w:w="992" w:type="dxa"/>
            <w:vAlign w:val="center"/>
          </w:tcPr>
          <w:p w14:paraId="6D4C9AB4" w14:textId="77777777" w:rsidR="00F0383B" w:rsidRPr="009544AD" w:rsidRDefault="00F0383B" w:rsidP="00F0383B">
            <w:pPr>
              <w:pStyle w:val="paraa"/>
              <w:spacing w:before="60" w:after="60"/>
              <w:ind w:left="0"/>
              <w:jc w:val="center"/>
            </w:pPr>
            <w:r w:rsidRPr="009544AD">
              <w:t>95°C</w:t>
            </w:r>
          </w:p>
        </w:tc>
        <w:tc>
          <w:tcPr>
            <w:tcW w:w="1984" w:type="dxa"/>
            <w:vAlign w:val="center"/>
          </w:tcPr>
          <w:p w14:paraId="2ED7DEB5" w14:textId="77777777" w:rsidR="00F0383B" w:rsidRPr="009544AD" w:rsidRDefault="00F0383B" w:rsidP="00F0383B">
            <w:pPr>
              <w:pStyle w:val="paraa"/>
              <w:spacing w:before="60" w:after="60"/>
              <w:ind w:left="0"/>
              <w:jc w:val="center"/>
            </w:pPr>
            <w:r w:rsidRPr="009544AD">
              <w:t>10 minutes</w:t>
            </w:r>
          </w:p>
        </w:tc>
        <w:tc>
          <w:tcPr>
            <w:tcW w:w="1985" w:type="dxa"/>
            <w:vMerge w:val="restart"/>
            <w:vAlign w:val="center"/>
          </w:tcPr>
          <w:p w14:paraId="2A878E36" w14:textId="77777777" w:rsidR="00F0383B" w:rsidRPr="009544AD" w:rsidRDefault="00F0383B" w:rsidP="00F0383B">
            <w:pPr>
              <w:pStyle w:val="paraa"/>
              <w:spacing w:before="60" w:after="60"/>
              <w:ind w:left="0"/>
              <w:jc w:val="center"/>
            </w:pPr>
          </w:p>
        </w:tc>
        <w:tc>
          <w:tcPr>
            <w:tcW w:w="1417" w:type="dxa"/>
            <w:vMerge w:val="restart"/>
            <w:vAlign w:val="center"/>
          </w:tcPr>
          <w:p w14:paraId="2D6779E5" w14:textId="77777777" w:rsidR="00F0383B" w:rsidRPr="009544AD" w:rsidRDefault="00F0383B" w:rsidP="00F0383B">
            <w:pPr>
              <w:pStyle w:val="paraa"/>
              <w:spacing w:before="60" w:after="60"/>
              <w:ind w:left="0"/>
              <w:jc w:val="center"/>
            </w:pPr>
            <w:r w:rsidRPr="009544AD">
              <w:t>1</w:t>
            </w:r>
          </w:p>
        </w:tc>
      </w:tr>
      <w:tr w:rsidR="00F0383B" w:rsidRPr="009544AD" w14:paraId="6BA621EB" w14:textId="77777777" w:rsidTr="00F0383B">
        <w:tc>
          <w:tcPr>
            <w:tcW w:w="1843" w:type="dxa"/>
            <w:vMerge w:val="restart"/>
            <w:vAlign w:val="center"/>
          </w:tcPr>
          <w:p w14:paraId="4CA16A87" w14:textId="77777777" w:rsidR="00F0383B" w:rsidRPr="009544AD" w:rsidRDefault="00F0383B" w:rsidP="00F0383B">
            <w:pPr>
              <w:pStyle w:val="paraa"/>
              <w:spacing w:before="60" w:after="60"/>
              <w:ind w:left="0"/>
              <w:jc w:val="center"/>
            </w:pPr>
            <w:r w:rsidRPr="009544AD">
              <w:t>Amplification</w:t>
            </w:r>
          </w:p>
        </w:tc>
        <w:tc>
          <w:tcPr>
            <w:tcW w:w="992" w:type="dxa"/>
            <w:vAlign w:val="center"/>
          </w:tcPr>
          <w:p w14:paraId="6780942F" w14:textId="77777777" w:rsidR="00F0383B" w:rsidRPr="009544AD" w:rsidRDefault="00F0383B" w:rsidP="00F0383B">
            <w:pPr>
              <w:pStyle w:val="paraa"/>
              <w:spacing w:before="60" w:after="60"/>
              <w:ind w:left="0"/>
              <w:jc w:val="center"/>
            </w:pPr>
            <w:r w:rsidRPr="009544AD">
              <w:t>95°C</w:t>
            </w:r>
          </w:p>
        </w:tc>
        <w:tc>
          <w:tcPr>
            <w:tcW w:w="1984" w:type="dxa"/>
            <w:vAlign w:val="center"/>
          </w:tcPr>
          <w:p w14:paraId="4AC1B26E" w14:textId="77777777" w:rsidR="00F0383B" w:rsidRPr="009544AD" w:rsidRDefault="00F0383B" w:rsidP="00F0383B">
            <w:pPr>
              <w:pStyle w:val="paraa"/>
              <w:spacing w:before="60" w:after="60"/>
              <w:ind w:left="0"/>
              <w:jc w:val="center"/>
            </w:pPr>
            <w:r w:rsidRPr="009544AD">
              <w:t>10 seconds</w:t>
            </w:r>
          </w:p>
        </w:tc>
        <w:tc>
          <w:tcPr>
            <w:tcW w:w="1985" w:type="dxa"/>
            <w:vMerge/>
            <w:vAlign w:val="center"/>
          </w:tcPr>
          <w:p w14:paraId="03E6FA42" w14:textId="77777777" w:rsidR="00F0383B" w:rsidRPr="009544AD" w:rsidRDefault="00F0383B" w:rsidP="00F0383B">
            <w:pPr>
              <w:pStyle w:val="paraa"/>
              <w:spacing w:before="60" w:after="60"/>
              <w:ind w:left="0"/>
              <w:jc w:val="center"/>
            </w:pPr>
          </w:p>
        </w:tc>
        <w:tc>
          <w:tcPr>
            <w:tcW w:w="1417" w:type="dxa"/>
            <w:vMerge/>
            <w:vAlign w:val="center"/>
          </w:tcPr>
          <w:p w14:paraId="4F1B76B7" w14:textId="77777777" w:rsidR="00F0383B" w:rsidRPr="009544AD" w:rsidRDefault="00F0383B" w:rsidP="00F0383B">
            <w:pPr>
              <w:pStyle w:val="paraa"/>
              <w:spacing w:before="60" w:after="60"/>
              <w:ind w:left="0"/>
              <w:jc w:val="center"/>
            </w:pPr>
          </w:p>
        </w:tc>
      </w:tr>
      <w:tr w:rsidR="00F0383B" w:rsidRPr="009544AD" w14:paraId="6A5FB1D4" w14:textId="77777777" w:rsidTr="00F0383B">
        <w:tc>
          <w:tcPr>
            <w:tcW w:w="1843" w:type="dxa"/>
            <w:vMerge/>
            <w:vAlign w:val="center"/>
          </w:tcPr>
          <w:p w14:paraId="5F703399" w14:textId="77777777" w:rsidR="00F0383B" w:rsidRPr="009544AD" w:rsidRDefault="00F0383B" w:rsidP="00F0383B">
            <w:pPr>
              <w:pStyle w:val="paraa"/>
              <w:spacing w:before="60" w:after="60"/>
              <w:ind w:left="0"/>
              <w:jc w:val="center"/>
            </w:pPr>
          </w:p>
        </w:tc>
        <w:tc>
          <w:tcPr>
            <w:tcW w:w="992" w:type="dxa"/>
            <w:vAlign w:val="center"/>
          </w:tcPr>
          <w:p w14:paraId="6E785EE7" w14:textId="77777777" w:rsidR="00F0383B" w:rsidRPr="009544AD" w:rsidRDefault="00F0383B" w:rsidP="00F0383B">
            <w:pPr>
              <w:pStyle w:val="paraa"/>
              <w:spacing w:before="60" w:after="60"/>
              <w:ind w:left="0"/>
              <w:jc w:val="center"/>
            </w:pPr>
            <w:r w:rsidRPr="009544AD">
              <w:t>60°C</w:t>
            </w:r>
          </w:p>
        </w:tc>
        <w:tc>
          <w:tcPr>
            <w:tcW w:w="1984" w:type="dxa"/>
            <w:vAlign w:val="center"/>
          </w:tcPr>
          <w:p w14:paraId="1ADDBA75" w14:textId="77777777" w:rsidR="00F0383B" w:rsidRPr="009544AD" w:rsidRDefault="00F0383B" w:rsidP="00F0383B">
            <w:pPr>
              <w:pStyle w:val="paraa"/>
              <w:spacing w:before="60" w:after="60"/>
              <w:ind w:left="0"/>
              <w:jc w:val="center"/>
            </w:pPr>
            <w:r w:rsidRPr="009544AD">
              <w:t>20 seconds single</w:t>
            </w:r>
          </w:p>
        </w:tc>
        <w:tc>
          <w:tcPr>
            <w:tcW w:w="1985" w:type="dxa"/>
            <w:vAlign w:val="center"/>
          </w:tcPr>
          <w:p w14:paraId="4746DBC4" w14:textId="77777777" w:rsidR="00F0383B" w:rsidRPr="009544AD" w:rsidRDefault="00F0383B" w:rsidP="00F0383B">
            <w:pPr>
              <w:pStyle w:val="paraa"/>
              <w:spacing w:before="60" w:after="60"/>
              <w:ind w:left="0"/>
              <w:jc w:val="center"/>
            </w:pPr>
            <w:r w:rsidRPr="009544AD">
              <w:t>Single</w:t>
            </w:r>
          </w:p>
        </w:tc>
        <w:tc>
          <w:tcPr>
            <w:tcW w:w="1417" w:type="dxa"/>
            <w:vAlign w:val="center"/>
          </w:tcPr>
          <w:p w14:paraId="0469D010" w14:textId="77777777" w:rsidR="00F0383B" w:rsidRPr="009544AD" w:rsidRDefault="00F0383B" w:rsidP="00F0383B">
            <w:pPr>
              <w:pStyle w:val="paraa"/>
              <w:spacing w:before="60" w:after="60"/>
              <w:ind w:left="0"/>
              <w:jc w:val="center"/>
            </w:pPr>
            <w:r w:rsidRPr="009544AD">
              <w:t>40</w:t>
            </w:r>
          </w:p>
        </w:tc>
      </w:tr>
      <w:tr w:rsidR="00F0383B" w:rsidRPr="009544AD" w14:paraId="06B29249" w14:textId="77777777" w:rsidTr="00F0383B">
        <w:tc>
          <w:tcPr>
            <w:tcW w:w="1843" w:type="dxa"/>
            <w:vMerge w:val="restart"/>
            <w:vAlign w:val="center"/>
          </w:tcPr>
          <w:p w14:paraId="7435FECF" w14:textId="77777777" w:rsidR="00F0383B" w:rsidRPr="009544AD" w:rsidRDefault="00F0383B" w:rsidP="000D0ADD">
            <w:pPr>
              <w:pStyle w:val="paraa"/>
              <w:keepNext/>
              <w:keepLines/>
              <w:spacing w:before="60" w:after="60"/>
              <w:ind w:left="0"/>
              <w:jc w:val="center"/>
            </w:pPr>
            <w:r w:rsidRPr="009544AD">
              <w:t>Melt</w:t>
            </w:r>
          </w:p>
        </w:tc>
        <w:tc>
          <w:tcPr>
            <w:tcW w:w="992" w:type="dxa"/>
            <w:vAlign w:val="center"/>
          </w:tcPr>
          <w:p w14:paraId="567D4183" w14:textId="77777777" w:rsidR="00F0383B" w:rsidRPr="009544AD" w:rsidRDefault="00F0383B" w:rsidP="000D0ADD">
            <w:pPr>
              <w:pStyle w:val="paraa"/>
              <w:keepNext/>
              <w:keepLines/>
              <w:spacing w:before="60" w:after="60"/>
              <w:ind w:left="0"/>
              <w:jc w:val="center"/>
            </w:pPr>
            <w:r w:rsidRPr="009544AD">
              <w:t>95°C</w:t>
            </w:r>
          </w:p>
        </w:tc>
        <w:tc>
          <w:tcPr>
            <w:tcW w:w="1984" w:type="dxa"/>
            <w:vAlign w:val="center"/>
          </w:tcPr>
          <w:p w14:paraId="1E47113D" w14:textId="77777777" w:rsidR="00F0383B" w:rsidRPr="009544AD" w:rsidRDefault="00F0383B" w:rsidP="000D0ADD">
            <w:pPr>
              <w:pStyle w:val="paraa"/>
              <w:keepNext/>
              <w:keepLines/>
              <w:spacing w:before="60" w:after="60"/>
              <w:ind w:left="0"/>
              <w:jc w:val="center"/>
            </w:pPr>
            <w:r w:rsidRPr="009544AD">
              <w:t>00</w:t>
            </w:r>
            <w:r w:rsidR="009A0C4F" w:rsidRPr="00027048">
              <w:rPr>
                <w:rStyle w:val="Appelnotedebasdep"/>
                <w:szCs w:val="14"/>
              </w:rPr>
              <w:footnoteReference w:id="5"/>
            </w:r>
          </w:p>
        </w:tc>
        <w:tc>
          <w:tcPr>
            <w:tcW w:w="1985" w:type="dxa"/>
            <w:vMerge w:val="restart"/>
            <w:vAlign w:val="center"/>
          </w:tcPr>
          <w:p w14:paraId="276D120D" w14:textId="77777777" w:rsidR="00F0383B" w:rsidRPr="009544AD" w:rsidRDefault="00F0383B" w:rsidP="000D0ADD">
            <w:pPr>
              <w:pStyle w:val="paraa"/>
              <w:keepNext/>
              <w:keepLines/>
              <w:spacing w:before="60" w:after="60"/>
              <w:ind w:left="0"/>
              <w:jc w:val="center"/>
            </w:pPr>
            <w:r w:rsidRPr="009544AD">
              <w:t>Continuous</w:t>
            </w:r>
          </w:p>
        </w:tc>
        <w:tc>
          <w:tcPr>
            <w:tcW w:w="1417" w:type="dxa"/>
            <w:vMerge w:val="restart"/>
            <w:vAlign w:val="center"/>
          </w:tcPr>
          <w:p w14:paraId="1E5A3BBD" w14:textId="77777777" w:rsidR="00F0383B" w:rsidRPr="009544AD" w:rsidRDefault="00F0383B" w:rsidP="000D0ADD">
            <w:pPr>
              <w:pStyle w:val="paraa"/>
              <w:keepNext/>
              <w:keepLines/>
              <w:spacing w:before="60" w:after="60"/>
              <w:ind w:left="0"/>
              <w:jc w:val="center"/>
            </w:pPr>
            <w:r w:rsidRPr="009544AD">
              <w:t>1</w:t>
            </w:r>
          </w:p>
        </w:tc>
      </w:tr>
      <w:tr w:rsidR="00F0383B" w:rsidRPr="009544AD" w14:paraId="066A4EA4" w14:textId="77777777" w:rsidTr="00F0383B">
        <w:tc>
          <w:tcPr>
            <w:tcW w:w="1843" w:type="dxa"/>
            <w:vMerge/>
            <w:vAlign w:val="center"/>
          </w:tcPr>
          <w:p w14:paraId="0BA2BF15" w14:textId="77777777" w:rsidR="00F0383B" w:rsidRPr="009544AD" w:rsidRDefault="00F0383B" w:rsidP="00E23A25">
            <w:pPr>
              <w:pStyle w:val="paraa"/>
              <w:spacing w:before="60" w:after="60"/>
              <w:ind w:left="0"/>
            </w:pPr>
          </w:p>
        </w:tc>
        <w:tc>
          <w:tcPr>
            <w:tcW w:w="992" w:type="dxa"/>
            <w:vAlign w:val="center"/>
          </w:tcPr>
          <w:p w14:paraId="7D8943D2" w14:textId="77777777" w:rsidR="00F0383B" w:rsidRPr="009544AD" w:rsidRDefault="00F0383B" w:rsidP="00F0383B">
            <w:pPr>
              <w:pStyle w:val="paraa"/>
              <w:spacing w:before="60" w:after="60"/>
              <w:ind w:left="0"/>
              <w:jc w:val="center"/>
            </w:pPr>
            <w:r w:rsidRPr="009544AD">
              <w:t>60°C</w:t>
            </w:r>
          </w:p>
        </w:tc>
        <w:tc>
          <w:tcPr>
            <w:tcW w:w="1984" w:type="dxa"/>
            <w:vAlign w:val="center"/>
          </w:tcPr>
          <w:p w14:paraId="15FBBC2A" w14:textId="77777777" w:rsidR="00F0383B" w:rsidRPr="009544AD" w:rsidRDefault="00F0383B" w:rsidP="00F0383B">
            <w:pPr>
              <w:pStyle w:val="paraa"/>
              <w:spacing w:before="60" w:after="60"/>
              <w:ind w:left="0"/>
              <w:jc w:val="center"/>
            </w:pPr>
            <w:r w:rsidRPr="009544AD">
              <w:t>30 seconds</w:t>
            </w:r>
          </w:p>
        </w:tc>
        <w:tc>
          <w:tcPr>
            <w:tcW w:w="1985" w:type="dxa"/>
            <w:vMerge/>
          </w:tcPr>
          <w:p w14:paraId="756E47E2" w14:textId="77777777" w:rsidR="00F0383B" w:rsidRPr="009544AD" w:rsidRDefault="00F0383B" w:rsidP="00E23A25">
            <w:pPr>
              <w:pStyle w:val="paraa"/>
              <w:spacing w:before="60" w:after="60"/>
              <w:ind w:left="0"/>
            </w:pPr>
          </w:p>
        </w:tc>
        <w:tc>
          <w:tcPr>
            <w:tcW w:w="1417" w:type="dxa"/>
            <w:vMerge/>
          </w:tcPr>
          <w:p w14:paraId="22C8A4E3" w14:textId="77777777" w:rsidR="00F0383B" w:rsidRPr="009544AD" w:rsidRDefault="00F0383B" w:rsidP="00E23A25">
            <w:pPr>
              <w:pStyle w:val="paraa"/>
              <w:spacing w:before="60" w:after="60"/>
              <w:ind w:left="0"/>
            </w:pPr>
          </w:p>
        </w:tc>
      </w:tr>
      <w:tr w:rsidR="00F0383B" w:rsidRPr="009544AD" w14:paraId="79084857" w14:textId="77777777" w:rsidTr="00F0383B">
        <w:tc>
          <w:tcPr>
            <w:tcW w:w="1843" w:type="dxa"/>
            <w:vMerge/>
            <w:vAlign w:val="center"/>
          </w:tcPr>
          <w:p w14:paraId="3757A991" w14:textId="77777777" w:rsidR="00F0383B" w:rsidRPr="009544AD" w:rsidRDefault="00F0383B" w:rsidP="00E23A25">
            <w:pPr>
              <w:pStyle w:val="paraa"/>
              <w:spacing w:before="60" w:after="60"/>
              <w:ind w:left="0"/>
            </w:pPr>
          </w:p>
        </w:tc>
        <w:tc>
          <w:tcPr>
            <w:tcW w:w="992" w:type="dxa"/>
            <w:vAlign w:val="center"/>
          </w:tcPr>
          <w:p w14:paraId="3910FE29" w14:textId="77777777" w:rsidR="00F0383B" w:rsidRPr="009544AD" w:rsidRDefault="00F0383B" w:rsidP="00F0383B">
            <w:pPr>
              <w:pStyle w:val="paraa"/>
              <w:spacing w:before="60" w:after="60"/>
              <w:ind w:left="0"/>
              <w:jc w:val="center"/>
            </w:pPr>
            <w:r w:rsidRPr="009544AD">
              <w:t>95°C</w:t>
            </w:r>
          </w:p>
        </w:tc>
        <w:tc>
          <w:tcPr>
            <w:tcW w:w="1984" w:type="dxa"/>
            <w:vAlign w:val="center"/>
          </w:tcPr>
          <w:p w14:paraId="5BF3469B" w14:textId="0CD89C9E" w:rsidR="00F0383B" w:rsidRPr="009544AD" w:rsidRDefault="00F0383B" w:rsidP="000E4C47">
            <w:pPr>
              <w:pStyle w:val="paraa"/>
              <w:spacing w:before="60" w:after="60"/>
              <w:ind w:left="0"/>
              <w:jc w:val="center"/>
            </w:pPr>
            <w:r w:rsidRPr="009544AD">
              <w:t>00</w:t>
            </w:r>
            <w:r w:rsidR="000E4C47" w:rsidRPr="00027048">
              <w:rPr>
                <w:szCs w:val="14"/>
                <w:vertAlign w:val="superscript"/>
              </w:rPr>
              <w:t>3</w:t>
            </w:r>
          </w:p>
        </w:tc>
        <w:tc>
          <w:tcPr>
            <w:tcW w:w="1985" w:type="dxa"/>
            <w:vMerge/>
          </w:tcPr>
          <w:p w14:paraId="1EE88EBD" w14:textId="77777777" w:rsidR="00F0383B" w:rsidRPr="009544AD" w:rsidRDefault="00F0383B" w:rsidP="00E23A25">
            <w:pPr>
              <w:pStyle w:val="paraa"/>
              <w:spacing w:before="60" w:after="60"/>
              <w:ind w:left="0"/>
            </w:pPr>
          </w:p>
        </w:tc>
        <w:tc>
          <w:tcPr>
            <w:tcW w:w="1417" w:type="dxa"/>
            <w:vMerge/>
          </w:tcPr>
          <w:p w14:paraId="5AB8A7C0" w14:textId="77777777" w:rsidR="00F0383B" w:rsidRPr="009544AD" w:rsidRDefault="00F0383B" w:rsidP="00E23A25">
            <w:pPr>
              <w:pStyle w:val="paraa"/>
              <w:spacing w:before="60" w:after="60"/>
              <w:ind w:left="0"/>
            </w:pPr>
          </w:p>
        </w:tc>
      </w:tr>
    </w:tbl>
    <w:p w14:paraId="4DCC1868" w14:textId="6AFC443D" w:rsidR="002A3D16" w:rsidRPr="009544AD" w:rsidRDefault="007A42A9" w:rsidP="00A65D7B">
      <w:pPr>
        <w:pStyle w:val="11Para"/>
        <w:spacing w:before="240"/>
      </w:pPr>
      <w:r w:rsidRPr="009544AD">
        <w:t>A positive result is indicated by an amplification that gives a cycle threshold (Ct) value of 37 or less.</w:t>
      </w:r>
    </w:p>
    <w:p w14:paraId="29D12FB7" w14:textId="77777777" w:rsidR="00755B6A" w:rsidRPr="009544AD" w:rsidRDefault="00755B6A">
      <w:pPr>
        <w:pStyle w:val="1"/>
      </w:pPr>
      <w:r w:rsidRPr="009544AD">
        <w:t>2.</w:t>
      </w:r>
      <w:r w:rsidRPr="009544AD">
        <w:tab/>
        <w:t>Serological tests</w:t>
      </w:r>
    </w:p>
    <w:p w14:paraId="59204277" w14:textId="183FA4FF" w:rsidR="00962187" w:rsidRPr="009544AD" w:rsidRDefault="00962187" w:rsidP="00970EFF">
      <w:pPr>
        <w:pStyle w:val="para1"/>
      </w:pPr>
      <w:r w:rsidRPr="009544AD">
        <w:t xml:space="preserve">All the viruses </w:t>
      </w:r>
      <w:r w:rsidR="007C7BE8" w:rsidRPr="009544AD">
        <w:t xml:space="preserve">in the genus </w:t>
      </w:r>
      <w:proofErr w:type="spellStart"/>
      <w:r w:rsidRPr="009544AD">
        <w:rPr>
          <w:i/>
        </w:rPr>
        <w:t>Orthopoxvirus</w:t>
      </w:r>
      <w:proofErr w:type="spellEnd"/>
      <w:r w:rsidR="00970EFF" w:rsidRPr="009544AD">
        <w:t xml:space="preserve"> </w:t>
      </w:r>
      <w:r w:rsidRPr="009544AD">
        <w:t xml:space="preserve">cross-react serologically. However, within the genus only </w:t>
      </w:r>
      <w:proofErr w:type="spellStart"/>
      <w:r w:rsidRPr="009544AD">
        <w:t>camelpox</w:t>
      </w:r>
      <w:proofErr w:type="spellEnd"/>
      <w:r w:rsidRPr="009544AD">
        <w:t xml:space="preserve"> virus can cause pox-like lesions in camels. </w:t>
      </w:r>
      <w:proofErr w:type="spellStart"/>
      <w:r w:rsidRPr="009544AD">
        <w:t>Parapox</w:t>
      </w:r>
      <w:proofErr w:type="spellEnd"/>
      <w:r w:rsidRPr="009544AD">
        <w:t xml:space="preserve"> and </w:t>
      </w:r>
      <w:proofErr w:type="spellStart"/>
      <w:r w:rsidRPr="009544AD">
        <w:t>camelpox</w:t>
      </w:r>
      <w:proofErr w:type="spellEnd"/>
      <w:r w:rsidRPr="009544AD">
        <w:t xml:space="preserve"> virus</w:t>
      </w:r>
      <w:r w:rsidR="007C7BE8" w:rsidRPr="009544AD">
        <w:t>es</w:t>
      </w:r>
      <w:r w:rsidRPr="009544AD">
        <w:t xml:space="preserve"> do not cross-react and so infections of </w:t>
      </w:r>
      <w:proofErr w:type="spellStart"/>
      <w:r w:rsidR="0051241D" w:rsidRPr="009544AD">
        <w:t>camelpox</w:t>
      </w:r>
      <w:proofErr w:type="spellEnd"/>
      <w:r w:rsidRPr="009544AD">
        <w:t xml:space="preserve"> and camel </w:t>
      </w:r>
      <w:proofErr w:type="spellStart"/>
      <w:r w:rsidRPr="009544AD">
        <w:t>orf</w:t>
      </w:r>
      <w:proofErr w:type="spellEnd"/>
      <w:r w:rsidRPr="009544AD">
        <w:t xml:space="preserve"> can be distinguished serologically. Most of the conventional serological tests are very time- and labour-consuming</w:t>
      </w:r>
      <w:r w:rsidR="00970EFF" w:rsidRPr="009544AD">
        <w:t>,</w:t>
      </w:r>
      <w:r w:rsidRPr="009544AD">
        <w:t xml:space="preserve"> which makes them </w:t>
      </w:r>
      <w:r w:rsidR="00C31264">
        <w:t>un</w:t>
      </w:r>
      <w:r w:rsidRPr="009544AD">
        <w:t xml:space="preserve">suitable for primary diagnosis. However, serological tests are a valuable tool for secondary confirmatory testing and retrospective epidemiological studies in those areas where vaccination against </w:t>
      </w:r>
      <w:proofErr w:type="spellStart"/>
      <w:r w:rsidR="0051241D" w:rsidRPr="009544AD">
        <w:t>camelpox</w:t>
      </w:r>
      <w:proofErr w:type="spellEnd"/>
      <w:r w:rsidRPr="009544AD">
        <w:t xml:space="preserve"> is not practised. </w:t>
      </w:r>
    </w:p>
    <w:p w14:paraId="45A2B7E8" w14:textId="6BC98C61" w:rsidR="00962187" w:rsidRPr="009544AD" w:rsidRDefault="00A65D7B" w:rsidP="00A65D7B">
      <w:pPr>
        <w:pStyle w:val="11"/>
      </w:pPr>
      <w:r w:rsidRPr="009544AD">
        <w:t>2.1.</w:t>
      </w:r>
      <w:r w:rsidR="00962187" w:rsidRPr="009544AD">
        <w:tab/>
      </w:r>
      <w:r w:rsidR="00652A97" w:rsidRPr="009544AD">
        <w:t xml:space="preserve">Virus </w:t>
      </w:r>
      <w:r w:rsidR="00962187" w:rsidRPr="009544AD">
        <w:t>neutrali</w:t>
      </w:r>
      <w:r w:rsidR="001B3C8D" w:rsidRPr="009544AD">
        <w:t>s</w:t>
      </w:r>
      <w:r w:rsidR="00962187" w:rsidRPr="009544AD">
        <w:t>ation test</w:t>
      </w:r>
    </w:p>
    <w:p w14:paraId="0E760F9C" w14:textId="408F71CB" w:rsidR="00962187" w:rsidRPr="009544AD" w:rsidRDefault="00962187" w:rsidP="00A65D7B">
      <w:pPr>
        <w:pStyle w:val="11Para"/>
      </w:pPr>
      <w:r w:rsidRPr="009544AD">
        <w:t xml:space="preserve">In this method the test sera </w:t>
      </w:r>
      <w:r w:rsidR="00970EFF" w:rsidRPr="009544AD">
        <w:t>are</w:t>
      </w:r>
      <w:r w:rsidRPr="009544AD">
        <w:t xml:space="preserve"> titrated against </w:t>
      </w:r>
      <w:r w:rsidR="007C7BE8" w:rsidRPr="009544AD">
        <w:t xml:space="preserve">a </w:t>
      </w:r>
      <w:r w:rsidRPr="009544AD">
        <w:t xml:space="preserve">constant titre of </w:t>
      </w:r>
      <w:proofErr w:type="spellStart"/>
      <w:r w:rsidRPr="009544AD">
        <w:t>camelpox</w:t>
      </w:r>
      <w:proofErr w:type="spellEnd"/>
      <w:r w:rsidRPr="009544AD">
        <w:t xml:space="preserve"> virus (100</w:t>
      </w:r>
      <w:r w:rsidR="007C7BE8" w:rsidRPr="009544AD">
        <w:t xml:space="preserve"> </w:t>
      </w:r>
      <w:r w:rsidRPr="009544AD">
        <w:t>TCID</w:t>
      </w:r>
      <w:r w:rsidRPr="00027048">
        <w:rPr>
          <w:vertAlign w:val="subscript"/>
        </w:rPr>
        <w:t>50</w:t>
      </w:r>
      <w:r w:rsidR="008F60CE" w:rsidRPr="009544AD">
        <w:t xml:space="preserve"> [</w:t>
      </w:r>
      <w:r w:rsidR="007C7BE8" w:rsidRPr="009544AD">
        <w:t xml:space="preserve">50% </w:t>
      </w:r>
      <w:r w:rsidR="008F60CE" w:rsidRPr="009544AD">
        <w:t>tissue culture infecti</w:t>
      </w:r>
      <w:r w:rsidR="007C7BE8" w:rsidRPr="009544AD">
        <w:t>ous</w:t>
      </w:r>
      <w:r w:rsidR="008F60CE" w:rsidRPr="009544AD">
        <w:t xml:space="preserve"> dose]</w:t>
      </w:r>
      <w:r w:rsidRPr="009544AD">
        <w:t>)</w:t>
      </w:r>
      <w:r w:rsidR="000849F7" w:rsidRPr="009544AD">
        <w:t xml:space="preserve"> on Vero cells</w:t>
      </w:r>
      <w:r w:rsidRPr="009544AD">
        <w:t>.</w:t>
      </w:r>
    </w:p>
    <w:p w14:paraId="62417C5B" w14:textId="77777777" w:rsidR="00962187" w:rsidRPr="009544AD" w:rsidRDefault="00A65D7B" w:rsidP="00A65D7B">
      <w:pPr>
        <w:pStyle w:val="111"/>
      </w:pPr>
      <w:r w:rsidRPr="009544AD">
        <w:t>2.1.1.</w:t>
      </w:r>
      <w:r w:rsidR="00962187" w:rsidRPr="009544AD">
        <w:tab/>
        <w:t>Test procedure</w:t>
      </w:r>
    </w:p>
    <w:p w14:paraId="2C53917F" w14:textId="62B70439" w:rsidR="000849F7" w:rsidRPr="009544AD" w:rsidRDefault="000849F7" w:rsidP="000849F7">
      <w:pPr>
        <w:pStyle w:val="iparalast"/>
        <w:spacing w:after="120"/>
      </w:pPr>
      <w:proofErr w:type="spellStart"/>
      <w:r w:rsidRPr="009544AD">
        <w:t>i</w:t>
      </w:r>
      <w:proofErr w:type="spellEnd"/>
      <w:r w:rsidRPr="009544AD">
        <w:t>)</w:t>
      </w:r>
      <w:r w:rsidRPr="009544AD">
        <w:tab/>
        <w:t>Sera are inactivated at 56°C for 30 minutes in a water bath.</w:t>
      </w:r>
    </w:p>
    <w:p w14:paraId="7CF08322" w14:textId="7EFD445B" w:rsidR="000849F7" w:rsidRPr="009544AD" w:rsidRDefault="000849F7" w:rsidP="000849F7">
      <w:pPr>
        <w:pStyle w:val="iparalast"/>
        <w:spacing w:after="120"/>
      </w:pPr>
      <w:r w:rsidRPr="009544AD">
        <w:t>ii)</w:t>
      </w:r>
      <w:r w:rsidRPr="009544AD">
        <w:tab/>
        <w:t xml:space="preserve">Sera are diluted in a twofold dilution series across the 96-well, flat-bottomed, cell-culture grade </w:t>
      </w:r>
      <w:proofErr w:type="spellStart"/>
      <w:r w:rsidRPr="009544AD">
        <w:t>microtitre</w:t>
      </w:r>
      <w:proofErr w:type="spellEnd"/>
      <w:r w:rsidRPr="009544AD">
        <w:t xml:space="preserve"> plate in serum-free cell culture medium (25 µl volumes). Individual serum controls, together with negative and known positive control sera</w:t>
      </w:r>
      <w:r w:rsidR="0010059C">
        <w:t>,</w:t>
      </w:r>
      <w:r w:rsidRPr="009544AD">
        <w:t xml:space="preserve"> must also be included in each test.</w:t>
      </w:r>
    </w:p>
    <w:p w14:paraId="3AC31D05" w14:textId="77DE3D0B" w:rsidR="000849F7" w:rsidRPr="009544AD" w:rsidRDefault="000849F7" w:rsidP="000849F7">
      <w:pPr>
        <w:pStyle w:val="iparalast"/>
        <w:spacing w:after="120"/>
      </w:pPr>
      <w:r w:rsidRPr="009544AD">
        <w:t>iii)</w:t>
      </w:r>
      <w:r w:rsidRPr="009544AD">
        <w:tab/>
        <w:t>A dilution of stock virus made up to contain 100 TCID</w:t>
      </w:r>
      <w:r w:rsidRPr="00027048">
        <w:rPr>
          <w:vertAlign w:val="subscript"/>
        </w:rPr>
        <w:t>50</w:t>
      </w:r>
      <w:r w:rsidRPr="009544AD">
        <w:t xml:space="preserve"> per 25 </w:t>
      </w:r>
      <w:proofErr w:type="spellStart"/>
      <w:r w:rsidRPr="009544AD">
        <w:t>μl</w:t>
      </w:r>
      <w:proofErr w:type="spellEnd"/>
      <w:r w:rsidRPr="009544AD">
        <w:t xml:space="preserve"> is prepared using serum-free cell culture medium containing antibiotics.</w:t>
      </w:r>
    </w:p>
    <w:p w14:paraId="51774BD8" w14:textId="75155A3A" w:rsidR="000849F7" w:rsidRPr="009544AD" w:rsidRDefault="000849F7" w:rsidP="000849F7">
      <w:pPr>
        <w:pStyle w:val="iparalast"/>
        <w:spacing w:after="120"/>
      </w:pPr>
      <w:r w:rsidRPr="009544AD">
        <w:t>iv)</w:t>
      </w:r>
      <w:r w:rsidRPr="009544AD">
        <w:tab/>
        <w:t>25</w:t>
      </w:r>
      <w:r w:rsidR="00121979">
        <w:t> </w:t>
      </w:r>
      <w:proofErr w:type="spellStart"/>
      <w:r w:rsidRPr="009544AD">
        <w:t>μl</w:t>
      </w:r>
      <w:proofErr w:type="spellEnd"/>
      <w:r w:rsidRPr="009544AD">
        <w:t xml:space="preserve"> of the appropriate stock virus dilution is added to every well containing 25 µl of each serum dilution, except the test serum control wells and cell control wells on each plate.</w:t>
      </w:r>
    </w:p>
    <w:p w14:paraId="0AC84BCC" w14:textId="33694380" w:rsidR="000849F7" w:rsidRPr="009544AD" w:rsidRDefault="000849F7" w:rsidP="000849F7">
      <w:pPr>
        <w:pStyle w:val="iparalast"/>
        <w:spacing w:after="120"/>
      </w:pPr>
      <w:r w:rsidRPr="009544AD">
        <w:t>v)</w:t>
      </w:r>
      <w:r w:rsidRPr="009544AD">
        <w:tab/>
        <w:t>Plates are covered and incubated 1 hour at 37°C in 5% CO</w:t>
      </w:r>
      <w:r w:rsidRPr="00027048">
        <w:rPr>
          <w:vertAlign w:val="subscript"/>
        </w:rPr>
        <w:t>2</w:t>
      </w:r>
      <w:r w:rsidRPr="009544AD">
        <w:rPr>
          <w:vertAlign w:val="subscript"/>
        </w:rPr>
        <w:t xml:space="preserve"> </w:t>
      </w:r>
      <w:r w:rsidRPr="009544AD">
        <w:t>atmosphere.</w:t>
      </w:r>
    </w:p>
    <w:p w14:paraId="4A342847" w14:textId="186EFCCA" w:rsidR="000849F7" w:rsidRPr="009544AD" w:rsidRDefault="000849F7" w:rsidP="000849F7">
      <w:pPr>
        <w:pStyle w:val="iparalast"/>
        <w:spacing w:after="120"/>
      </w:pPr>
      <w:r w:rsidRPr="009544AD">
        <w:t>vi)</w:t>
      </w:r>
      <w:r w:rsidRPr="009544AD">
        <w:tab/>
        <w:t xml:space="preserve">A cell suspension is made from 3–4 days old Vero cells using a concentration that will ensure confluent monolayers in the </w:t>
      </w:r>
      <w:proofErr w:type="spellStart"/>
      <w:r w:rsidRPr="009544AD">
        <w:t>microtitre</w:t>
      </w:r>
      <w:proofErr w:type="spellEnd"/>
      <w:r w:rsidRPr="009544AD">
        <w:t xml:space="preserve"> plate wells within 18–24 hours after seeding.</w:t>
      </w:r>
    </w:p>
    <w:p w14:paraId="7EF38F8A" w14:textId="244F5362" w:rsidR="000849F7" w:rsidRPr="009544AD" w:rsidRDefault="000849F7" w:rsidP="000849F7">
      <w:pPr>
        <w:pStyle w:val="iparalast"/>
        <w:spacing w:after="120"/>
      </w:pPr>
      <w:r w:rsidRPr="009544AD">
        <w:t>vii)</w:t>
      </w:r>
      <w:r w:rsidRPr="009544AD">
        <w:tab/>
        <w:t>A volume of 100 µl of cell suspension is added to every well, the plates are sealed with tape and incubated at 37°C in 5% CO</w:t>
      </w:r>
      <w:r w:rsidRPr="00027048">
        <w:rPr>
          <w:vertAlign w:val="subscript"/>
        </w:rPr>
        <w:t>2</w:t>
      </w:r>
      <w:r w:rsidRPr="009544AD">
        <w:rPr>
          <w:vertAlign w:val="subscript"/>
        </w:rPr>
        <w:t xml:space="preserve"> </w:t>
      </w:r>
      <w:r w:rsidRPr="009544AD">
        <w:t>atmosphere for 3–4 days.</w:t>
      </w:r>
    </w:p>
    <w:p w14:paraId="72AA8A03" w14:textId="7291D2DF" w:rsidR="000849F7" w:rsidRPr="009544AD" w:rsidRDefault="000849F7" w:rsidP="0074226F">
      <w:pPr>
        <w:pStyle w:val="iparalast"/>
        <w:keepLines/>
      </w:pPr>
      <w:r w:rsidRPr="009544AD">
        <w:lastRenderedPageBreak/>
        <w:t>viii)</w:t>
      </w:r>
      <w:r w:rsidRPr="009544AD">
        <w:tab/>
        <w:t xml:space="preserve">Plates are examined microscopically for CPE and results are recorded on a work sheet. Wells are scored as positive for neutralisation of virus if 100% of the cell monolayer is intact. The highest dilution of serum resulting in complete neutralisation of virus (no CPE) in half of the test wells is the 50% end-point titre of that serum. If </w:t>
      </w:r>
      <w:r w:rsidR="000D0ADD" w:rsidRPr="009544AD">
        <w:t>necessary,</w:t>
      </w:r>
      <w:r w:rsidRPr="009544AD">
        <w:t xml:space="preserve"> the titre can be determined by the Spearman</w:t>
      </w:r>
      <w:r w:rsidR="00ED776E" w:rsidRPr="009544AD">
        <w:t>–</w:t>
      </w:r>
      <w:proofErr w:type="spellStart"/>
      <w:r w:rsidRPr="009544AD">
        <w:t>Kärber</w:t>
      </w:r>
      <w:proofErr w:type="spellEnd"/>
      <w:r w:rsidRPr="009544AD">
        <w:t xml:space="preserve"> method. A titre of 1/8 or greater is considered to be positive. </w:t>
      </w:r>
    </w:p>
    <w:p w14:paraId="3A81A345" w14:textId="77777777" w:rsidR="00962187" w:rsidRPr="009544AD" w:rsidRDefault="00A65D7B" w:rsidP="00A65D7B">
      <w:pPr>
        <w:pStyle w:val="11"/>
      </w:pPr>
      <w:r w:rsidRPr="009544AD">
        <w:t>2.2.</w:t>
      </w:r>
      <w:r w:rsidR="00962187" w:rsidRPr="009544AD">
        <w:tab/>
        <w:t>Enzyme-linked immunosorbent assay for the detection of an</w:t>
      </w:r>
      <w:r w:rsidR="001523FB" w:rsidRPr="009544AD">
        <w:t xml:space="preserve">tibodies against </w:t>
      </w:r>
      <w:proofErr w:type="spellStart"/>
      <w:r w:rsidR="001523FB" w:rsidRPr="009544AD">
        <w:t>camelpox</w:t>
      </w:r>
      <w:proofErr w:type="spellEnd"/>
      <w:r w:rsidR="001523FB" w:rsidRPr="009544AD">
        <w:t xml:space="preserve"> virus</w:t>
      </w:r>
    </w:p>
    <w:p w14:paraId="1A616A9B" w14:textId="5314B098" w:rsidR="00962187" w:rsidRPr="009544AD" w:rsidRDefault="00962187" w:rsidP="00A65D7B">
      <w:pPr>
        <w:pStyle w:val="11Para"/>
      </w:pPr>
      <w:r w:rsidRPr="009544AD">
        <w:t xml:space="preserve">The following procedure for </w:t>
      </w:r>
      <w:r w:rsidR="00042E57" w:rsidRPr="009544AD">
        <w:t xml:space="preserve">the </w:t>
      </w:r>
      <w:r w:rsidRPr="009544AD">
        <w:t xml:space="preserve">antibody ELISA for </w:t>
      </w:r>
      <w:proofErr w:type="spellStart"/>
      <w:r w:rsidRPr="0086775A">
        <w:rPr>
          <w:i/>
          <w:strike/>
          <w:highlight w:val="yellow"/>
        </w:rPr>
        <w:t>Orthopoxvirus</w:t>
      </w:r>
      <w:proofErr w:type="spellEnd"/>
      <w:r w:rsidRPr="0086775A">
        <w:rPr>
          <w:i/>
          <w:strike/>
          <w:highlight w:val="yellow"/>
        </w:rPr>
        <w:t xml:space="preserve"> </w:t>
      </w:r>
      <w:proofErr w:type="spellStart"/>
      <w:r w:rsidRPr="0086775A">
        <w:rPr>
          <w:i/>
          <w:strike/>
          <w:highlight w:val="yellow"/>
        </w:rPr>
        <w:t>cameli</w:t>
      </w:r>
      <w:proofErr w:type="spellEnd"/>
      <w:r w:rsidR="0086775A" w:rsidRPr="0086775A">
        <w:rPr>
          <w:i/>
          <w:strike/>
          <w:highlight w:val="yellow"/>
        </w:rPr>
        <w:t xml:space="preserve"> </w:t>
      </w:r>
      <w:proofErr w:type="spellStart"/>
      <w:r w:rsidR="00CB64BF" w:rsidRPr="0086775A">
        <w:rPr>
          <w:i/>
          <w:highlight w:val="yellow"/>
          <w:u w:val="double"/>
        </w:rPr>
        <w:t>Camelpo</w:t>
      </w:r>
      <w:r w:rsidR="00173E7C" w:rsidRPr="0086775A">
        <w:rPr>
          <w:i/>
          <w:highlight w:val="yellow"/>
          <w:u w:val="double"/>
        </w:rPr>
        <w:t>x</w:t>
      </w:r>
      <w:proofErr w:type="spellEnd"/>
      <w:r w:rsidR="00173E7C" w:rsidRPr="0086775A">
        <w:rPr>
          <w:i/>
          <w:highlight w:val="yellow"/>
          <w:u w:val="double"/>
        </w:rPr>
        <w:t xml:space="preserve"> virus</w:t>
      </w:r>
      <w:r w:rsidRPr="009544AD">
        <w:t xml:space="preserve"> is described by Azwai </w:t>
      </w:r>
      <w:r w:rsidR="00D4764B" w:rsidRPr="009544AD">
        <w:rPr>
          <w:i/>
        </w:rPr>
        <w:t>et al</w:t>
      </w:r>
      <w:r w:rsidRPr="009544AD">
        <w:t>. (</w:t>
      </w:r>
      <w:r w:rsidR="008A2815" w:rsidRPr="009544AD">
        <w:t>1996</w:t>
      </w:r>
      <w:r w:rsidRPr="009544AD">
        <w:t xml:space="preserve">) and Pfeffer </w:t>
      </w:r>
      <w:r w:rsidR="00D4764B" w:rsidRPr="009544AD">
        <w:rPr>
          <w:i/>
        </w:rPr>
        <w:t>et al</w:t>
      </w:r>
      <w:r w:rsidRPr="009544AD">
        <w:t>. (</w:t>
      </w:r>
      <w:r w:rsidR="00FB0BA9" w:rsidRPr="009544AD">
        <w:t>1998b</w:t>
      </w:r>
      <w:r w:rsidRPr="009544AD">
        <w:t xml:space="preserve">). The following description gives general guidelines for the test procedure. </w:t>
      </w:r>
    </w:p>
    <w:p w14:paraId="26437C4D" w14:textId="77777777" w:rsidR="00962187" w:rsidRPr="009544AD" w:rsidRDefault="00A65D7B" w:rsidP="00A65D7B">
      <w:pPr>
        <w:pStyle w:val="111"/>
      </w:pPr>
      <w:r w:rsidRPr="009544AD">
        <w:t>2.2.1.</w:t>
      </w:r>
      <w:r w:rsidR="00E05E33" w:rsidRPr="009544AD">
        <w:tab/>
      </w:r>
      <w:r w:rsidR="00962187" w:rsidRPr="009544AD">
        <w:t>Preparation of the antigen</w:t>
      </w:r>
    </w:p>
    <w:p w14:paraId="06044E19" w14:textId="77777777" w:rsidR="00962187" w:rsidRPr="009544AD" w:rsidRDefault="00E05E33" w:rsidP="007C279D">
      <w:pPr>
        <w:pStyle w:val="i"/>
      </w:pPr>
      <w:proofErr w:type="spellStart"/>
      <w:r w:rsidRPr="009544AD">
        <w:t>i</w:t>
      </w:r>
      <w:proofErr w:type="spellEnd"/>
      <w:r w:rsidRPr="009544AD">
        <w:t>)</w:t>
      </w:r>
      <w:r w:rsidRPr="009544AD">
        <w:tab/>
      </w:r>
      <w:r w:rsidR="00962187" w:rsidRPr="009544AD">
        <w:t>Harvest the cell culture when 100</w:t>
      </w:r>
      <w:r w:rsidR="00033DAE" w:rsidRPr="009544AD">
        <w:t>%</w:t>
      </w:r>
      <w:r w:rsidR="00962187" w:rsidRPr="009544AD">
        <w:t xml:space="preserve"> infected with </w:t>
      </w:r>
      <w:proofErr w:type="spellStart"/>
      <w:r w:rsidR="00962187" w:rsidRPr="009544AD">
        <w:t>camelpox</w:t>
      </w:r>
      <w:proofErr w:type="spellEnd"/>
      <w:r w:rsidR="00962187" w:rsidRPr="009544AD">
        <w:t xml:space="preserve"> virus. Freeze and thaw two to three times. Sonicate for 3</w:t>
      </w:r>
      <w:r w:rsidR="002D4688" w:rsidRPr="009544AD">
        <w:t>0 </w:t>
      </w:r>
      <w:r w:rsidR="00962187" w:rsidRPr="009544AD">
        <w:t>seconds at 8</w:t>
      </w:r>
      <w:r w:rsidR="002D4688" w:rsidRPr="009544AD">
        <w:t>0 </w:t>
      </w:r>
      <w:r w:rsidR="007C279D" w:rsidRPr="009544AD">
        <w:t>Hz</w:t>
      </w:r>
      <w:r w:rsidR="00962187" w:rsidRPr="009544AD">
        <w:t xml:space="preserve"> on ice to release the virus from the cells. </w:t>
      </w:r>
    </w:p>
    <w:p w14:paraId="6E34CA6E" w14:textId="77777777" w:rsidR="00962187" w:rsidRPr="009544AD" w:rsidRDefault="00E05E33" w:rsidP="00E05E33">
      <w:pPr>
        <w:pStyle w:val="i"/>
      </w:pPr>
      <w:r w:rsidRPr="009544AD">
        <w:t>ii)</w:t>
      </w:r>
      <w:r w:rsidRPr="009544AD">
        <w:tab/>
      </w:r>
      <w:r w:rsidR="00962187" w:rsidRPr="009544AD">
        <w:t>Centrifuge at 100</w:t>
      </w:r>
      <w:r w:rsidR="002D4688" w:rsidRPr="009544AD">
        <w:t>0 </w:t>
      </w:r>
      <w:r w:rsidR="00962187" w:rsidRPr="009544AD">
        <w:rPr>
          <w:b/>
          <w:bCs/>
          <w:i/>
          <w:iCs/>
        </w:rPr>
        <w:t>g</w:t>
      </w:r>
      <w:r w:rsidR="00962187" w:rsidRPr="009544AD">
        <w:t xml:space="preserve"> for 1</w:t>
      </w:r>
      <w:r w:rsidR="002D4688" w:rsidRPr="009544AD">
        <w:t>0 </w:t>
      </w:r>
      <w:r w:rsidR="00962187" w:rsidRPr="009544AD">
        <w:t>minutes and collect the supernatant.</w:t>
      </w:r>
    </w:p>
    <w:p w14:paraId="7A46C462" w14:textId="77777777" w:rsidR="00962187" w:rsidRPr="009544AD" w:rsidRDefault="00E05E33" w:rsidP="007C279D">
      <w:pPr>
        <w:pStyle w:val="i"/>
      </w:pPr>
      <w:r w:rsidRPr="009544AD">
        <w:t>iii)</w:t>
      </w:r>
      <w:r w:rsidRPr="009544AD">
        <w:tab/>
      </w:r>
      <w:r w:rsidR="00962187" w:rsidRPr="009544AD">
        <w:t>Centrifuge the supernatant at 45</w:t>
      </w:r>
      <w:r w:rsidR="00066432" w:rsidRPr="009544AD">
        <w:t>,</w:t>
      </w:r>
      <w:r w:rsidR="00962187" w:rsidRPr="009544AD">
        <w:t>00</w:t>
      </w:r>
      <w:r w:rsidR="002D4688" w:rsidRPr="009544AD">
        <w:t>0 </w:t>
      </w:r>
      <w:r w:rsidR="00962187" w:rsidRPr="009544AD">
        <w:rPr>
          <w:b/>
          <w:bCs/>
          <w:i/>
          <w:iCs/>
        </w:rPr>
        <w:t>g</w:t>
      </w:r>
      <w:r w:rsidR="00962187" w:rsidRPr="009544AD">
        <w:t xml:space="preserve"> at 4°C for </w:t>
      </w:r>
      <w:r w:rsidR="00635BE5" w:rsidRPr="009544AD">
        <w:t>1 </w:t>
      </w:r>
      <w:r w:rsidR="00962187" w:rsidRPr="009544AD">
        <w:t>hour. Re-suspend the pellet in PBS.</w:t>
      </w:r>
    </w:p>
    <w:p w14:paraId="07E8EF7F" w14:textId="77777777" w:rsidR="00962187" w:rsidRPr="009544AD" w:rsidRDefault="00E05E33" w:rsidP="00E05E33">
      <w:pPr>
        <w:pStyle w:val="i"/>
      </w:pPr>
      <w:r w:rsidRPr="009544AD">
        <w:t>iv)</w:t>
      </w:r>
      <w:r w:rsidRPr="009544AD">
        <w:tab/>
      </w:r>
      <w:r w:rsidR="00962187" w:rsidRPr="009544AD">
        <w:t xml:space="preserve">Add NaCl to </w:t>
      </w:r>
      <w:r w:rsidR="00E47D7A" w:rsidRPr="009544AD">
        <w:t xml:space="preserve">a </w:t>
      </w:r>
      <w:r w:rsidR="00962187" w:rsidRPr="009544AD">
        <w:t xml:space="preserve">final concentration of </w:t>
      </w:r>
      <w:smartTag w:uri="urn:schemas-microsoft-com:office:smarttags" w:element="metricconverter">
        <w:smartTagPr>
          <w:attr w:name="ProductID" w:val="330ﾠmM"/>
        </w:smartTagPr>
        <w:r w:rsidR="00962187" w:rsidRPr="009544AD">
          <w:t>33</w:t>
        </w:r>
        <w:r w:rsidR="002D4688" w:rsidRPr="009544AD">
          <w:t>0 </w:t>
        </w:r>
        <w:r w:rsidR="00962187" w:rsidRPr="009544AD">
          <w:t>mM</w:t>
        </w:r>
      </w:smartTag>
      <w:r w:rsidR="00962187" w:rsidRPr="009544AD">
        <w:t xml:space="preserve"> and polyethylene glycol (PEG</w:t>
      </w:r>
      <w:r w:rsidR="007C279D" w:rsidRPr="009544AD">
        <w:t xml:space="preserve"> </w:t>
      </w:r>
      <w:r w:rsidR="00962187" w:rsidRPr="009544AD">
        <w:t>6000)</w:t>
      </w:r>
      <w:r w:rsidR="00E47D7A" w:rsidRPr="009544AD">
        <w:t xml:space="preserve"> to a final concentration of </w:t>
      </w:r>
      <w:r w:rsidR="00962187" w:rsidRPr="009544AD">
        <w:t>7</w:t>
      </w:r>
      <w:r w:rsidR="00033DAE" w:rsidRPr="009544AD">
        <w:t>%</w:t>
      </w:r>
      <w:r w:rsidR="00962187" w:rsidRPr="009544AD">
        <w:t>.</w:t>
      </w:r>
    </w:p>
    <w:p w14:paraId="0E389369" w14:textId="77777777" w:rsidR="00962187" w:rsidRPr="009544AD" w:rsidRDefault="00E05E33" w:rsidP="007C279D">
      <w:pPr>
        <w:pStyle w:val="i"/>
      </w:pPr>
      <w:r w:rsidRPr="009544AD">
        <w:t>v)</w:t>
      </w:r>
      <w:r w:rsidRPr="009544AD">
        <w:tab/>
      </w:r>
      <w:r w:rsidR="00962187" w:rsidRPr="009544AD">
        <w:t>Stir overnight at 4</w:t>
      </w:r>
      <w:r w:rsidR="00033DAE" w:rsidRPr="009544AD">
        <w:t>°C</w:t>
      </w:r>
      <w:r w:rsidR="007C279D" w:rsidRPr="009544AD">
        <w:t>,</w:t>
      </w:r>
      <w:r w:rsidR="00962187" w:rsidRPr="009544AD">
        <w:t xml:space="preserve"> centrifuge at 300</w:t>
      </w:r>
      <w:r w:rsidR="002D4688" w:rsidRPr="009544AD">
        <w:t>0 </w:t>
      </w:r>
      <w:r w:rsidR="00962187" w:rsidRPr="009544AD">
        <w:rPr>
          <w:b/>
          <w:bCs/>
          <w:i/>
          <w:iCs/>
        </w:rPr>
        <w:t>g</w:t>
      </w:r>
      <w:r w:rsidR="00962187" w:rsidRPr="009544AD">
        <w:t xml:space="preserve"> at 4</w:t>
      </w:r>
      <w:r w:rsidR="00033DAE" w:rsidRPr="009544AD">
        <w:t>°C</w:t>
      </w:r>
      <w:r w:rsidR="00962187" w:rsidRPr="009544AD">
        <w:t xml:space="preserve"> for 1</w:t>
      </w:r>
      <w:r w:rsidR="002D4688" w:rsidRPr="009544AD">
        <w:t>0 </w:t>
      </w:r>
      <w:r w:rsidR="00962187" w:rsidRPr="009544AD">
        <w:t>minutes and wash the pellet twice with 1</w:t>
      </w:r>
      <w:r w:rsidR="00AC4142" w:rsidRPr="009544AD">
        <w:t>5 </w:t>
      </w:r>
      <w:r w:rsidR="00962187" w:rsidRPr="009544AD">
        <w:t>mM NaCl.</w:t>
      </w:r>
    </w:p>
    <w:p w14:paraId="2B7BE66F" w14:textId="77777777" w:rsidR="00962187" w:rsidRPr="009544AD" w:rsidRDefault="00E05E33" w:rsidP="00C65F2F">
      <w:pPr>
        <w:pStyle w:val="i"/>
      </w:pPr>
      <w:r w:rsidRPr="009544AD">
        <w:t>vi)</w:t>
      </w:r>
      <w:r w:rsidRPr="009544AD">
        <w:tab/>
      </w:r>
      <w:r w:rsidR="00C85097" w:rsidRPr="009544AD">
        <w:t>Freeze and thaw</w:t>
      </w:r>
      <w:r w:rsidR="00D57A27" w:rsidRPr="009544AD">
        <w:t>, and</w:t>
      </w:r>
      <w:r w:rsidR="00C85097" w:rsidRPr="009544AD">
        <w:t xml:space="preserve"> t</w:t>
      </w:r>
      <w:r w:rsidR="00962187" w:rsidRPr="009544AD">
        <w:t>reat with 1% non-ionic detergent (</w:t>
      </w:r>
      <w:proofErr w:type="spellStart"/>
      <w:r w:rsidR="00962187" w:rsidRPr="009544AD">
        <w:t>Nonidet</w:t>
      </w:r>
      <w:proofErr w:type="spellEnd"/>
      <w:r w:rsidR="00962187" w:rsidRPr="009544AD">
        <w:t xml:space="preserve"> P40, Sigma) at </w:t>
      </w:r>
      <w:smartTag w:uri="urn:schemas-microsoft-com:office:smarttags" w:element="metricconverter">
        <w:smartTagPr>
          <w:attr w:name="ProductID" w:val="37ﾰC"/>
        </w:smartTagPr>
        <w:r w:rsidR="00962187" w:rsidRPr="009544AD">
          <w:t>37</w:t>
        </w:r>
        <w:r w:rsidR="00C65F2F" w:rsidRPr="009544AD">
          <w:t>°</w:t>
        </w:r>
        <w:r w:rsidR="00033DAE" w:rsidRPr="009544AD">
          <w:t>C</w:t>
        </w:r>
      </w:smartTag>
      <w:r w:rsidR="00962187" w:rsidRPr="009544AD">
        <w:t xml:space="preserve"> for </w:t>
      </w:r>
      <w:r w:rsidR="00CF517D" w:rsidRPr="009544AD">
        <w:t>3 </w:t>
      </w:r>
      <w:r w:rsidR="00962187" w:rsidRPr="009544AD">
        <w:t>hours.</w:t>
      </w:r>
    </w:p>
    <w:p w14:paraId="4B43E825" w14:textId="77777777" w:rsidR="00962187" w:rsidRPr="009544AD" w:rsidRDefault="00E05E33" w:rsidP="00E05E33">
      <w:pPr>
        <w:pStyle w:val="i"/>
      </w:pPr>
      <w:r w:rsidRPr="009544AD">
        <w:t>vii)</w:t>
      </w:r>
      <w:r w:rsidRPr="009544AD">
        <w:tab/>
      </w:r>
      <w:r w:rsidR="00962187" w:rsidRPr="009544AD">
        <w:t>Freeze and thaw and centrifuge at 300</w:t>
      </w:r>
      <w:r w:rsidR="002D4688" w:rsidRPr="009544AD">
        <w:t>0 </w:t>
      </w:r>
      <w:r w:rsidR="00962187" w:rsidRPr="009544AD">
        <w:rPr>
          <w:b/>
          <w:bCs/>
          <w:i/>
          <w:iCs/>
        </w:rPr>
        <w:t>g</w:t>
      </w:r>
      <w:r w:rsidR="00962187" w:rsidRPr="009544AD">
        <w:t xml:space="preserve"> for 1</w:t>
      </w:r>
      <w:r w:rsidR="002D4688" w:rsidRPr="009544AD">
        <w:t>0 </w:t>
      </w:r>
      <w:r w:rsidR="00962187" w:rsidRPr="009544AD">
        <w:t>min</w:t>
      </w:r>
      <w:r w:rsidR="003753D6" w:rsidRPr="009544AD">
        <w:t>utes</w:t>
      </w:r>
      <w:r w:rsidR="00962187" w:rsidRPr="009544AD">
        <w:t xml:space="preserve"> at 4</w:t>
      </w:r>
      <w:r w:rsidR="00033DAE" w:rsidRPr="009544AD">
        <w:t>°C</w:t>
      </w:r>
      <w:r w:rsidR="00962187" w:rsidRPr="009544AD">
        <w:t>.</w:t>
      </w:r>
    </w:p>
    <w:p w14:paraId="072DB9A6" w14:textId="77777777" w:rsidR="00962187" w:rsidRPr="009544AD" w:rsidRDefault="00E05E33" w:rsidP="00E05E33">
      <w:pPr>
        <w:pStyle w:val="i"/>
      </w:pPr>
      <w:r w:rsidRPr="009544AD">
        <w:t>viii)</w:t>
      </w:r>
      <w:r w:rsidRPr="009544AD">
        <w:tab/>
      </w:r>
      <w:r w:rsidR="00962187" w:rsidRPr="009544AD">
        <w:t xml:space="preserve">Collect the supernatant and dialyse at least three times against PBS. </w:t>
      </w:r>
    </w:p>
    <w:p w14:paraId="0037BF7E" w14:textId="77777777" w:rsidR="00962187" w:rsidRPr="009544AD" w:rsidRDefault="00E05E33" w:rsidP="00360985">
      <w:pPr>
        <w:pStyle w:val="i"/>
      </w:pPr>
      <w:r w:rsidRPr="009544AD">
        <w:t>ix)</w:t>
      </w:r>
      <w:r w:rsidRPr="009544AD">
        <w:tab/>
      </w:r>
      <w:r w:rsidR="00962187" w:rsidRPr="009544AD">
        <w:t>Measure the protein concentration</w:t>
      </w:r>
      <w:r w:rsidR="00033DAE" w:rsidRPr="009544AD">
        <w:t xml:space="preserve"> </w:t>
      </w:r>
      <w:r w:rsidR="00962187" w:rsidRPr="009544AD">
        <w:t>as described by Lowry</w:t>
      </w:r>
      <w:r w:rsidR="00FB0BA9" w:rsidRPr="009544AD">
        <w:t xml:space="preserve"> </w:t>
      </w:r>
      <w:r w:rsidR="00D4764B" w:rsidRPr="009544AD">
        <w:rPr>
          <w:i/>
        </w:rPr>
        <w:t>et al</w:t>
      </w:r>
      <w:r w:rsidR="00FB0BA9" w:rsidRPr="009544AD">
        <w:t>.</w:t>
      </w:r>
      <w:r w:rsidR="00962187" w:rsidRPr="009544AD">
        <w:t xml:space="preserve"> (</w:t>
      </w:r>
      <w:r w:rsidR="00FB0BA9" w:rsidRPr="009544AD">
        <w:t>1951</w:t>
      </w:r>
      <w:r w:rsidR="00962187" w:rsidRPr="009544AD">
        <w:t>).</w:t>
      </w:r>
    </w:p>
    <w:p w14:paraId="75BA025D" w14:textId="77777777" w:rsidR="00962187" w:rsidRPr="009544AD" w:rsidRDefault="00E05E33" w:rsidP="003753D6">
      <w:pPr>
        <w:pStyle w:val="iparalast"/>
      </w:pPr>
      <w:r w:rsidRPr="009544AD">
        <w:t>x)</w:t>
      </w:r>
      <w:r w:rsidRPr="009544AD">
        <w:tab/>
      </w:r>
      <w:r w:rsidR="00962187" w:rsidRPr="009544AD">
        <w:t xml:space="preserve">Store the aliquots at </w:t>
      </w:r>
      <w:r w:rsidR="00066432" w:rsidRPr="009544AD">
        <w:t>–</w:t>
      </w:r>
      <w:r w:rsidR="00962187" w:rsidRPr="009544AD">
        <w:t>20</w:t>
      </w:r>
      <w:r w:rsidR="00033DAE" w:rsidRPr="009544AD">
        <w:t>°C</w:t>
      </w:r>
      <w:r w:rsidR="00962187" w:rsidRPr="009544AD">
        <w:t>.</w:t>
      </w:r>
    </w:p>
    <w:p w14:paraId="7BF98F76" w14:textId="6B8F4952" w:rsidR="00962187" w:rsidRPr="009544AD" w:rsidRDefault="00A65D7B" w:rsidP="00A65D7B">
      <w:pPr>
        <w:pStyle w:val="111"/>
      </w:pPr>
      <w:r w:rsidRPr="009544AD">
        <w:t>2.2.2.</w:t>
      </w:r>
      <w:r w:rsidR="00E05E33" w:rsidRPr="009544AD">
        <w:tab/>
      </w:r>
      <w:r w:rsidR="00962187" w:rsidRPr="009544AD">
        <w:t>Prep</w:t>
      </w:r>
      <w:r w:rsidR="007C279D" w:rsidRPr="009544AD">
        <w:t>aration of rabbit</w:t>
      </w:r>
      <w:r w:rsidR="00695544">
        <w:t xml:space="preserve"> </w:t>
      </w:r>
      <w:r w:rsidR="007C279D" w:rsidRPr="009544AD">
        <w:t xml:space="preserve">anti-camel IgG horseradish-peroxidase </w:t>
      </w:r>
      <w:r w:rsidR="00962187" w:rsidRPr="009544AD">
        <w:t>conjugate</w:t>
      </w:r>
    </w:p>
    <w:p w14:paraId="30019CD3" w14:textId="4CE340FE" w:rsidR="00962187" w:rsidRPr="009544AD" w:rsidRDefault="00042E57" w:rsidP="00A65D7B">
      <w:pPr>
        <w:pStyle w:val="111Para"/>
      </w:pPr>
      <w:r w:rsidRPr="009544AD">
        <w:t>R</w:t>
      </w:r>
      <w:r w:rsidR="007C279D" w:rsidRPr="009544AD">
        <w:t>abbit</w:t>
      </w:r>
      <w:r w:rsidR="009F4F67">
        <w:t xml:space="preserve"> </w:t>
      </w:r>
      <w:r w:rsidR="009F4F67" w:rsidRPr="006F23FD">
        <w:rPr>
          <w:u w:val="double"/>
        </w:rPr>
        <w:t>anti-llama and</w:t>
      </w:r>
      <w:r w:rsidR="009F4F67">
        <w:t xml:space="preserve"> </w:t>
      </w:r>
      <w:r w:rsidR="007C279D" w:rsidRPr="009544AD">
        <w:t xml:space="preserve">anti-camel IgG horseradish-peroxidase </w:t>
      </w:r>
      <w:r w:rsidR="009F4F67" w:rsidRPr="009544AD">
        <w:t>conjugate</w:t>
      </w:r>
      <w:r w:rsidR="009F4F67" w:rsidRPr="006F23FD">
        <w:rPr>
          <w:u w:val="double"/>
        </w:rPr>
        <w:t>s</w:t>
      </w:r>
      <w:r w:rsidR="009F4F67">
        <w:t xml:space="preserve"> </w:t>
      </w:r>
      <w:r w:rsidR="006F23FD" w:rsidRPr="006F23FD">
        <w:rPr>
          <w:u w:val="double"/>
        </w:rPr>
        <w:t>are</w:t>
      </w:r>
      <w:r w:rsidR="006F23FD" w:rsidRPr="006F23FD">
        <w:t xml:space="preserve"> </w:t>
      </w:r>
      <w:r w:rsidR="00962187" w:rsidRPr="006F23FD">
        <w:rPr>
          <w:strike/>
        </w:rPr>
        <w:t>is not</w:t>
      </w:r>
      <w:r w:rsidR="00962187" w:rsidRPr="009544AD">
        <w:t xml:space="preserve"> commercially available. </w:t>
      </w:r>
      <w:r w:rsidR="002F1783" w:rsidRPr="009544AD">
        <w:t>T</w:t>
      </w:r>
      <w:r w:rsidR="00962187" w:rsidRPr="009544AD">
        <w:t xml:space="preserve">he method for producing monoclonal antibodies for camel IgM and IgG has been described by Azwai </w:t>
      </w:r>
      <w:r w:rsidR="00D4764B" w:rsidRPr="009544AD">
        <w:rPr>
          <w:i/>
        </w:rPr>
        <w:t>et al</w:t>
      </w:r>
      <w:r w:rsidR="00962187" w:rsidRPr="009544AD">
        <w:t>. (</w:t>
      </w:r>
      <w:r w:rsidR="008A2815" w:rsidRPr="009544AD">
        <w:t>1995</w:t>
      </w:r>
      <w:r w:rsidR="00962187" w:rsidRPr="009544AD">
        <w:t xml:space="preserve">). </w:t>
      </w:r>
      <w:r w:rsidR="002F1783" w:rsidRPr="009544AD">
        <w:t>However, r</w:t>
      </w:r>
      <w:r w:rsidR="00962187" w:rsidRPr="009544AD">
        <w:t>abbit anti-camel IgG</w:t>
      </w:r>
      <w:r w:rsidR="007C279D" w:rsidRPr="009544AD">
        <w:t xml:space="preserve"> </w:t>
      </w:r>
      <w:r w:rsidR="00962187" w:rsidRPr="009544AD">
        <w:t xml:space="preserve">horseradish-peroxidase can be replaced with </w:t>
      </w:r>
      <w:r w:rsidRPr="009544AD">
        <w:t xml:space="preserve">a </w:t>
      </w:r>
      <w:r w:rsidR="00962187" w:rsidRPr="009544AD">
        <w:t>commercially available</w:t>
      </w:r>
      <w:r w:rsidRPr="009544AD">
        <w:t xml:space="preserve"> protein A-peroxidase, </w:t>
      </w:r>
      <w:r w:rsidRPr="009544AD">
        <w:rPr>
          <w:i/>
        </w:rPr>
        <w:t>Staphylococcus aureus</w:t>
      </w:r>
      <w:r w:rsidRPr="009544AD">
        <w:t>/horseradish conjugate</w:t>
      </w:r>
      <w:r w:rsidR="00962187" w:rsidRPr="009544AD">
        <w:t xml:space="preserve">. </w:t>
      </w:r>
    </w:p>
    <w:p w14:paraId="48EA2757" w14:textId="77777777" w:rsidR="00962187" w:rsidRPr="009544AD" w:rsidRDefault="00E05E33" w:rsidP="007C279D">
      <w:pPr>
        <w:pStyle w:val="i"/>
      </w:pPr>
      <w:proofErr w:type="spellStart"/>
      <w:r w:rsidRPr="009544AD">
        <w:t>i</w:t>
      </w:r>
      <w:proofErr w:type="spellEnd"/>
      <w:r w:rsidRPr="009544AD">
        <w:t>)</w:t>
      </w:r>
      <w:r w:rsidRPr="009544AD">
        <w:tab/>
      </w:r>
      <w:r w:rsidR="00962187" w:rsidRPr="009544AD">
        <w:t>Precipitate camel sera twice adding saturated ammonium sulphate to a final concentration of 40</w:t>
      </w:r>
      <w:r w:rsidR="00033DAE" w:rsidRPr="009544AD">
        <w:t>%</w:t>
      </w:r>
      <w:r w:rsidR="00962187" w:rsidRPr="009544AD">
        <w:t xml:space="preserve"> </w:t>
      </w:r>
      <w:r w:rsidR="007C279D" w:rsidRPr="009544AD">
        <w:t>(</w:t>
      </w:r>
      <w:r w:rsidR="00962187" w:rsidRPr="009544AD">
        <w:t>v/v</w:t>
      </w:r>
      <w:r w:rsidR="007C279D" w:rsidRPr="009544AD">
        <w:t>)</w:t>
      </w:r>
      <w:r w:rsidR="00962187" w:rsidRPr="009544AD">
        <w:t xml:space="preserve"> (29.6</w:t>
      </w:r>
      <w:r w:rsidR="00033DAE" w:rsidRPr="009544AD">
        <w:t>%</w:t>
      </w:r>
      <w:r w:rsidR="00962187" w:rsidRPr="009544AD">
        <w:t xml:space="preserve"> ammonium sulphate </w:t>
      </w:r>
      <w:r w:rsidR="007C279D" w:rsidRPr="009544AD">
        <w:t>[</w:t>
      </w:r>
      <w:r w:rsidR="00962187" w:rsidRPr="009544AD">
        <w:t>w/v</w:t>
      </w:r>
      <w:r w:rsidR="007C279D" w:rsidRPr="009544AD">
        <w:t>]</w:t>
      </w:r>
      <w:r w:rsidR="00962187" w:rsidRPr="009544AD">
        <w:t>) at room temperature. Centrifuge at 1</w:t>
      </w:r>
      <w:r w:rsidR="00C9551C" w:rsidRPr="009544AD">
        <w:t>2</w:t>
      </w:r>
      <w:r w:rsidR="00AC4142" w:rsidRPr="009544AD">
        <w:t>,</w:t>
      </w:r>
      <w:r w:rsidR="00962187" w:rsidRPr="009544AD">
        <w:t>00</w:t>
      </w:r>
      <w:r w:rsidR="002D4688" w:rsidRPr="009544AD">
        <w:t>0 </w:t>
      </w:r>
      <w:r w:rsidR="00962187" w:rsidRPr="009544AD">
        <w:rPr>
          <w:b/>
          <w:bCs/>
          <w:i/>
          <w:iCs/>
        </w:rPr>
        <w:t>g</w:t>
      </w:r>
      <w:r w:rsidR="00962187" w:rsidRPr="009544AD">
        <w:t xml:space="preserve"> for 1</w:t>
      </w:r>
      <w:r w:rsidR="00AC4142" w:rsidRPr="009544AD">
        <w:t>5 </w:t>
      </w:r>
      <w:r w:rsidR="00962187" w:rsidRPr="009544AD">
        <w:t>min</w:t>
      </w:r>
      <w:r w:rsidR="00AC4142" w:rsidRPr="009544AD">
        <w:t>utes</w:t>
      </w:r>
      <w:r w:rsidR="00962187" w:rsidRPr="009544AD">
        <w:t xml:space="preserve"> and dissolve in PBS</w:t>
      </w:r>
      <w:r w:rsidR="007C279D" w:rsidRPr="009544AD">
        <w:t>,</w:t>
      </w:r>
      <w:r w:rsidR="00962187" w:rsidRPr="009544AD">
        <w:t xml:space="preserve"> pH</w:t>
      </w:r>
      <w:r w:rsidR="007C279D" w:rsidRPr="009544AD">
        <w:t> </w:t>
      </w:r>
      <w:r w:rsidR="00962187" w:rsidRPr="009544AD">
        <w:t>7.2. Dialyse against several changes of PBS overnight.</w:t>
      </w:r>
    </w:p>
    <w:p w14:paraId="59F40288" w14:textId="73E2E9CD" w:rsidR="00AA7B73" w:rsidRPr="009544AD" w:rsidRDefault="00E05E33" w:rsidP="00404A2D">
      <w:pPr>
        <w:pStyle w:val="iparalast"/>
      </w:pPr>
      <w:r w:rsidRPr="009544AD">
        <w:t>ii)</w:t>
      </w:r>
      <w:r w:rsidRPr="009544AD">
        <w:tab/>
      </w:r>
      <w:r w:rsidR="00962187" w:rsidRPr="009544AD">
        <w:t xml:space="preserve">Separate the immunoglobulins using gel filtration chromatography: </w:t>
      </w:r>
      <w:r w:rsidR="007C279D" w:rsidRPr="009544AD">
        <w:t>a</w:t>
      </w:r>
      <w:r w:rsidR="00962187" w:rsidRPr="003530E4">
        <w:rPr>
          <w:strike/>
        </w:rPr>
        <w:t>n ACA-34 (LBK)</w:t>
      </w:r>
      <w:r w:rsidR="00962187" w:rsidRPr="009544AD">
        <w:t xml:space="preserve"> column (2.6 </w:t>
      </w:r>
      <w:r w:rsidR="00AC4142" w:rsidRPr="009544AD">
        <w:t xml:space="preserve">× </w:t>
      </w:r>
      <w:r w:rsidR="00962187" w:rsidRPr="009544AD">
        <w:t>10</w:t>
      </w:r>
      <w:r w:rsidR="002D4688" w:rsidRPr="009544AD">
        <w:t>0 </w:t>
      </w:r>
      <w:r w:rsidR="00962187" w:rsidRPr="009544AD">
        <w:t>cm) can be used to separate the salt precipitated immunoglobulins (IgM and IgG) by size. Elution can be effected with PBS at 2</w:t>
      </w:r>
      <w:r w:rsidR="002D4688" w:rsidRPr="009544AD">
        <w:t>0 </w:t>
      </w:r>
      <w:r w:rsidR="00962187" w:rsidRPr="009544AD">
        <w:t>ml</w:t>
      </w:r>
      <w:r w:rsidR="001B3C8D" w:rsidRPr="009544AD">
        <w:t>/</w:t>
      </w:r>
      <w:r w:rsidR="00962187" w:rsidRPr="009544AD">
        <w:t xml:space="preserve">hour and </w:t>
      </w:r>
      <w:r w:rsidR="00AC4142" w:rsidRPr="009544AD">
        <w:t>6 </w:t>
      </w:r>
      <w:r w:rsidR="00962187" w:rsidRPr="009544AD">
        <w:t>ml fractions can be collected. Determine the protein concentrations by absorbance at 280</w:t>
      </w:r>
      <w:r w:rsidR="003753D6" w:rsidRPr="009544AD">
        <w:t> </w:t>
      </w:r>
      <w:r w:rsidR="00962187" w:rsidRPr="009544AD">
        <w:t>nm.</w:t>
      </w:r>
    </w:p>
    <w:p w14:paraId="0111F1A7" w14:textId="77777777" w:rsidR="00962187" w:rsidRPr="009544AD" w:rsidRDefault="00A65D7B" w:rsidP="00A65D7B">
      <w:pPr>
        <w:pStyle w:val="111"/>
      </w:pPr>
      <w:r w:rsidRPr="009544AD">
        <w:t>2.2.3.</w:t>
      </w:r>
      <w:r w:rsidR="00E05E33" w:rsidRPr="009544AD">
        <w:tab/>
      </w:r>
      <w:r w:rsidR="007C279D" w:rsidRPr="009544AD">
        <w:t>Antiserum production</w:t>
      </w:r>
    </w:p>
    <w:p w14:paraId="287049C5" w14:textId="77777777" w:rsidR="00962187" w:rsidRPr="009544AD" w:rsidRDefault="00962187" w:rsidP="00A65D7B">
      <w:pPr>
        <w:pStyle w:val="111Para"/>
      </w:pPr>
      <w:r w:rsidRPr="009544AD">
        <w:t>Immuni</w:t>
      </w:r>
      <w:r w:rsidR="001B3C8D" w:rsidRPr="009544AD">
        <w:t>s</w:t>
      </w:r>
      <w:r w:rsidRPr="009544AD">
        <w:t>e rabbits with a subcutaneous injection of camel IgG emulsified in appropriate adjuvant. The animals should be immuni</w:t>
      </w:r>
      <w:r w:rsidR="001B3C8D" w:rsidRPr="009544AD">
        <w:t>s</w:t>
      </w:r>
      <w:r w:rsidRPr="009544AD">
        <w:t xml:space="preserve">ed three times to booster antibody production. Collect the serum and store at </w:t>
      </w:r>
      <w:r w:rsidR="002D4688" w:rsidRPr="009544AD">
        <w:t>–</w:t>
      </w:r>
      <w:r w:rsidRPr="009544AD">
        <w:t>20°</w:t>
      </w:r>
      <w:r w:rsidR="002D4688" w:rsidRPr="009544AD">
        <w:t>C</w:t>
      </w:r>
      <w:r w:rsidRPr="009544AD">
        <w:t xml:space="preserve"> until used.</w:t>
      </w:r>
    </w:p>
    <w:p w14:paraId="76CAC396" w14:textId="77777777" w:rsidR="00962187" w:rsidRPr="009544AD" w:rsidRDefault="00A65D7B" w:rsidP="00A65D7B">
      <w:pPr>
        <w:pStyle w:val="111"/>
      </w:pPr>
      <w:r w:rsidRPr="009544AD">
        <w:t>2.2.4.</w:t>
      </w:r>
      <w:r w:rsidR="00E05E33" w:rsidRPr="009544AD">
        <w:tab/>
      </w:r>
      <w:r w:rsidR="007C279D" w:rsidRPr="009544AD">
        <w:t>Test procedure</w:t>
      </w:r>
    </w:p>
    <w:p w14:paraId="2C9ABA9B" w14:textId="1615CA00" w:rsidR="00962187" w:rsidRPr="009544AD" w:rsidRDefault="00E05E33" w:rsidP="00E05E33">
      <w:pPr>
        <w:pStyle w:val="i"/>
      </w:pPr>
      <w:proofErr w:type="spellStart"/>
      <w:r w:rsidRPr="009544AD">
        <w:t>i</w:t>
      </w:r>
      <w:proofErr w:type="spellEnd"/>
      <w:r w:rsidRPr="009544AD">
        <w:t>)</w:t>
      </w:r>
      <w:r w:rsidRPr="009544AD">
        <w:tab/>
      </w:r>
      <w:r w:rsidR="00962187" w:rsidRPr="009544AD">
        <w:t xml:space="preserve">Coat </w:t>
      </w:r>
      <w:r w:rsidR="00042E57" w:rsidRPr="009544AD">
        <w:t xml:space="preserve">96-well </w:t>
      </w:r>
      <w:proofErr w:type="spellStart"/>
      <w:r w:rsidR="00962187" w:rsidRPr="009544AD">
        <w:t>microtitre</w:t>
      </w:r>
      <w:proofErr w:type="spellEnd"/>
      <w:r w:rsidR="00962187" w:rsidRPr="009544AD">
        <w:t xml:space="preserve"> </w:t>
      </w:r>
      <w:r w:rsidR="00042E57" w:rsidRPr="009544AD">
        <w:t xml:space="preserve">ELISA </w:t>
      </w:r>
      <w:r w:rsidR="00962187" w:rsidRPr="009544AD">
        <w:t xml:space="preserve">plates with prepared antigen at </w:t>
      </w:r>
      <w:r w:rsidR="00635BE5" w:rsidRPr="009544AD">
        <w:t>1 </w:t>
      </w:r>
      <w:r w:rsidR="00962187" w:rsidRPr="009544AD">
        <w:t>µg</w:t>
      </w:r>
      <w:r w:rsidR="001B3C8D" w:rsidRPr="009544AD">
        <w:t>/</w:t>
      </w:r>
      <w:r w:rsidR="00962187" w:rsidRPr="009544AD">
        <w:t>ml in carbonate/bicarbonate</w:t>
      </w:r>
      <w:r w:rsidR="002F1783" w:rsidRPr="009544AD">
        <w:t xml:space="preserve"> buffer</w:t>
      </w:r>
      <w:r w:rsidR="00A1042A" w:rsidRPr="009544AD">
        <w:t>, 0.05</w:t>
      </w:r>
      <w:r w:rsidR="00C65F2F" w:rsidRPr="009544AD">
        <w:t> </w:t>
      </w:r>
      <w:r w:rsidR="0026609C" w:rsidRPr="009544AD">
        <w:t>M, pH </w:t>
      </w:r>
      <w:r w:rsidR="00A1042A" w:rsidRPr="009544AD">
        <w:t>9.6</w:t>
      </w:r>
      <w:r w:rsidR="00962187" w:rsidRPr="009544AD">
        <w:t xml:space="preserve"> (10</w:t>
      </w:r>
      <w:r w:rsidR="002804AF" w:rsidRPr="009544AD">
        <w:t>0 </w:t>
      </w:r>
      <w:r w:rsidR="007C279D" w:rsidRPr="009544AD">
        <w:t>µl per well).</w:t>
      </w:r>
    </w:p>
    <w:p w14:paraId="46F5A6F9" w14:textId="77777777" w:rsidR="00962187" w:rsidRPr="009544AD" w:rsidRDefault="00E05E33" w:rsidP="007C279D">
      <w:pPr>
        <w:pStyle w:val="i"/>
      </w:pPr>
      <w:r w:rsidRPr="009544AD">
        <w:t>ii)</w:t>
      </w:r>
      <w:r w:rsidRPr="009544AD">
        <w:tab/>
      </w:r>
      <w:r w:rsidR="00962187" w:rsidRPr="009544AD">
        <w:t xml:space="preserve">Incubate the ELISA plates in a </w:t>
      </w:r>
      <w:r w:rsidR="007C279D" w:rsidRPr="009544AD">
        <w:t>humid</w:t>
      </w:r>
      <w:r w:rsidR="00962187" w:rsidRPr="009544AD">
        <w:t xml:space="preserve"> chamber (100</w:t>
      </w:r>
      <w:r w:rsidR="00033DAE" w:rsidRPr="009544AD">
        <w:t>%</w:t>
      </w:r>
      <w:r w:rsidR="00962187" w:rsidRPr="009544AD">
        <w:t xml:space="preserve"> humidity) at 37</w:t>
      </w:r>
      <w:r w:rsidR="00033DAE" w:rsidRPr="009544AD">
        <w:t>°C</w:t>
      </w:r>
      <w:r w:rsidR="00962187" w:rsidRPr="009544AD">
        <w:t xml:space="preserve"> for </w:t>
      </w:r>
      <w:r w:rsidR="00635BE5" w:rsidRPr="009544AD">
        <w:t>1 </w:t>
      </w:r>
      <w:r w:rsidR="00962187" w:rsidRPr="009544AD">
        <w:t>hour and then overnight at 4</w:t>
      </w:r>
      <w:r w:rsidR="00033DAE" w:rsidRPr="009544AD">
        <w:t>°C</w:t>
      </w:r>
      <w:r w:rsidR="007C279D" w:rsidRPr="009544AD">
        <w:t>.</w:t>
      </w:r>
    </w:p>
    <w:p w14:paraId="5913700E" w14:textId="77777777" w:rsidR="00962187" w:rsidRPr="009544AD" w:rsidRDefault="00E05E33" w:rsidP="007C279D">
      <w:pPr>
        <w:pStyle w:val="i"/>
      </w:pPr>
      <w:r w:rsidRPr="009544AD">
        <w:lastRenderedPageBreak/>
        <w:t>iii)</w:t>
      </w:r>
      <w:r w:rsidRPr="009544AD">
        <w:tab/>
      </w:r>
      <w:r w:rsidR="00962187" w:rsidRPr="009544AD">
        <w:t xml:space="preserve">Wash </w:t>
      </w:r>
      <w:r w:rsidR="007C279D" w:rsidRPr="009544AD">
        <w:t xml:space="preserve">off </w:t>
      </w:r>
      <w:r w:rsidR="00962187" w:rsidRPr="009544AD">
        <w:t>the unbound antigen with PBS containing 0.05</w:t>
      </w:r>
      <w:r w:rsidR="00033DAE" w:rsidRPr="009544AD">
        <w:t>%</w:t>
      </w:r>
      <w:r w:rsidR="00962187" w:rsidRPr="009544AD">
        <w:t xml:space="preserve"> Tween</w:t>
      </w:r>
      <w:r w:rsidR="003753D6" w:rsidRPr="009544AD">
        <w:t> </w:t>
      </w:r>
      <w:r w:rsidR="00962187" w:rsidRPr="009544AD">
        <w:t>20 (PBS/Tween) three times.</w:t>
      </w:r>
    </w:p>
    <w:p w14:paraId="59BE9B81" w14:textId="77777777" w:rsidR="00962187" w:rsidRPr="009544AD" w:rsidRDefault="00E05E33" w:rsidP="007C279D">
      <w:pPr>
        <w:pStyle w:val="i"/>
      </w:pPr>
      <w:r w:rsidRPr="009544AD">
        <w:t>iv)</w:t>
      </w:r>
      <w:r w:rsidRPr="009544AD">
        <w:tab/>
      </w:r>
      <w:r w:rsidR="00962187" w:rsidRPr="009544AD">
        <w:t>Add 10</w:t>
      </w:r>
      <w:r w:rsidR="002804AF" w:rsidRPr="009544AD">
        <w:t>0 </w:t>
      </w:r>
      <w:r w:rsidR="00962187" w:rsidRPr="009544AD">
        <w:t xml:space="preserve">µl of </w:t>
      </w:r>
      <w:r w:rsidR="004848D7" w:rsidRPr="009544AD">
        <w:t>test</w:t>
      </w:r>
      <w:r w:rsidR="00A1042A" w:rsidRPr="009544AD">
        <w:t xml:space="preserve"> and control serum at</w:t>
      </w:r>
      <w:r w:rsidR="00CE27DE" w:rsidRPr="009544AD">
        <w:t xml:space="preserve"> a</w:t>
      </w:r>
      <w:r w:rsidR="00A1042A" w:rsidRPr="009544AD">
        <w:t xml:space="preserve"> predetermined optimal dilution</w:t>
      </w:r>
      <w:r w:rsidR="00962187" w:rsidRPr="009544AD">
        <w:t xml:space="preserve"> in blocking buffer (PBS containing 0.</w:t>
      </w:r>
      <w:r w:rsidR="00E47D7A" w:rsidRPr="009544AD">
        <w:t>0</w:t>
      </w:r>
      <w:r w:rsidR="00962187" w:rsidRPr="009544AD">
        <w:t>5</w:t>
      </w:r>
      <w:r w:rsidR="00033DAE" w:rsidRPr="009544AD">
        <w:t>%</w:t>
      </w:r>
      <w:r w:rsidR="00962187" w:rsidRPr="009544AD">
        <w:t xml:space="preserve"> Tween</w:t>
      </w:r>
      <w:r w:rsidR="003753D6" w:rsidRPr="009544AD">
        <w:t> </w:t>
      </w:r>
      <w:r w:rsidR="00962187" w:rsidRPr="009544AD">
        <w:t>20, and 1</w:t>
      </w:r>
      <w:r w:rsidR="00033DAE" w:rsidRPr="009544AD">
        <w:t>%</w:t>
      </w:r>
      <w:r w:rsidR="00962187" w:rsidRPr="009544AD">
        <w:t xml:space="preserve"> fat</w:t>
      </w:r>
      <w:r w:rsidR="007C279D" w:rsidRPr="009544AD">
        <w:t>-</w:t>
      </w:r>
      <w:r w:rsidR="00962187" w:rsidRPr="009544AD">
        <w:t>free milk powder)</w:t>
      </w:r>
      <w:r w:rsidR="00DD6C4D" w:rsidRPr="009544AD">
        <w:t xml:space="preserve"> in duplicate wells</w:t>
      </w:r>
      <w:r w:rsidR="00962187" w:rsidRPr="009544AD">
        <w:t>.</w:t>
      </w:r>
    </w:p>
    <w:p w14:paraId="00609C94" w14:textId="77777777" w:rsidR="00962187" w:rsidRPr="009544AD" w:rsidRDefault="00E05E33" w:rsidP="00E05E33">
      <w:pPr>
        <w:pStyle w:val="i"/>
      </w:pPr>
      <w:r w:rsidRPr="009544AD">
        <w:t>v)</w:t>
      </w:r>
      <w:r w:rsidRPr="009544AD">
        <w:tab/>
      </w:r>
      <w:r w:rsidR="00962187" w:rsidRPr="009544AD">
        <w:t>Incubate the plates for 3</w:t>
      </w:r>
      <w:r w:rsidR="002804AF" w:rsidRPr="009544AD">
        <w:t>0 </w:t>
      </w:r>
      <w:r w:rsidR="00962187" w:rsidRPr="009544AD">
        <w:t>minutes at 37</w:t>
      </w:r>
      <w:r w:rsidR="00033DAE" w:rsidRPr="009544AD">
        <w:t>°C</w:t>
      </w:r>
      <w:r w:rsidR="00962187" w:rsidRPr="009544AD">
        <w:t>.</w:t>
      </w:r>
    </w:p>
    <w:p w14:paraId="15637EC8" w14:textId="77777777" w:rsidR="00962187" w:rsidRPr="009544AD" w:rsidRDefault="00E05E33" w:rsidP="00E05E33">
      <w:pPr>
        <w:pStyle w:val="i"/>
      </w:pPr>
      <w:r w:rsidRPr="009544AD">
        <w:t>vi)</w:t>
      </w:r>
      <w:r w:rsidRPr="009544AD">
        <w:tab/>
      </w:r>
      <w:r w:rsidR="00962187" w:rsidRPr="009544AD">
        <w:t>Wash the pla</w:t>
      </w:r>
      <w:r w:rsidR="007C279D" w:rsidRPr="009544AD">
        <w:t>tes three times with PBS/Tween.</w:t>
      </w:r>
    </w:p>
    <w:p w14:paraId="25038E29" w14:textId="5CF32103" w:rsidR="00962187" w:rsidRPr="009544AD" w:rsidRDefault="00E05E33" w:rsidP="00C65F2F">
      <w:pPr>
        <w:pStyle w:val="i"/>
      </w:pPr>
      <w:r w:rsidRPr="009544AD">
        <w:t>vii)</w:t>
      </w:r>
      <w:r w:rsidRPr="009544AD">
        <w:tab/>
      </w:r>
      <w:r w:rsidR="00962187" w:rsidRPr="009544AD">
        <w:t>Dilute rabbit anti-camel</w:t>
      </w:r>
      <w:r w:rsidR="007C279D" w:rsidRPr="009544AD">
        <w:t xml:space="preserve"> </w:t>
      </w:r>
      <w:r w:rsidR="00962187" w:rsidRPr="009544AD">
        <w:t>IgG</w:t>
      </w:r>
      <w:r w:rsidR="007C279D" w:rsidRPr="009544AD">
        <w:t xml:space="preserve"> </w:t>
      </w:r>
      <w:r w:rsidR="00962187" w:rsidRPr="009544AD">
        <w:t>horseradish-peroxidase</w:t>
      </w:r>
      <w:r w:rsidR="007C279D" w:rsidRPr="009544AD">
        <w:t xml:space="preserve"> </w:t>
      </w:r>
      <w:r w:rsidR="00962187" w:rsidRPr="009544AD">
        <w:t>conjugate</w:t>
      </w:r>
      <w:r w:rsidR="00042E57" w:rsidRPr="009544AD">
        <w:t xml:space="preserve"> or</w:t>
      </w:r>
      <w:r w:rsidR="00FD30E2" w:rsidRPr="009544AD">
        <w:t xml:space="preserve"> </w:t>
      </w:r>
      <w:r w:rsidR="00042E57" w:rsidRPr="009544AD">
        <w:t xml:space="preserve">protein A-peroxidase, </w:t>
      </w:r>
      <w:r w:rsidR="00042E57" w:rsidRPr="009544AD">
        <w:rPr>
          <w:i/>
        </w:rPr>
        <w:t>Staphylococcus aureus</w:t>
      </w:r>
      <w:r w:rsidR="00042E57" w:rsidRPr="009544AD">
        <w:t>/horseradish conjugate</w:t>
      </w:r>
      <w:r w:rsidR="00962187" w:rsidRPr="009544AD">
        <w:t xml:space="preserve"> at </w:t>
      </w:r>
      <w:r w:rsidR="00DD6C4D" w:rsidRPr="009544AD">
        <w:t>a predetermined working dilution</w:t>
      </w:r>
      <w:r w:rsidR="00962187" w:rsidRPr="009544AD">
        <w:t xml:space="preserve"> in blocking buffer and add 10</w:t>
      </w:r>
      <w:r w:rsidR="002804AF" w:rsidRPr="009544AD">
        <w:t>0 </w:t>
      </w:r>
      <w:r w:rsidR="00962187" w:rsidRPr="009544AD">
        <w:t>µl into the wells.</w:t>
      </w:r>
    </w:p>
    <w:p w14:paraId="14717207" w14:textId="77777777" w:rsidR="00962187" w:rsidRPr="009544AD" w:rsidRDefault="00E05E33" w:rsidP="00E05E33">
      <w:pPr>
        <w:pStyle w:val="i"/>
      </w:pPr>
      <w:r w:rsidRPr="009544AD">
        <w:t>viii)</w:t>
      </w:r>
      <w:r w:rsidRPr="009544AD">
        <w:tab/>
      </w:r>
      <w:r w:rsidR="00962187" w:rsidRPr="009544AD">
        <w:t>Incubate the plates at 37</w:t>
      </w:r>
      <w:r w:rsidR="00033DAE" w:rsidRPr="009544AD">
        <w:t>°C</w:t>
      </w:r>
      <w:r w:rsidR="00962187" w:rsidRPr="009544AD">
        <w:t xml:space="preserve"> for 3</w:t>
      </w:r>
      <w:r w:rsidR="002804AF" w:rsidRPr="009544AD">
        <w:t>0 </w:t>
      </w:r>
      <w:r w:rsidR="00962187" w:rsidRPr="009544AD">
        <w:t>minutes.</w:t>
      </w:r>
    </w:p>
    <w:p w14:paraId="5F3025E5" w14:textId="77777777" w:rsidR="00962187" w:rsidRPr="009544AD" w:rsidRDefault="00E05E33" w:rsidP="00E05E33">
      <w:pPr>
        <w:pStyle w:val="i"/>
      </w:pPr>
      <w:r w:rsidRPr="009544AD">
        <w:t>ix)</w:t>
      </w:r>
      <w:r w:rsidRPr="009544AD">
        <w:tab/>
      </w:r>
      <w:r w:rsidR="00962187" w:rsidRPr="009544AD">
        <w:t>Wash the plates three times with PBS/Tween.</w:t>
      </w:r>
    </w:p>
    <w:p w14:paraId="552ABA9A" w14:textId="1BE4963C" w:rsidR="00962187" w:rsidRPr="009544AD" w:rsidRDefault="00E05E33" w:rsidP="00146FFE">
      <w:pPr>
        <w:pStyle w:val="i"/>
      </w:pPr>
      <w:r w:rsidRPr="009544AD">
        <w:t>x)</w:t>
      </w:r>
      <w:r w:rsidRPr="009544AD">
        <w:tab/>
      </w:r>
      <w:r w:rsidR="00962187" w:rsidRPr="009544AD">
        <w:t>Make the reaction visible using 10</w:t>
      </w:r>
      <w:r w:rsidR="002804AF" w:rsidRPr="009544AD">
        <w:t>0 </w:t>
      </w:r>
      <w:r w:rsidR="00962187" w:rsidRPr="009544AD">
        <w:t xml:space="preserve">µl </w:t>
      </w:r>
      <w:r w:rsidR="006C2B13" w:rsidRPr="003530E4">
        <w:rPr>
          <w:u w:val="double"/>
        </w:rPr>
        <w:t>per well of</w:t>
      </w:r>
      <w:r w:rsidR="006C2B13" w:rsidRPr="003530E4">
        <w:t xml:space="preserve"> </w:t>
      </w:r>
      <w:r w:rsidR="00962187" w:rsidRPr="009544AD">
        <w:t xml:space="preserve">chromogen </w:t>
      </w:r>
      <w:smartTag w:uri="urn:schemas-microsoft-com:office:smarttags" w:element="metricconverter">
        <w:smartTagPr>
          <w:attr w:name="ProductID" w:val="3.3’"/>
        </w:smartTagPr>
        <w:r w:rsidR="00962187" w:rsidRPr="009544AD">
          <w:t>3.3’</w:t>
        </w:r>
      </w:smartTag>
      <w:r w:rsidR="00962187" w:rsidRPr="009544AD">
        <w:t xml:space="preserve"> 5.5’-tetramethylbenzidine (TMB)</w:t>
      </w:r>
      <w:r w:rsidR="00862915" w:rsidRPr="009544AD">
        <w:t xml:space="preserve"> </w:t>
      </w:r>
      <w:r w:rsidR="006C2B13" w:rsidRPr="003530E4">
        <w:rPr>
          <w:u w:val="double"/>
        </w:rPr>
        <w:t xml:space="preserve">with </w:t>
      </w:r>
      <w:r w:rsidR="009F1419" w:rsidRPr="003530E4">
        <w:rPr>
          <w:u w:val="double"/>
        </w:rPr>
        <w:t>hydrogen peroxide</w:t>
      </w:r>
      <w:r w:rsidR="009F1419" w:rsidRPr="003530E4">
        <w:t xml:space="preserve"> </w:t>
      </w:r>
      <w:r w:rsidR="00862915" w:rsidRPr="003530E4">
        <w:rPr>
          <w:strike/>
        </w:rPr>
        <w:t>per well</w:t>
      </w:r>
      <w:r w:rsidR="00A127BB" w:rsidRPr="003530E4">
        <w:rPr>
          <w:strike/>
        </w:rPr>
        <w:t xml:space="preserve"> </w:t>
      </w:r>
      <w:r w:rsidR="00A127BB" w:rsidRPr="009544AD">
        <w:t xml:space="preserve">and incubate 15 minutes at </w:t>
      </w:r>
      <w:smartTag w:uri="urn:schemas-microsoft-com:office:smarttags" w:element="metricconverter">
        <w:smartTagPr>
          <w:attr w:name="ProductID" w:val="37ﾰC"/>
        </w:smartTagPr>
        <w:r w:rsidR="00A127BB" w:rsidRPr="009544AD">
          <w:t>37</w:t>
        </w:r>
        <w:r w:rsidR="00146FFE" w:rsidRPr="009544AD">
          <w:t>°</w:t>
        </w:r>
        <w:r w:rsidR="006C6399" w:rsidRPr="009544AD">
          <w:t>C</w:t>
        </w:r>
      </w:smartTag>
      <w:r w:rsidR="006C6399" w:rsidRPr="009544AD">
        <w:t xml:space="preserve"> with shaking</w:t>
      </w:r>
      <w:r w:rsidR="00962187" w:rsidRPr="009544AD">
        <w:t>.</w:t>
      </w:r>
    </w:p>
    <w:p w14:paraId="63457BD0" w14:textId="77777777" w:rsidR="00962187" w:rsidRPr="009544AD" w:rsidRDefault="00E05E33" w:rsidP="00E05E33">
      <w:pPr>
        <w:pStyle w:val="i"/>
      </w:pPr>
      <w:r w:rsidRPr="009544AD">
        <w:t>xi)</w:t>
      </w:r>
      <w:r w:rsidRPr="009544AD">
        <w:tab/>
      </w:r>
      <w:r w:rsidR="00962187" w:rsidRPr="009544AD">
        <w:t>Stop the reaction 1</w:t>
      </w:r>
      <w:r w:rsidR="002804AF" w:rsidRPr="009544AD">
        <w:t>0 </w:t>
      </w:r>
      <w:r w:rsidR="00962187" w:rsidRPr="009544AD">
        <w:t>minutes later by 2</w:t>
      </w:r>
      <w:r w:rsidR="003753D6" w:rsidRPr="009544AD">
        <w:t> </w:t>
      </w:r>
      <w:r w:rsidR="00962187" w:rsidRPr="009544AD">
        <w:t>M H</w:t>
      </w:r>
      <w:r w:rsidR="00962187" w:rsidRPr="00027048">
        <w:rPr>
          <w:vertAlign w:val="subscript"/>
        </w:rPr>
        <w:t>2</w:t>
      </w:r>
      <w:r w:rsidR="00962187" w:rsidRPr="009544AD">
        <w:t>SO</w:t>
      </w:r>
      <w:r w:rsidR="00962187" w:rsidRPr="00027048">
        <w:rPr>
          <w:vertAlign w:val="subscript"/>
        </w:rPr>
        <w:t>4</w:t>
      </w:r>
      <w:r w:rsidR="00962187" w:rsidRPr="009544AD">
        <w:t xml:space="preserve"> at a volume of 5</w:t>
      </w:r>
      <w:r w:rsidR="002804AF" w:rsidRPr="009544AD">
        <w:t>0 </w:t>
      </w:r>
      <w:r w:rsidR="00962187" w:rsidRPr="009544AD">
        <w:t>µl</w:t>
      </w:r>
      <w:r w:rsidR="001B3C8D" w:rsidRPr="009544AD">
        <w:t>/</w:t>
      </w:r>
      <w:r w:rsidR="00962187" w:rsidRPr="009544AD">
        <w:t>well.</w:t>
      </w:r>
    </w:p>
    <w:p w14:paraId="7BABBA8B" w14:textId="77777777" w:rsidR="00962187" w:rsidRPr="009544AD" w:rsidRDefault="00E05E33" w:rsidP="007C279D">
      <w:pPr>
        <w:pStyle w:val="i"/>
        <w:spacing w:after="480"/>
      </w:pPr>
      <w:r w:rsidRPr="009544AD">
        <w:t>xii)</w:t>
      </w:r>
      <w:r w:rsidRPr="009544AD">
        <w:tab/>
      </w:r>
      <w:r w:rsidR="00962187" w:rsidRPr="009544AD">
        <w:t>Measure the values with a photometer at a wave length of 45</w:t>
      </w:r>
      <w:r w:rsidR="002804AF" w:rsidRPr="009544AD">
        <w:t>0 </w:t>
      </w:r>
      <w:r w:rsidR="00962187" w:rsidRPr="009544AD">
        <w:t>nm. Seropositivity can be calculated as values above the mean +</w:t>
      </w:r>
      <w:r w:rsidR="00C9551C" w:rsidRPr="009544AD">
        <w:t>2 </w:t>
      </w:r>
      <w:r w:rsidR="007C279D" w:rsidRPr="009544AD">
        <w:t>standard deviations</w:t>
      </w:r>
      <w:r w:rsidR="00962187" w:rsidRPr="009544AD">
        <w:t xml:space="preserve"> from negative control sera. </w:t>
      </w:r>
    </w:p>
    <w:p w14:paraId="06205A7D" w14:textId="76466713" w:rsidR="00755B6A" w:rsidRPr="009544AD" w:rsidRDefault="00755B6A" w:rsidP="000D693D">
      <w:pPr>
        <w:pStyle w:val="A0"/>
        <w:spacing w:after="200"/>
      </w:pPr>
      <w:r w:rsidRPr="009544AD">
        <w:t>C.  REQUIREMENTS FOR VACCINES</w:t>
      </w:r>
    </w:p>
    <w:p w14:paraId="223C27C8" w14:textId="77777777" w:rsidR="000F212D" w:rsidRPr="009544AD" w:rsidRDefault="00145399" w:rsidP="000F212D">
      <w:pPr>
        <w:pStyle w:val="1"/>
      </w:pPr>
      <w:r w:rsidRPr="009544AD">
        <w:t>C1.</w:t>
      </w:r>
      <w:r w:rsidRPr="009544AD">
        <w:tab/>
      </w:r>
      <w:r w:rsidR="000F212D" w:rsidRPr="009544AD">
        <w:t>Live attenuated vaccine</w:t>
      </w:r>
    </w:p>
    <w:p w14:paraId="78CEEA3C" w14:textId="77777777" w:rsidR="000F212D" w:rsidRPr="009544AD" w:rsidRDefault="000F212D" w:rsidP="000F212D">
      <w:pPr>
        <w:pStyle w:val="1"/>
      </w:pPr>
      <w:r w:rsidRPr="009544AD">
        <w:t>1.</w:t>
      </w:r>
      <w:r w:rsidRPr="009544AD">
        <w:tab/>
        <w:t>Background</w:t>
      </w:r>
    </w:p>
    <w:p w14:paraId="34FD040C" w14:textId="77777777" w:rsidR="000F212D" w:rsidRPr="009544AD" w:rsidRDefault="00145399" w:rsidP="00145399">
      <w:pPr>
        <w:pStyle w:val="11"/>
      </w:pPr>
      <w:r w:rsidRPr="009544AD">
        <w:t>1.1.</w:t>
      </w:r>
      <w:r w:rsidR="000F212D" w:rsidRPr="009544AD">
        <w:tab/>
        <w:t>Rationale and intended use of the product</w:t>
      </w:r>
    </w:p>
    <w:p w14:paraId="69910AC3" w14:textId="121169F8" w:rsidR="000F212D" w:rsidRPr="009544AD" w:rsidRDefault="009D2432" w:rsidP="00145399">
      <w:pPr>
        <w:pStyle w:val="11Para"/>
      </w:pPr>
      <w:r w:rsidRPr="009544AD">
        <w:t xml:space="preserve">Currently </w:t>
      </w:r>
      <w:r w:rsidR="00D350F7" w:rsidRPr="009544AD">
        <w:t xml:space="preserve">live attenuated </w:t>
      </w:r>
      <w:r w:rsidR="000F212D" w:rsidRPr="009544AD">
        <w:t>and inactivated vaccine</w:t>
      </w:r>
      <w:r w:rsidR="00CD6AC2" w:rsidRPr="009544AD">
        <w:t>s</w:t>
      </w:r>
      <w:r w:rsidR="000F212D" w:rsidRPr="009544AD">
        <w:t xml:space="preserve"> are</w:t>
      </w:r>
      <w:r w:rsidRPr="009544AD">
        <w:t xml:space="preserve"> commercially</w:t>
      </w:r>
      <w:r w:rsidR="000F212D" w:rsidRPr="009544AD">
        <w:t xml:space="preserve"> available. The live attenuated </w:t>
      </w:r>
      <w:r w:rsidR="00D47794" w:rsidRPr="009544AD">
        <w:t xml:space="preserve">vaccine </w:t>
      </w:r>
      <w:r w:rsidR="00C803BA" w:rsidRPr="009544AD">
        <w:t>was</w:t>
      </w:r>
      <w:r w:rsidR="000F212D" w:rsidRPr="009544AD">
        <w:t xml:space="preserve"> prepared from a strain isolated from a dromedary camel calf that </w:t>
      </w:r>
      <w:r w:rsidR="00C803BA" w:rsidRPr="009544AD">
        <w:t>had</w:t>
      </w:r>
      <w:r w:rsidR="000F212D" w:rsidRPr="009544AD">
        <w:t xml:space="preserve"> generalised </w:t>
      </w:r>
      <w:proofErr w:type="spellStart"/>
      <w:r w:rsidR="000F212D" w:rsidRPr="009544AD">
        <w:t>camelpox</w:t>
      </w:r>
      <w:proofErr w:type="spellEnd"/>
      <w:r w:rsidR="000F212D" w:rsidRPr="009544AD">
        <w:t xml:space="preserve"> (</w:t>
      </w:r>
      <w:proofErr w:type="spellStart"/>
      <w:r w:rsidR="000F212D" w:rsidRPr="009544AD">
        <w:t>Wernery</w:t>
      </w:r>
      <w:proofErr w:type="spellEnd"/>
      <w:r w:rsidR="000F212D" w:rsidRPr="009544AD">
        <w:t>, 2000).</w:t>
      </w:r>
      <w:r w:rsidR="00D350F7" w:rsidRPr="009544AD">
        <w:t xml:space="preserve"> </w:t>
      </w:r>
      <w:r w:rsidR="0082651E" w:rsidRPr="009544AD">
        <w:t xml:space="preserve">The </w:t>
      </w:r>
      <w:r w:rsidR="00D350F7" w:rsidRPr="009544AD">
        <w:t>live attenuated vaccine gives long</w:t>
      </w:r>
      <w:r w:rsidR="00F1227B" w:rsidRPr="009544AD">
        <w:t>-</w:t>
      </w:r>
      <w:r w:rsidR="00D350F7" w:rsidRPr="009544AD">
        <w:t xml:space="preserve">term protection against </w:t>
      </w:r>
      <w:proofErr w:type="spellStart"/>
      <w:r w:rsidR="00D350F7" w:rsidRPr="009544AD">
        <w:t>camelpox</w:t>
      </w:r>
      <w:proofErr w:type="spellEnd"/>
      <w:r w:rsidR="00D350F7" w:rsidRPr="009544AD">
        <w:t xml:space="preserve"> (</w:t>
      </w:r>
      <w:proofErr w:type="spellStart"/>
      <w:r w:rsidR="00FB0BA9" w:rsidRPr="009544AD">
        <w:t>Wernery</w:t>
      </w:r>
      <w:proofErr w:type="spellEnd"/>
      <w:r w:rsidR="00FB0BA9" w:rsidRPr="009544AD">
        <w:t xml:space="preserve"> &amp; Zachariah, 1999</w:t>
      </w:r>
      <w:r w:rsidR="00D350F7" w:rsidRPr="009544AD">
        <w:t xml:space="preserve">). However, </w:t>
      </w:r>
      <w:r w:rsidR="00E47D7A" w:rsidRPr="009544AD">
        <w:t>a</w:t>
      </w:r>
      <w:r w:rsidR="00D350F7" w:rsidRPr="009544AD">
        <w:t xml:space="preserve"> booster vaccination is recommended for young animals</w:t>
      </w:r>
      <w:r w:rsidR="0082651E" w:rsidRPr="009544AD">
        <w:t xml:space="preserve"> at the age of 8</w:t>
      </w:r>
      <w:r w:rsidR="002D358B" w:rsidRPr="009544AD">
        <w:t>–</w:t>
      </w:r>
      <w:r w:rsidR="0082651E" w:rsidRPr="009544AD">
        <w:t>12 months, 2</w:t>
      </w:r>
      <w:r w:rsidR="002D358B" w:rsidRPr="009544AD">
        <w:t>–3</w:t>
      </w:r>
      <w:r w:rsidR="0082651E" w:rsidRPr="009544AD">
        <w:t xml:space="preserve"> months after the initial vaccinatio</w:t>
      </w:r>
      <w:r w:rsidR="000F212D" w:rsidRPr="009544AD">
        <w:t>n</w:t>
      </w:r>
      <w:r w:rsidR="00A6095B">
        <w:t>,</w:t>
      </w:r>
      <w:r w:rsidR="000F212D" w:rsidRPr="009544AD">
        <w:t xml:space="preserve"> to avoid interference by mater</w:t>
      </w:r>
      <w:r w:rsidR="0082651E" w:rsidRPr="009544AD">
        <w:t>n</w:t>
      </w:r>
      <w:r w:rsidR="000F212D" w:rsidRPr="009544AD">
        <w:t>al antibodies</w:t>
      </w:r>
      <w:r w:rsidR="00D350F7" w:rsidRPr="009544AD">
        <w:t>. When inactivated vaccine is used</w:t>
      </w:r>
      <w:r w:rsidR="00F1227B" w:rsidRPr="009544AD">
        <w:t>,</w:t>
      </w:r>
      <w:r w:rsidR="00D350F7" w:rsidRPr="009544AD">
        <w:t xml:space="preserve"> the animals must be vaccinated annually. </w:t>
      </w:r>
    </w:p>
    <w:p w14:paraId="7C56C2D6" w14:textId="166FA165" w:rsidR="00D350F7" w:rsidRPr="009544AD" w:rsidRDefault="00D350F7" w:rsidP="00145399">
      <w:pPr>
        <w:pStyle w:val="11Para"/>
      </w:pPr>
      <w:r w:rsidRPr="009544AD">
        <w:t xml:space="preserve">Guidelines for the production of the veterinary vaccines are given in Chapter </w:t>
      </w:r>
      <w:r w:rsidR="00F1227B" w:rsidRPr="009544AD">
        <w:t>1</w:t>
      </w:r>
      <w:r w:rsidRPr="009544AD">
        <w:t>.1.</w:t>
      </w:r>
      <w:r w:rsidR="000417E2">
        <w:t>8</w:t>
      </w:r>
      <w:r w:rsidRPr="009544AD">
        <w:t xml:space="preserve"> </w:t>
      </w:r>
      <w:r w:rsidRPr="009544AD">
        <w:rPr>
          <w:i/>
        </w:rPr>
        <w:t xml:space="preserve">Principles of </w:t>
      </w:r>
      <w:r w:rsidR="00AE16A7" w:rsidRPr="009544AD">
        <w:rPr>
          <w:i/>
        </w:rPr>
        <w:t>veterinary vaccine production</w:t>
      </w:r>
      <w:r w:rsidRPr="009544AD">
        <w:t>.</w:t>
      </w:r>
    </w:p>
    <w:p w14:paraId="277D9071" w14:textId="77777777" w:rsidR="000F212D" w:rsidRPr="009544AD" w:rsidRDefault="000F212D" w:rsidP="000F212D">
      <w:pPr>
        <w:pStyle w:val="1"/>
      </w:pPr>
      <w:r w:rsidRPr="009544AD">
        <w:t>2.</w:t>
      </w:r>
      <w:r w:rsidRPr="009544AD">
        <w:tab/>
        <w:t>Outline of production and minimum requirements for vaccines</w:t>
      </w:r>
    </w:p>
    <w:p w14:paraId="171B0CE7" w14:textId="77777777" w:rsidR="000F212D" w:rsidRPr="009544AD" w:rsidRDefault="00145399" w:rsidP="00145399">
      <w:pPr>
        <w:pStyle w:val="11"/>
      </w:pPr>
      <w:r w:rsidRPr="009544AD">
        <w:t>2.1.</w:t>
      </w:r>
      <w:r w:rsidR="000F212D" w:rsidRPr="009544AD">
        <w:tab/>
        <w:t>Characteristics of the seed</w:t>
      </w:r>
    </w:p>
    <w:p w14:paraId="03CAC932" w14:textId="77777777" w:rsidR="000F212D" w:rsidRPr="009544AD" w:rsidRDefault="00145399" w:rsidP="00145399">
      <w:pPr>
        <w:pStyle w:val="111"/>
      </w:pPr>
      <w:r w:rsidRPr="009544AD">
        <w:t>2.1.1.</w:t>
      </w:r>
      <w:r w:rsidR="000F212D" w:rsidRPr="009544AD">
        <w:tab/>
        <w:t>Biological characteristics</w:t>
      </w:r>
    </w:p>
    <w:p w14:paraId="15953D63" w14:textId="050EC071" w:rsidR="000F212D" w:rsidRPr="009544AD" w:rsidRDefault="00C07BDD" w:rsidP="00145399">
      <w:pPr>
        <w:pStyle w:val="111Para"/>
      </w:pPr>
      <w:r w:rsidRPr="009544AD">
        <w:t>S</w:t>
      </w:r>
      <w:r w:rsidR="009D2432" w:rsidRPr="009544AD">
        <w:t xml:space="preserve">amples </w:t>
      </w:r>
      <w:r w:rsidRPr="009544AD">
        <w:t>(</w:t>
      </w:r>
      <w:r w:rsidR="009D2432" w:rsidRPr="009544AD">
        <w:t>such as c</w:t>
      </w:r>
      <w:r w:rsidR="000F212D" w:rsidRPr="009544AD">
        <w:t xml:space="preserve">rusty material </w:t>
      </w:r>
      <w:r w:rsidR="009D2432" w:rsidRPr="009544AD">
        <w:t xml:space="preserve">from the nose, skin lesions or scabs) </w:t>
      </w:r>
      <w:r w:rsidRPr="009544AD">
        <w:t xml:space="preserve">are collected </w:t>
      </w:r>
      <w:r w:rsidR="000F212D" w:rsidRPr="009544AD">
        <w:t xml:space="preserve">from a camel calf </w:t>
      </w:r>
      <w:r w:rsidRPr="009544AD">
        <w:t xml:space="preserve">showing </w:t>
      </w:r>
      <w:r w:rsidR="000F212D" w:rsidRPr="009544AD">
        <w:t xml:space="preserve">generalised </w:t>
      </w:r>
      <w:proofErr w:type="spellStart"/>
      <w:r w:rsidRPr="009544AD">
        <w:t>camel</w:t>
      </w:r>
      <w:r w:rsidR="000F212D" w:rsidRPr="009544AD">
        <w:t>pox</w:t>
      </w:r>
      <w:proofErr w:type="spellEnd"/>
      <w:r w:rsidR="000F212D" w:rsidRPr="009544AD">
        <w:t xml:space="preserve"> lesions</w:t>
      </w:r>
      <w:r w:rsidRPr="009544AD">
        <w:t>.</w:t>
      </w:r>
      <w:r w:rsidR="000F212D" w:rsidRPr="009544AD">
        <w:t xml:space="preserve"> </w:t>
      </w:r>
      <w:r w:rsidRPr="009544AD">
        <w:t>The samples are</w:t>
      </w:r>
      <w:r w:rsidR="000F212D" w:rsidRPr="009544AD">
        <w:t xml:space="preserve"> crushed in MEM</w:t>
      </w:r>
      <w:r w:rsidR="009A2C50" w:rsidRPr="009544AD">
        <w:t xml:space="preserve"> with antibiotics</w:t>
      </w:r>
      <w:r w:rsidR="000F212D" w:rsidRPr="009544AD">
        <w:t>, centrifuged, sterile-filtered and inoculated ont</w:t>
      </w:r>
      <w:r w:rsidR="0056326E" w:rsidRPr="009544AD">
        <w:t xml:space="preserve">o confluent Vero cells and on </w:t>
      </w:r>
      <w:proofErr w:type="spellStart"/>
      <w:r w:rsidR="0056326E" w:rsidRPr="009544AD">
        <w:t>f</w:t>
      </w:r>
      <w:r w:rsidR="000F212D" w:rsidRPr="009544AD">
        <w:t>etal</w:t>
      </w:r>
      <w:proofErr w:type="spellEnd"/>
      <w:r w:rsidR="000F212D" w:rsidRPr="009544AD">
        <w:t xml:space="preserve"> camel skin cell line (</w:t>
      </w:r>
      <w:proofErr w:type="spellStart"/>
      <w:r w:rsidR="000F212D" w:rsidRPr="009544AD">
        <w:t>Dubca</w:t>
      </w:r>
      <w:proofErr w:type="spellEnd"/>
      <w:r w:rsidR="000F212D" w:rsidRPr="009544AD">
        <w:t xml:space="preserve">). </w:t>
      </w:r>
      <w:r w:rsidR="002C2103" w:rsidRPr="009544AD">
        <w:t>CPE</w:t>
      </w:r>
      <w:r w:rsidR="000F212D" w:rsidRPr="009544AD">
        <w:t xml:space="preserve"> </w:t>
      </w:r>
      <w:r w:rsidR="009A0C4F" w:rsidRPr="009544AD">
        <w:t>is</w:t>
      </w:r>
      <w:r w:rsidR="000F212D" w:rsidRPr="009544AD">
        <w:t xml:space="preserve"> observed after 4 days of incubation at 37°C. When 80% of the cells </w:t>
      </w:r>
      <w:r w:rsidR="009A0C4F" w:rsidRPr="009544AD">
        <w:t>a</w:t>
      </w:r>
      <w:r w:rsidR="000F212D" w:rsidRPr="009544AD">
        <w:t xml:space="preserve">re infected, cell culture </w:t>
      </w:r>
      <w:r w:rsidR="009A0C4F" w:rsidRPr="009544AD">
        <w:t>i</w:t>
      </w:r>
      <w:r w:rsidR="000F212D" w:rsidRPr="009544AD">
        <w:t xml:space="preserve">s harvested, frozen and thawed. This procedure </w:t>
      </w:r>
      <w:r w:rsidR="009A0C4F" w:rsidRPr="009544AD">
        <w:t>i</w:t>
      </w:r>
      <w:r w:rsidR="000F212D" w:rsidRPr="009544AD">
        <w:t>s done three times followed by sonication at 80</w:t>
      </w:r>
      <w:r w:rsidR="00145399" w:rsidRPr="009544AD">
        <w:t xml:space="preserve"> </w:t>
      </w:r>
      <w:r w:rsidR="000F212D" w:rsidRPr="009544AD">
        <w:t xml:space="preserve">Hz on ice to release the virus. The suspension </w:t>
      </w:r>
      <w:r w:rsidR="009A0C4F" w:rsidRPr="009544AD">
        <w:t>i</w:t>
      </w:r>
      <w:r w:rsidR="000F212D" w:rsidRPr="009544AD">
        <w:t>s clarified by centrifugation at 1000</w:t>
      </w:r>
      <w:r w:rsidR="00145399" w:rsidRPr="009544AD">
        <w:t xml:space="preserve"> </w:t>
      </w:r>
      <w:r w:rsidR="000F212D" w:rsidRPr="009544AD">
        <w:rPr>
          <w:b/>
          <w:i/>
        </w:rPr>
        <w:t>g</w:t>
      </w:r>
      <w:r w:rsidR="000F212D" w:rsidRPr="009544AD">
        <w:t xml:space="preserve"> for 10 minutes. The supernatant </w:t>
      </w:r>
      <w:r w:rsidR="009A0C4F" w:rsidRPr="009544AD">
        <w:t>i</w:t>
      </w:r>
      <w:r w:rsidR="000F212D" w:rsidRPr="009544AD">
        <w:t xml:space="preserve">s collected and the identity of </w:t>
      </w:r>
      <w:proofErr w:type="spellStart"/>
      <w:r w:rsidR="000F212D" w:rsidRPr="009544AD">
        <w:t>camelpox</w:t>
      </w:r>
      <w:proofErr w:type="spellEnd"/>
      <w:r w:rsidR="000F212D" w:rsidRPr="009544AD">
        <w:t xml:space="preserve"> virus </w:t>
      </w:r>
      <w:r w:rsidR="009A0C4F" w:rsidRPr="009544AD">
        <w:t>i</w:t>
      </w:r>
      <w:r w:rsidR="000F212D" w:rsidRPr="009544AD">
        <w:t xml:space="preserve">s </w:t>
      </w:r>
      <w:r w:rsidR="009D2432" w:rsidRPr="009544AD">
        <w:t xml:space="preserve">confirmed </w:t>
      </w:r>
      <w:r w:rsidR="0056326E" w:rsidRPr="009544AD">
        <w:t>using</w:t>
      </w:r>
      <w:r w:rsidR="000F212D" w:rsidRPr="009544AD">
        <w:t xml:space="preserve"> different test methods.</w:t>
      </w:r>
      <w:r w:rsidR="000738C1" w:rsidRPr="009544AD">
        <w:t xml:space="preserve"> </w:t>
      </w:r>
      <w:r w:rsidR="000F212D" w:rsidRPr="009544AD">
        <w:t xml:space="preserve"> After the 10</w:t>
      </w:r>
      <w:r w:rsidR="0056326E" w:rsidRPr="009544AD">
        <w:rPr>
          <w:vertAlign w:val="superscript"/>
        </w:rPr>
        <w:t>th</w:t>
      </w:r>
      <w:r w:rsidR="0056326E" w:rsidRPr="009544AD">
        <w:t> </w:t>
      </w:r>
      <w:r w:rsidR="000F212D" w:rsidRPr="009544AD">
        <w:t xml:space="preserve">passage on Vero cells, a plaque test </w:t>
      </w:r>
      <w:r w:rsidR="009A0C4F" w:rsidRPr="009544AD">
        <w:t>i</w:t>
      </w:r>
      <w:r w:rsidR="000F212D" w:rsidRPr="009544AD">
        <w:t xml:space="preserve">s carried out and the bigger plaque </w:t>
      </w:r>
      <w:r w:rsidR="009A0C4F" w:rsidRPr="009544AD">
        <w:t>i</w:t>
      </w:r>
      <w:r w:rsidR="000F212D" w:rsidRPr="009544AD">
        <w:t xml:space="preserve">s chosen for the vaccine preparation. The plaque-purified virus </w:t>
      </w:r>
      <w:r w:rsidR="009A0C4F" w:rsidRPr="009544AD">
        <w:t>i</w:t>
      </w:r>
      <w:r w:rsidR="0056326E" w:rsidRPr="009544AD">
        <w:t xml:space="preserve">s </w:t>
      </w:r>
      <w:r w:rsidR="000F212D" w:rsidRPr="009544AD">
        <w:t>then passaged 110</w:t>
      </w:r>
      <w:r w:rsidR="0056326E" w:rsidRPr="009544AD">
        <w:t> </w:t>
      </w:r>
      <w:r w:rsidR="000F212D" w:rsidRPr="009544AD">
        <w:t xml:space="preserve">times on Vero cells to attenuate the virus and designated as the master seed virus (MSV). The MSV is kept freeze dried and frozen at </w:t>
      </w:r>
      <w:r w:rsidR="00145399" w:rsidRPr="009544AD">
        <w:t>–</w:t>
      </w:r>
      <w:r w:rsidR="000F212D" w:rsidRPr="009544AD">
        <w:t>80°C.</w:t>
      </w:r>
    </w:p>
    <w:p w14:paraId="1960B79D" w14:textId="77777777" w:rsidR="000F212D" w:rsidRPr="009544AD" w:rsidRDefault="00145399" w:rsidP="00145399">
      <w:pPr>
        <w:pStyle w:val="111"/>
        <w:rPr>
          <w:bCs/>
        </w:rPr>
      </w:pPr>
      <w:r w:rsidRPr="009544AD">
        <w:rPr>
          <w:bCs/>
        </w:rPr>
        <w:t>2.1.2.</w:t>
      </w:r>
      <w:r w:rsidR="000F212D" w:rsidRPr="009544AD">
        <w:rPr>
          <w:bCs/>
        </w:rPr>
        <w:tab/>
        <w:t>Quality criteria (sterility, purity, freedom from extraneous agents)</w:t>
      </w:r>
    </w:p>
    <w:p w14:paraId="2E70C1CD" w14:textId="01818AD2" w:rsidR="000F212D" w:rsidRPr="009544AD" w:rsidRDefault="000F212D" w:rsidP="00145399">
      <w:pPr>
        <w:pStyle w:val="111Para"/>
      </w:pPr>
      <w:r w:rsidRPr="009544AD">
        <w:t xml:space="preserve">The purity and identity of the seed virus and the cells used for the vaccine production </w:t>
      </w:r>
      <w:r w:rsidR="009A0C4F" w:rsidRPr="009544AD">
        <w:t>i</w:t>
      </w:r>
      <w:r w:rsidRPr="009544AD">
        <w:t xml:space="preserve">s proved. </w:t>
      </w:r>
      <w:r w:rsidR="0056326E" w:rsidRPr="009544AD">
        <w:t xml:space="preserve">The seed virus </w:t>
      </w:r>
      <w:r w:rsidR="009A0C4F" w:rsidRPr="009544AD">
        <w:t>i</w:t>
      </w:r>
      <w:r w:rsidR="0056326E" w:rsidRPr="009544AD">
        <w:t>s demonstrated</w:t>
      </w:r>
      <w:r w:rsidRPr="009544AD">
        <w:t xml:space="preserve"> free from contamination with </w:t>
      </w:r>
      <w:r w:rsidR="000849F7" w:rsidRPr="009544AD">
        <w:t xml:space="preserve">adventitious </w:t>
      </w:r>
      <w:r w:rsidRPr="009544AD">
        <w:t>viruses, bacteria, fungi or mycoplasma.</w:t>
      </w:r>
    </w:p>
    <w:p w14:paraId="36C79F0E" w14:textId="0BA62A43" w:rsidR="000F212D" w:rsidRPr="009544AD" w:rsidRDefault="00145399" w:rsidP="00145399">
      <w:pPr>
        <w:pStyle w:val="11"/>
        <w:rPr>
          <w:bCs/>
        </w:rPr>
      </w:pPr>
      <w:r w:rsidRPr="009544AD">
        <w:rPr>
          <w:bCs/>
        </w:rPr>
        <w:lastRenderedPageBreak/>
        <w:t>2.2.</w:t>
      </w:r>
      <w:r w:rsidR="000F212D" w:rsidRPr="009544AD">
        <w:rPr>
          <w:bCs/>
        </w:rPr>
        <w:tab/>
        <w:t>Method of manufacture</w:t>
      </w:r>
    </w:p>
    <w:p w14:paraId="232D9DCD" w14:textId="77777777" w:rsidR="000F212D" w:rsidRPr="009544AD" w:rsidRDefault="00145399" w:rsidP="00145399">
      <w:pPr>
        <w:pStyle w:val="111"/>
        <w:rPr>
          <w:bCs/>
        </w:rPr>
      </w:pPr>
      <w:r w:rsidRPr="009544AD">
        <w:rPr>
          <w:bCs/>
        </w:rPr>
        <w:t>2.2.1.</w:t>
      </w:r>
      <w:r w:rsidR="000F212D" w:rsidRPr="009544AD">
        <w:rPr>
          <w:bCs/>
        </w:rPr>
        <w:tab/>
        <w:t>Procedure</w:t>
      </w:r>
    </w:p>
    <w:p w14:paraId="280B806A" w14:textId="438C904F" w:rsidR="000F212D" w:rsidRPr="009544AD" w:rsidRDefault="000F212D" w:rsidP="00145399">
      <w:pPr>
        <w:pStyle w:val="111Para"/>
      </w:pPr>
      <w:r w:rsidRPr="009544AD">
        <w:t xml:space="preserve">The cells used for the production of vaccine preparation </w:t>
      </w:r>
      <w:r w:rsidR="008205F5" w:rsidRPr="009544AD">
        <w:t>are</w:t>
      </w:r>
      <w:r w:rsidRPr="009544AD">
        <w:t xml:space="preserve"> prepared using a seed-lot system. The seed virus </w:t>
      </w:r>
      <w:r w:rsidR="008205F5" w:rsidRPr="009544AD">
        <w:t>i</w:t>
      </w:r>
      <w:r w:rsidRPr="009544AD">
        <w:t>s cultured on Vero cells. When the cell</w:t>
      </w:r>
      <w:r w:rsidR="004516D7" w:rsidRPr="009544AD">
        <w:t xml:space="preserve"> monolayer is</w:t>
      </w:r>
      <w:r w:rsidRPr="009544AD">
        <w:t xml:space="preserve"> confluent, </w:t>
      </w:r>
      <w:r w:rsidR="00771ECF" w:rsidRPr="009544AD">
        <w:t xml:space="preserve">the cells are </w:t>
      </w:r>
      <w:r w:rsidRPr="009544AD">
        <w:t>infect</w:t>
      </w:r>
      <w:r w:rsidR="00771ECF" w:rsidRPr="009544AD">
        <w:t xml:space="preserve">ed </w:t>
      </w:r>
      <w:r w:rsidRPr="009544AD">
        <w:t xml:space="preserve">with the vaccine virus. Cell culture </w:t>
      </w:r>
      <w:r w:rsidR="008205F5" w:rsidRPr="009544AD">
        <w:t>i</w:t>
      </w:r>
      <w:r w:rsidRPr="009544AD">
        <w:t xml:space="preserve">s harvested when the cells are 100% infected with </w:t>
      </w:r>
      <w:proofErr w:type="spellStart"/>
      <w:r w:rsidRPr="009544AD">
        <w:t>camelpox</w:t>
      </w:r>
      <w:proofErr w:type="spellEnd"/>
      <w:r w:rsidRPr="009544AD">
        <w:t xml:space="preserve"> virus. The supernatant </w:t>
      </w:r>
      <w:r w:rsidR="008205F5" w:rsidRPr="009544AD">
        <w:t>i</w:t>
      </w:r>
      <w:r w:rsidRPr="009544AD">
        <w:t>s clarified, mixed with a stabiliser, bottled and freeze-dried.</w:t>
      </w:r>
    </w:p>
    <w:p w14:paraId="5C4A2C29" w14:textId="77777777" w:rsidR="000F212D" w:rsidRPr="009544AD" w:rsidRDefault="00145399" w:rsidP="00145399">
      <w:pPr>
        <w:pStyle w:val="111"/>
        <w:rPr>
          <w:bCs/>
        </w:rPr>
      </w:pPr>
      <w:r w:rsidRPr="009544AD">
        <w:rPr>
          <w:bCs/>
        </w:rPr>
        <w:t>2.2.2.</w:t>
      </w:r>
      <w:r w:rsidR="000F212D" w:rsidRPr="009544AD">
        <w:rPr>
          <w:bCs/>
        </w:rPr>
        <w:tab/>
        <w:t>Requirements for ingredients</w:t>
      </w:r>
    </w:p>
    <w:p w14:paraId="248D0FF1" w14:textId="77777777" w:rsidR="000F212D" w:rsidRPr="009544AD" w:rsidRDefault="000F212D" w:rsidP="00145399">
      <w:pPr>
        <w:pStyle w:val="111Para"/>
      </w:pPr>
      <w:r w:rsidRPr="009544AD">
        <w:t xml:space="preserve">Cell cultures and all animal origin products used in the production and maintenance of cells </w:t>
      </w:r>
      <w:r w:rsidR="008205F5" w:rsidRPr="009544AD">
        <w:t>are</w:t>
      </w:r>
      <w:r w:rsidRPr="009544AD">
        <w:t xml:space="preserve"> proved free of adventitious viruses, bacteria, fungi and mycoplasma. </w:t>
      </w:r>
    </w:p>
    <w:p w14:paraId="52A94B5E" w14:textId="77777777" w:rsidR="000F212D" w:rsidRPr="009544AD" w:rsidRDefault="00145399" w:rsidP="00145399">
      <w:pPr>
        <w:pStyle w:val="111"/>
        <w:rPr>
          <w:bCs/>
        </w:rPr>
      </w:pPr>
      <w:r w:rsidRPr="009544AD">
        <w:rPr>
          <w:bCs/>
        </w:rPr>
        <w:t>2.2.3.</w:t>
      </w:r>
      <w:r w:rsidRPr="009544AD">
        <w:rPr>
          <w:bCs/>
        </w:rPr>
        <w:tab/>
      </w:r>
      <w:r w:rsidR="000F212D" w:rsidRPr="009544AD">
        <w:rPr>
          <w:bCs/>
        </w:rPr>
        <w:t>In-process controls</w:t>
      </w:r>
    </w:p>
    <w:p w14:paraId="43BD458A" w14:textId="6B0AE1AE" w:rsidR="000F212D" w:rsidRPr="009544AD" w:rsidRDefault="000F212D" w:rsidP="00145399">
      <w:pPr>
        <w:pStyle w:val="111Para"/>
      </w:pPr>
      <w:r w:rsidRPr="009544AD">
        <w:t xml:space="preserve">CPE </w:t>
      </w:r>
      <w:r w:rsidR="008205F5" w:rsidRPr="009544AD">
        <w:t>i</w:t>
      </w:r>
      <w:r w:rsidRPr="009544AD">
        <w:t xml:space="preserve">s checked during cultivation of working virus seed. Uninoculated control cells </w:t>
      </w:r>
      <w:r w:rsidR="00771ECF" w:rsidRPr="009544AD">
        <w:t xml:space="preserve">should </w:t>
      </w:r>
      <w:r w:rsidRPr="009544AD">
        <w:t xml:space="preserve">retain their morphology </w:t>
      </w:r>
      <w:r w:rsidR="0056326E" w:rsidRPr="009544AD">
        <w:t>until</w:t>
      </w:r>
      <w:r w:rsidRPr="009544AD">
        <w:t xml:space="preserve"> the time of harvesting. Virus multiplication </w:t>
      </w:r>
      <w:r w:rsidR="008205F5" w:rsidRPr="009544AD">
        <w:t>i</w:t>
      </w:r>
      <w:r w:rsidRPr="009544AD">
        <w:t>s demonstrated by titration with the harvested supernatant.</w:t>
      </w:r>
    </w:p>
    <w:p w14:paraId="4F21AAA8" w14:textId="77777777" w:rsidR="000F212D" w:rsidRPr="009544AD" w:rsidRDefault="00145399" w:rsidP="00145399">
      <w:pPr>
        <w:pStyle w:val="111"/>
        <w:rPr>
          <w:bCs/>
        </w:rPr>
      </w:pPr>
      <w:r w:rsidRPr="009544AD">
        <w:rPr>
          <w:bCs/>
        </w:rPr>
        <w:t>2.2.4.</w:t>
      </w:r>
      <w:r w:rsidRPr="009544AD">
        <w:rPr>
          <w:bCs/>
        </w:rPr>
        <w:tab/>
      </w:r>
      <w:r w:rsidR="000F212D" w:rsidRPr="009544AD">
        <w:rPr>
          <w:bCs/>
        </w:rPr>
        <w:t>Final product batch tests</w:t>
      </w:r>
    </w:p>
    <w:p w14:paraId="599CBB9B" w14:textId="77777777" w:rsidR="000F212D" w:rsidRPr="009544AD" w:rsidRDefault="00145399" w:rsidP="00145399">
      <w:pPr>
        <w:pStyle w:val="i"/>
      </w:pPr>
      <w:proofErr w:type="spellStart"/>
      <w:r w:rsidRPr="009544AD">
        <w:t>i</w:t>
      </w:r>
      <w:proofErr w:type="spellEnd"/>
      <w:r w:rsidRPr="009544AD">
        <w:t>)</w:t>
      </w:r>
      <w:r w:rsidRPr="009544AD">
        <w:tab/>
      </w:r>
      <w:r w:rsidR="008205F5" w:rsidRPr="009544AD">
        <w:t>Sterility/</w:t>
      </w:r>
      <w:r w:rsidR="000F212D" w:rsidRPr="009544AD">
        <w:t>purity</w:t>
      </w:r>
    </w:p>
    <w:p w14:paraId="6CD61B92" w14:textId="2F9E796A" w:rsidR="000F212D" w:rsidRPr="009544AD" w:rsidRDefault="00771ECF" w:rsidP="00145399">
      <w:pPr>
        <w:pStyle w:val="afourthpara"/>
      </w:pPr>
      <w:r w:rsidRPr="009544AD">
        <w:t>The procedure for t</w:t>
      </w:r>
      <w:r w:rsidR="000F212D" w:rsidRPr="009544AD">
        <w:t>est</w:t>
      </w:r>
      <w:r w:rsidRPr="009544AD">
        <w:t>ing</w:t>
      </w:r>
      <w:r w:rsidR="000F212D" w:rsidRPr="009544AD">
        <w:t xml:space="preserve"> for sterility and freedom from contamination</w:t>
      </w:r>
      <w:r w:rsidR="00FC44DD">
        <w:t xml:space="preserve"> of</w:t>
      </w:r>
      <w:r w:rsidR="000F212D" w:rsidRPr="009544AD">
        <w:t xml:space="preserve"> </w:t>
      </w:r>
      <w:r w:rsidR="00FC44DD" w:rsidRPr="009544AD">
        <w:t xml:space="preserve">biological materials </w:t>
      </w:r>
      <w:r w:rsidR="00FC44DD">
        <w:t xml:space="preserve">intended for veterinary use </w:t>
      </w:r>
      <w:r w:rsidR="000F212D" w:rsidRPr="009544AD">
        <w:t xml:space="preserve">is </w:t>
      </w:r>
      <w:r w:rsidRPr="009544AD">
        <w:t xml:space="preserve">described </w:t>
      </w:r>
      <w:r w:rsidR="000F212D" w:rsidRPr="009544AD">
        <w:t>in chapter 1.1.</w:t>
      </w:r>
      <w:r w:rsidR="000417E2">
        <w:t>9</w:t>
      </w:r>
      <w:r w:rsidR="00613C28" w:rsidRPr="009544AD">
        <w:t>.</w:t>
      </w:r>
    </w:p>
    <w:p w14:paraId="6CECB050" w14:textId="77777777" w:rsidR="000F212D" w:rsidRPr="009544AD" w:rsidRDefault="00145399" w:rsidP="00145399">
      <w:pPr>
        <w:pStyle w:val="i"/>
      </w:pPr>
      <w:r w:rsidRPr="009544AD">
        <w:t>ii)</w:t>
      </w:r>
      <w:r w:rsidRPr="009544AD">
        <w:tab/>
      </w:r>
      <w:r w:rsidR="000F212D" w:rsidRPr="009544AD">
        <w:t>Safety</w:t>
      </w:r>
    </w:p>
    <w:p w14:paraId="4F34EC11" w14:textId="44B4024F" w:rsidR="000F212D" w:rsidRPr="009544AD" w:rsidRDefault="000F212D" w:rsidP="00145399">
      <w:pPr>
        <w:pStyle w:val="afourthpara"/>
      </w:pPr>
      <w:r w:rsidRPr="009544AD">
        <w:t xml:space="preserve">Using the recommended route of administration, each batch of vaccine </w:t>
      </w:r>
      <w:r w:rsidR="008205F5" w:rsidRPr="009544AD">
        <w:t>i</w:t>
      </w:r>
      <w:r w:rsidRPr="009544AD">
        <w:t>s tested in ten naive camels, using ten times the</w:t>
      </w:r>
      <w:r w:rsidR="005B67BF" w:rsidRPr="009544AD">
        <w:t xml:space="preserve"> recommended</w:t>
      </w:r>
      <w:r w:rsidRPr="009544AD">
        <w:t xml:space="preserve"> dose per animal. The animals are observed for 7</w:t>
      </w:r>
      <w:r w:rsidR="0056326E" w:rsidRPr="009544AD">
        <w:t>–</w:t>
      </w:r>
      <w:r w:rsidRPr="009544AD">
        <w:t>14</w:t>
      </w:r>
      <w:r w:rsidR="0056326E" w:rsidRPr="009544AD">
        <w:t> </w:t>
      </w:r>
      <w:r w:rsidRPr="009544AD">
        <w:t>days for any adverse reaction</w:t>
      </w:r>
      <w:r w:rsidR="008205F5" w:rsidRPr="009544AD">
        <w:t>s</w:t>
      </w:r>
      <w:r w:rsidRPr="009544AD">
        <w:t>.</w:t>
      </w:r>
    </w:p>
    <w:p w14:paraId="3C511D85" w14:textId="77777777" w:rsidR="000F212D" w:rsidRPr="009544AD" w:rsidRDefault="00145399" w:rsidP="00145399">
      <w:pPr>
        <w:pStyle w:val="i"/>
      </w:pPr>
      <w:r w:rsidRPr="009544AD">
        <w:t>iii)</w:t>
      </w:r>
      <w:r w:rsidRPr="009544AD">
        <w:tab/>
      </w:r>
      <w:r w:rsidR="000F212D" w:rsidRPr="009544AD">
        <w:t>Batch potency</w:t>
      </w:r>
    </w:p>
    <w:p w14:paraId="0EE64CE3" w14:textId="5AC94D19" w:rsidR="000F212D" w:rsidRPr="009544AD" w:rsidRDefault="000F212D" w:rsidP="00145399">
      <w:pPr>
        <w:pStyle w:val="afourthpara"/>
      </w:pPr>
      <w:r w:rsidRPr="009544AD">
        <w:t>The amount of virus present in the live attenuated vaccine is titrat</w:t>
      </w:r>
      <w:r w:rsidR="004516D7" w:rsidRPr="009544AD">
        <w:t>ed on cell culture</w:t>
      </w:r>
      <w:r w:rsidRPr="009544AD">
        <w:t xml:space="preserve"> and the end titre is calculated. </w:t>
      </w:r>
    </w:p>
    <w:p w14:paraId="34206493" w14:textId="77777777" w:rsidR="000F212D" w:rsidRPr="009544AD" w:rsidRDefault="00145399" w:rsidP="00145399">
      <w:pPr>
        <w:pStyle w:val="11"/>
        <w:rPr>
          <w:bCs/>
        </w:rPr>
      </w:pPr>
      <w:r w:rsidRPr="009544AD">
        <w:rPr>
          <w:bCs/>
        </w:rPr>
        <w:t>2.3.</w:t>
      </w:r>
      <w:r w:rsidR="000F212D" w:rsidRPr="009544AD">
        <w:rPr>
          <w:bCs/>
        </w:rPr>
        <w:tab/>
        <w:t>Requirements for authorisation</w:t>
      </w:r>
    </w:p>
    <w:p w14:paraId="59BF3983" w14:textId="77777777" w:rsidR="000F212D" w:rsidRPr="009544AD" w:rsidRDefault="00145399" w:rsidP="00145399">
      <w:pPr>
        <w:pStyle w:val="111"/>
        <w:rPr>
          <w:bCs/>
        </w:rPr>
      </w:pPr>
      <w:r w:rsidRPr="009544AD">
        <w:rPr>
          <w:bCs/>
        </w:rPr>
        <w:t>2.3.1.</w:t>
      </w:r>
      <w:r w:rsidR="000F212D" w:rsidRPr="009544AD">
        <w:rPr>
          <w:bCs/>
        </w:rPr>
        <w:tab/>
        <w:t>Safety requirements</w:t>
      </w:r>
    </w:p>
    <w:p w14:paraId="180E35D4" w14:textId="77777777" w:rsidR="000F212D" w:rsidRPr="009544AD" w:rsidRDefault="00145399" w:rsidP="00145399">
      <w:pPr>
        <w:pStyle w:val="i"/>
      </w:pPr>
      <w:proofErr w:type="spellStart"/>
      <w:r w:rsidRPr="009544AD">
        <w:t>i</w:t>
      </w:r>
      <w:proofErr w:type="spellEnd"/>
      <w:r w:rsidRPr="009544AD">
        <w:t>)</w:t>
      </w:r>
      <w:r w:rsidRPr="009544AD">
        <w:tab/>
      </w:r>
      <w:r w:rsidR="000F212D" w:rsidRPr="009544AD">
        <w:t>Target and non-target animal safety</w:t>
      </w:r>
    </w:p>
    <w:p w14:paraId="7433B452" w14:textId="77777777" w:rsidR="000F212D" w:rsidRPr="009544AD" w:rsidRDefault="000F212D" w:rsidP="00145399">
      <w:pPr>
        <w:pStyle w:val="afourthpara"/>
      </w:pPr>
      <w:r w:rsidRPr="009544AD">
        <w:t xml:space="preserve">Live attenuated </w:t>
      </w:r>
      <w:proofErr w:type="spellStart"/>
      <w:r w:rsidR="0056326E" w:rsidRPr="009544AD">
        <w:t>camelpox</w:t>
      </w:r>
      <w:proofErr w:type="spellEnd"/>
      <w:r w:rsidR="0056326E" w:rsidRPr="009544AD">
        <w:t xml:space="preserve"> </w:t>
      </w:r>
      <w:r w:rsidRPr="009544AD">
        <w:t xml:space="preserve">vaccine causes no clinical signs in </w:t>
      </w:r>
      <w:proofErr w:type="spellStart"/>
      <w:r w:rsidRPr="009544AD">
        <w:t>camelpox</w:t>
      </w:r>
      <w:proofErr w:type="spellEnd"/>
      <w:r w:rsidR="0056326E" w:rsidRPr="009544AD">
        <w:t>-</w:t>
      </w:r>
      <w:r w:rsidRPr="009544AD">
        <w:t xml:space="preserve">susceptible Old Word </w:t>
      </w:r>
      <w:r w:rsidR="0056326E" w:rsidRPr="009544AD">
        <w:t xml:space="preserve">camels </w:t>
      </w:r>
      <w:r w:rsidRPr="009544AD">
        <w:t xml:space="preserve">and New World </w:t>
      </w:r>
      <w:r w:rsidR="0056326E" w:rsidRPr="009544AD">
        <w:t>camels</w:t>
      </w:r>
      <w:r w:rsidRPr="009544AD">
        <w:t xml:space="preserve">. </w:t>
      </w:r>
      <w:r w:rsidR="0056326E" w:rsidRPr="009544AD">
        <w:t>L</w:t>
      </w:r>
      <w:r w:rsidRPr="009544AD">
        <w:t xml:space="preserve">ess than 1% </w:t>
      </w:r>
      <w:r w:rsidR="0056326E" w:rsidRPr="009544AD">
        <w:t xml:space="preserve">of </w:t>
      </w:r>
      <w:r w:rsidRPr="009544AD">
        <w:t xml:space="preserve">animals show a rise in temperature by </w:t>
      </w:r>
      <w:r w:rsidR="0056326E" w:rsidRPr="009544AD">
        <w:t xml:space="preserve">a </w:t>
      </w:r>
      <w:r w:rsidRPr="009544AD">
        <w:t xml:space="preserve">maximum </w:t>
      </w:r>
      <w:r w:rsidR="0056326E" w:rsidRPr="009544AD">
        <w:t xml:space="preserve">of </w:t>
      </w:r>
      <w:r w:rsidRPr="009544AD">
        <w:t>1°C.</w:t>
      </w:r>
    </w:p>
    <w:p w14:paraId="7E99915E" w14:textId="77777777" w:rsidR="000F212D" w:rsidRPr="009544AD" w:rsidRDefault="00145399" w:rsidP="00145399">
      <w:pPr>
        <w:pStyle w:val="i"/>
      </w:pPr>
      <w:r w:rsidRPr="009544AD">
        <w:t>ii)</w:t>
      </w:r>
      <w:r w:rsidRPr="009544AD">
        <w:tab/>
      </w:r>
      <w:r w:rsidR="000F212D" w:rsidRPr="009544AD">
        <w:t xml:space="preserve">Reversion-to-virulence </w:t>
      </w:r>
    </w:p>
    <w:p w14:paraId="646AAC6C" w14:textId="77777777" w:rsidR="000F212D" w:rsidRPr="009544AD" w:rsidRDefault="000F212D" w:rsidP="00145399">
      <w:pPr>
        <w:pStyle w:val="afourthpara"/>
      </w:pPr>
      <w:r w:rsidRPr="009544AD">
        <w:t>There are no reports of reversion to virulence by the live attenuated vaccine</w:t>
      </w:r>
      <w:r w:rsidR="0056326E" w:rsidRPr="009544AD">
        <w:t>.</w:t>
      </w:r>
    </w:p>
    <w:p w14:paraId="6B658D03" w14:textId="77777777" w:rsidR="000F212D" w:rsidRPr="009544AD" w:rsidRDefault="00145399" w:rsidP="00145399">
      <w:pPr>
        <w:pStyle w:val="i"/>
      </w:pPr>
      <w:r w:rsidRPr="009544AD">
        <w:t>iii)</w:t>
      </w:r>
      <w:r w:rsidRPr="009544AD">
        <w:tab/>
      </w:r>
      <w:r w:rsidR="000F212D" w:rsidRPr="009544AD">
        <w:t>Precautions</w:t>
      </w:r>
    </w:p>
    <w:p w14:paraId="31DFADDE" w14:textId="427F9F14" w:rsidR="000F212D" w:rsidRPr="009544AD" w:rsidRDefault="000F212D" w:rsidP="00145399">
      <w:pPr>
        <w:pStyle w:val="afourthpara"/>
      </w:pPr>
      <w:r w:rsidRPr="003530E4">
        <w:rPr>
          <w:strike/>
        </w:rPr>
        <w:t>There are no</w:t>
      </w:r>
      <w:r w:rsidR="003530E4">
        <w:rPr>
          <w:strike/>
        </w:rPr>
        <w:t xml:space="preserve"> </w:t>
      </w:r>
      <w:r w:rsidR="000C49FD">
        <w:rPr>
          <w:u w:val="double"/>
        </w:rPr>
        <w:t xml:space="preserve">There is a low risk of human infection </w:t>
      </w:r>
      <w:r w:rsidRPr="000C49FD">
        <w:rPr>
          <w:strike/>
        </w:rPr>
        <w:t>precautions</w:t>
      </w:r>
      <w:r w:rsidR="003D50BD" w:rsidRPr="000C49FD">
        <w:rPr>
          <w:strike/>
        </w:rPr>
        <w:t xml:space="preserve"> </w:t>
      </w:r>
      <w:r w:rsidRPr="000C49FD">
        <w:rPr>
          <w:strike/>
        </w:rPr>
        <w:t>necessary</w:t>
      </w:r>
      <w:r w:rsidRPr="009544AD">
        <w:t xml:space="preserve"> as </w:t>
      </w:r>
      <w:proofErr w:type="spellStart"/>
      <w:r w:rsidRPr="009544AD">
        <w:t>camelpox</w:t>
      </w:r>
      <w:proofErr w:type="spellEnd"/>
      <w:r w:rsidRPr="009544AD">
        <w:t xml:space="preserve"> is host specific.</w:t>
      </w:r>
      <w:r w:rsidR="009F4F67">
        <w:t xml:space="preserve"> </w:t>
      </w:r>
      <w:r w:rsidR="009F4F67" w:rsidRPr="006F23FD">
        <w:rPr>
          <w:u w:val="double"/>
        </w:rPr>
        <w:t xml:space="preserve">However, self-inoculation </w:t>
      </w:r>
      <w:r w:rsidR="000C49FD">
        <w:rPr>
          <w:u w:val="double"/>
        </w:rPr>
        <w:t>may lead to zoonotic</w:t>
      </w:r>
      <w:r w:rsidR="009F4F67" w:rsidRPr="006F23FD">
        <w:rPr>
          <w:u w:val="double"/>
        </w:rPr>
        <w:t xml:space="preserve"> </w:t>
      </w:r>
      <w:proofErr w:type="spellStart"/>
      <w:r w:rsidR="009F4F67" w:rsidRPr="006F23FD">
        <w:rPr>
          <w:u w:val="double"/>
        </w:rPr>
        <w:t>came</w:t>
      </w:r>
      <w:r w:rsidR="00FF3401" w:rsidRPr="006F23FD">
        <w:rPr>
          <w:u w:val="double"/>
        </w:rPr>
        <w:t>lpox</w:t>
      </w:r>
      <w:proofErr w:type="spellEnd"/>
      <w:r w:rsidR="00FF3401" w:rsidRPr="006F23FD">
        <w:rPr>
          <w:u w:val="double"/>
        </w:rPr>
        <w:t xml:space="preserve"> virus infection with a</w:t>
      </w:r>
      <w:r w:rsidR="00FF3401" w:rsidRPr="00E802F6">
        <w:t xml:space="preserve"> </w:t>
      </w:r>
      <w:r w:rsidR="00FF3401" w:rsidRPr="00E802F6">
        <w:rPr>
          <w:strike/>
          <w:highlight w:val="yellow"/>
        </w:rPr>
        <w:t xml:space="preserve">field </w:t>
      </w:r>
      <w:r w:rsidR="00123163" w:rsidRPr="00E802F6">
        <w:rPr>
          <w:highlight w:val="yellow"/>
          <w:u w:val="double"/>
        </w:rPr>
        <w:t>v</w:t>
      </w:r>
      <w:bookmarkStart w:id="1" w:name="_GoBack"/>
      <w:bookmarkEnd w:id="1"/>
      <w:r w:rsidR="00123163" w:rsidRPr="0086775A">
        <w:rPr>
          <w:highlight w:val="yellow"/>
          <w:u w:val="double"/>
        </w:rPr>
        <w:t>accine</w:t>
      </w:r>
      <w:r w:rsidR="00123163" w:rsidRPr="006F23FD">
        <w:rPr>
          <w:u w:val="double"/>
        </w:rPr>
        <w:t xml:space="preserve"> </w:t>
      </w:r>
      <w:r w:rsidR="00FF3401" w:rsidRPr="006F23FD">
        <w:rPr>
          <w:u w:val="double"/>
        </w:rPr>
        <w:t>virus</w:t>
      </w:r>
      <w:r w:rsidR="007F603F" w:rsidRPr="006F23FD">
        <w:rPr>
          <w:u w:val="double"/>
        </w:rPr>
        <w:t>.</w:t>
      </w:r>
      <w:r w:rsidR="00FF3401">
        <w:t xml:space="preserve"> </w:t>
      </w:r>
    </w:p>
    <w:p w14:paraId="6D1DE833" w14:textId="77777777" w:rsidR="000F212D" w:rsidRPr="009544AD" w:rsidRDefault="00145399" w:rsidP="00145399">
      <w:pPr>
        <w:pStyle w:val="111"/>
        <w:rPr>
          <w:bCs/>
        </w:rPr>
      </w:pPr>
      <w:r w:rsidRPr="009544AD">
        <w:rPr>
          <w:bCs/>
        </w:rPr>
        <w:t>2.3.2.</w:t>
      </w:r>
      <w:r w:rsidR="008205F5" w:rsidRPr="009544AD">
        <w:rPr>
          <w:bCs/>
        </w:rPr>
        <w:tab/>
        <w:t>Efficacy</w:t>
      </w:r>
    </w:p>
    <w:p w14:paraId="2F61E277" w14:textId="668778EC" w:rsidR="000F212D" w:rsidRPr="009544AD" w:rsidRDefault="000F212D" w:rsidP="00145399">
      <w:pPr>
        <w:pStyle w:val="111Para"/>
      </w:pPr>
      <w:r w:rsidRPr="009544AD">
        <w:t xml:space="preserve">Efficacy in susceptible animals </w:t>
      </w:r>
      <w:r w:rsidR="008205F5" w:rsidRPr="009544AD">
        <w:t>i</w:t>
      </w:r>
      <w:r w:rsidRPr="009544AD">
        <w:t xml:space="preserve">s demonstrated </w:t>
      </w:r>
      <w:r w:rsidR="00CB68AA" w:rsidRPr="009544AD">
        <w:t>in</w:t>
      </w:r>
      <w:r w:rsidRPr="009544AD">
        <w:t xml:space="preserve"> naive dromedaries</w:t>
      </w:r>
      <w:r w:rsidR="004516D7" w:rsidRPr="009544AD">
        <w:t>. The experimental animals</w:t>
      </w:r>
      <w:r w:rsidRPr="009544AD">
        <w:t xml:space="preserve"> </w:t>
      </w:r>
      <w:r w:rsidR="004516D7" w:rsidRPr="009544AD">
        <w:t xml:space="preserve">should be </w:t>
      </w:r>
      <w:r w:rsidR="00CB68AA" w:rsidRPr="009544AD">
        <w:t xml:space="preserve">vaccinated </w:t>
      </w:r>
      <w:r w:rsidRPr="009544AD">
        <w:t xml:space="preserve">twice with </w:t>
      </w:r>
      <w:r w:rsidR="00CB68AA" w:rsidRPr="009544AD">
        <w:t xml:space="preserve">the </w:t>
      </w:r>
      <w:r w:rsidR="008205F5" w:rsidRPr="009544AD">
        <w:t>live attenuated</w:t>
      </w:r>
      <w:r w:rsidRPr="009544AD">
        <w:t xml:space="preserve"> vaccine</w:t>
      </w:r>
      <w:r w:rsidR="004516D7" w:rsidRPr="009544AD">
        <w:t xml:space="preserve"> and </w:t>
      </w:r>
      <w:r w:rsidR="006D25D1" w:rsidRPr="009544AD">
        <w:t>3</w:t>
      </w:r>
      <w:r w:rsidR="004516D7" w:rsidRPr="009544AD">
        <w:t xml:space="preserve"> weeks after the last vaccination the camels should be </w:t>
      </w:r>
      <w:r w:rsidRPr="009544AD">
        <w:t>challenge</w:t>
      </w:r>
      <w:r w:rsidR="004516D7" w:rsidRPr="009544AD">
        <w:t>d</w:t>
      </w:r>
      <w:r w:rsidRPr="009544AD">
        <w:t xml:space="preserve"> with a</w:t>
      </w:r>
      <w:r w:rsidR="00771ECF" w:rsidRPr="009544AD">
        <w:t xml:space="preserve"> virulent</w:t>
      </w:r>
      <w:r w:rsidRPr="009544AD">
        <w:t xml:space="preserve"> </w:t>
      </w:r>
      <w:proofErr w:type="spellStart"/>
      <w:r w:rsidR="004516D7" w:rsidRPr="009544AD">
        <w:t>camelpox</w:t>
      </w:r>
      <w:proofErr w:type="spellEnd"/>
      <w:r w:rsidR="004516D7" w:rsidRPr="009544AD">
        <w:t xml:space="preserve"> </w:t>
      </w:r>
      <w:r w:rsidRPr="009544AD">
        <w:t xml:space="preserve">field strain. </w:t>
      </w:r>
      <w:r w:rsidR="004516D7" w:rsidRPr="009544AD">
        <w:t xml:space="preserve">The virulence of the challenge virus should be demonstrated by inoculation of the virus into unvaccinated control animals. </w:t>
      </w:r>
      <w:r w:rsidRPr="009544AD">
        <w:t xml:space="preserve">The </w:t>
      </w:r>
      <w:r w:rsidR="004516D7" w:rsidRPr="009544AD">
        <w:t xml:space="preserve">vaccinated </w:t>
      </w:r>
      <w:r w:rsidRPr="009544AD">
        <w:t xml:space="preserve">animals </w:t>
      </w:r>
      <w:r w:rsidR="00771ECF" w:rsidRPr="009544AD">
        <w:t xml:space="preserve">should </w:t>
      </w:r>
      <w:r w:rsidRPr="009544AD">
        <w:t>not show any clinical signs</w:t>
      </w:r>
      <w:r w:rsidR="00771ECF" w:rsidRPr="009544AD">
        <w:t xml:space="preserve"> </w:t>
      </w:r>
      <w:r w:rsidR="004516D7" w:rsidRPr="009544AD">
        <w:t xml:space="preserve">whereas the unvaccinated group should develop characteristic clinical signs of </w:t>
      </w:r>
      <w:proofErr w:type="spellStart"/>
      <w:r w:rsidR="004516D7" w:rsidRPr="009544AD">
        <w:t>camelpox</w:t>
      </w:r>
      <w:proofErr w:type="spellEnd"/>
      <w:r w:rsidRPr="009544AD">
        <w:t>. The long</w:t>
      </w:r>
      <w:r w:rsidR="00CB68AA" w:rsidRPr="009544AD">
        <w:t>-</w:t>
      </w:r>
      <w:r w:rsidRPr="009544AD">
        <w:t xml:space="preserve">term immunity </w:t>
      </w:r>
      <w:r w:rsidR="004516D7" w:rsidRPr="009544AD">
        <w:t xml:space="preserve">provided </w:t>
      </w:r>
      <w:r w:rsidRPr="009544AD">
        <w:t>by</w:t>
      </w:r>
      <w:r w:rsidR="00CB68AA" w:rsidRPr="009544AD">
        <w:t xml:space="preserve"> the</w:t>
      </w:r>
      <w:r w:rsidRPr="009544AD">
        <w:t xml:space="preserve"> </w:t>
      </w:r>
      <w:r w:rsidR="008205F5" w:rsidRPr="009544AD">
        <w:t xml:space="preserve">live attenuated </w:t>
      </w:r>
      <w:r w:rsidRPr="009544AD">
        <w:t xml:space="preserve">vaccine </w:t>
      </w:r>
      <w:r w:rsidR="004516D7" w:rsidRPr="009544AD">
        <w:t>can</w:t>
      </w:r>
      <w:r w:rsidR="00771ECF" w:rsidRPr="009544AD">
        <w:t xml:space="preserve"> </w:t>
      </w:r>
      <w:r w:rsidRPr="009544AD">
        <w:t xml:space="preserve">also </w:t>
      </w:r>
      <w:r w:rsidR="00771ECF" w:rsidRPr="009544AD">
        <w:t xml:space="preserve">be </w:t>
      </w:r>
      <w:r w:rsidRPr="009544AD">
        <w:t>confirmed by challenging the vaccinated animals 6</w:t>
      </w:r>
      <w:r w:rsidR="00E12169">
        <w:t> </w:t>
      </w:r>
      <w:r w:rsidRPr="009544AD">
        <w:t xml:space="preserve">years later. </w:t>
      </w:r>
      <w:r w:rsidR="00CB68AA" w:rsidRPr="009544AD">
        <w:t>The e</w:t>
      </w:r>
      <w:r w:rsidRPr="009544AD">
        <w:t xml:space="preserve">fficacy of </w:t>
      </w:r>
      <w:r w:rsidR="008205F5" w:rsidRPr="009544AD">
        <w:t>the live attenuated vaccine</w:t>
      </w:r>
      <w:r w:rsidRPr="009544AD">
        <w:t xml:space="preserve"> </w:t>
      </w:r>
      <w:r w:rsidR="004C3DD0" w:rsidRPr="009544AD">
        <w:t xml:space="preserve">should be </w:t>
      </w:r>
      <w:r w:rsidRPr="009544AD">
        <w:t xml:space="preserve">further </w:t>
      </w:r>
      <w:r w:rsidR="004C3DD0" w:rsidRPr="009544AD">
        <w:t>evaluated</w:t>
      </w:r>
      <w:r w:rsidRPr="009544AD">
        <w:t xml:space="preserve"> by </w:t>
      </w:r>
      <w:r w:rsidR="004C3DD0" w:rsidRPr="009544AD">
        <w:t xml:space="preserve">measuring </w:t>
      </w:r>
      <w:r w:rsidR="004C3DD0" w:rsidRPr="009544AD">
        <w:lastRenderedPageBreak/>
        <w:t xml:space="preserve">the </w:t>
      </w:r>
      <w:r w:rsidRPr="009544AD">
        <w:t>antibod</w:t>
      </w:r>
      <w:r w:rsidR="004C3DD0" w:rsidRPr="009544AD">
        <w:t>y levels</w:t>
      </w:r>
      <w:r w:rsidRPr="009544AD">
        <w:t xml:space="preserve"> </w:t>
      </w:r>
      <w:r w:rsidR="004C3DD0" w:rsidRPr="009544AD">
        <w:t xml:space="preserve">against </w:t>
      </w:r>
      <w:proofErr w:type="spellStart"/>
      <w:r w:rsidR="004C3DD0" w:rsidRPr="009544AD">
        <w:t>camelpox</w:t>
      </w:r>
      <w:proofErr w:type="spellEnd"/>
      <w:r w:rsidR="00B113BE" w:rsidRPr="009544AD">
        <w:t xml:space="preserve"> </w:t>
      </w:r>
      <w:r w:rsidR="004C3DD0" w:rsidRPr="009544AD">
        <w:t xml:space="preserve">virus </w:t>
      </w:r>
      <w:r w:rsidR="00DE7A01" w:rsidRPr="009544AD">
        <w:t>21</w:t>
      </w:r>
      <w:r w:rsidR="006D25D1" w:rsidRPr="009544AD">
        <w:t>–</w:t>
      </w:r>
      <w:r w:rsidR="00DE7A01" w:rsidRPr="009544AD">
        <w:t xml:space="preserve">30 days </w:t>
      </w:r>
      <w:r w:rsidRPr="009544AD">
        <w:t xml:space="preserve">after vaccination </w:t>
      </w:r>
      <w:r w:rsidR="004C3DD0" w:rsidRPr="009544AD">
        <w:t>using ELISA and virus neutralisation test.</w:t>
      </w:r>
      <w:r w:rsidRPr="009544AD">
        <w:t xml:space="preserve"> </w:t>
      </w:r>
    </w:p>
    <w:p w14:paraId="5939C579" w14:textId="77777777" w:rsidR="000F212D" w:rsidRPr="009544AD" w:rsidRDefault="000F212D" w:rsidP="00145399">
      <w:pPr>
        <w:pStyle w:val="111Para"/>
      </w:pPr>
      <w:r w:rsidRPr="009544AD">
        <w:t xml:space="preserve">The </w:t>
      </w:r>
      <w:r w:rsidR="008205F5" w:rsidRPr="009544AD">
        <w:t xml:space="preserve">live attenuated </w:t>
      </w:r>
      <w:r w:rsidRPr="009544AD">
        <w:t xml:space="preserve">vaccine can protect dromedaries </w:t>
      </w:r>
      <w:r w:rsidR="00CB68AA" w:rsidRPr="009544AD">
        <w:t xml:space="preserve">from an infection for </w:t>
      </w:r>
      <w:r w:rsidRPr="009544AD">
        <w:t>at least 6 years</w:t>
      </w:r>
      <w:r w:rsidR="00CB68AA" w:rsidRPr="009544AD">
        <w:t>,</w:t>
      </w:r>
      <w:r w:rsidRPr="009544AD">
        <w:t xml:space="preserve"> but may be lifelong.</w:t>
      </w:r>
    </w:p>
    <w:p w14:paraId="18598F6C" w14:textId="77777777" w:rsidR="000F212D" w:rsidRPr="009544AD" w:rsidRDefault="00145399" w:rsidP="00145399">
      <w:pPr>
        <w:pStyle w:val="111"/>
        <w:rPr>
          <w:bCs/>
        </w:rPr>
      </w:pPr>
      <w:r w:rsidRPr="009544AD">
        <w:rPr>
          <w:bCs/>
        </w:rPr>
        <w:t>2.3.3.</w:t>
      </w:r>
      <w:r w:rsidRPr="009544AD">
        <w:rPr>
          <w:bCs/>
        </w:rPr>
        <w:tab/>
      </w:r>
      <w:r w:rsidR="000F212D" w:rsidRPr="009544AD">
        <w:rPr>
          <w:bCs/>
        </w:rPr>
        <w:t>Stability</w:t>
      </w:r>
    </w:p>
    <w:p w14:paraId="3EDFDB41" w14:textId="77777777" w:rsidR="000F212D" w:rsidRPr="009544AD" w:rsidRDefault="000F212D" w:rsidP="00145399">
      <w:pPr>
        <w:pStyle w:val="111Para"/>
        <w:spacing w:after="480"/>
      </w:pPr>
      <w:r w:rsidRPr="009544AD">
        <w:t>Vaccines should be stored at 4</w:t>
      </w:r>
      <w:r w:rsidR="00145399" w:rsidRPr="009544AD">
        <w:t>–</w:t>
      </w:r>
      <w:r w:rsidRPr="009544AD">
        <w:t xml:space="preserve">8°C, with minimal exposure to light. The shelf life </w:t>
      </w:r>
      <w:r w:rsidR="008205F5" w:rsidRPr="009544AD">
        <w:t>i</w:t>
      </w:r>
      <w:r w:rsidRPr="009544AD">
        <w:t>s determined by virus titration.</w:t>
      </w:r>
    </w:p>
    <w:p w14:paraId="2CEB2F38" w14:textId="77777777" w:rsidR="00613C28" w:rsidRPr="009544AD" w:rsidRDefault="00613C28" w:rsidP="00613C28">
      <w:pPr>
        <w:pStyle w:val="1"/>
      </w:pPr>
      <w:r w:rsidRPr="009544AD">
        <w:t>C2.</w:t>
      </w:r>
      <w:r w:rsidRPr="009544AD">
        <w:tab/>
        <w:t>Inactivated vaccine</w:t>
      </w:r>
    </w:p>
    <w:p w14:paraId="557F52AE" w14:textId="77777777" w:rsidR="00613C28" w:rsidRPr="009544AD" w:rsidRDefault="00613C28" w:rsidP="00613C28">
      <w:pPr>
        <w:pStyle w:val="1"/>
      </w:pPr>
      <w:r w:rsidRPr="009544AD">
        <w:t>1.</w:t>
      </w:r>
      <w:r w:rsidRPr="009544AD">
        <w:tab/>
        <w:t>Background</w:t>
      </w:r>
    </w:p>
    <w:p w14:paraId="1093C72A" w14:textId="77777777" w:rsidR="00613C28" w:rsidRPr="009544AD" w:rsidRDefault="00613C28" w:rsidP="00613C28">
      <w:pPr>
        <w:pStyle w:val="11"/>
      </w:pPr>
      <w:r w:rsidRPr="009544AD">
        <w:t>1.1.</w:t>
      </w:r>
      <w:r w:rsidRPr="009544AD">
        <w:tab/>
        <w:t>Rationale and intended use of the product</w:t>
      </w:r>
    </w:p>
    <w:p w14:paraId="104C4398" w14:textId="5A878C65" w:rsidR="00985590" w:rsidRPr="009544AD" w:rsidRDefault="00985590" w:rsidP="006B6EC8">
      <w:pPr>
        <w:pStyle w:val="11Para"/>
      </w:pPr>
      <w:r w:rsidRPr="009544AD">
        <w:t xml:space="preserve">An inactivated vaccine </w:t>
      </w:r>
      <w:r w:rsidR="00E46B89" w:rsidRPr="009544AD">
        <w:t>has been</w:t>
      </w:r>
      <w:r w:rsidRPr="009544AD">
        <w:t xml:space="preserve"> available </w:t>
      </w:r>
      <w:r w:rsidR="006B6EC8" w:rsidRPr="009544AD">
        <w:t xml:space="preserve">since 1992 </w:t>
      </w:r>
      <w:r w:rsidRPr="009544AD">
        <w:t xml:space="preserve">and used </w:t>
      </w:r>
      <w:r w:rsidR="00F24C6B" w:rsidRPr="009544AD">
        <w:t xml:space="preserve">mainly </w:t>
      </w:r>
      <w:r w:rsidRPr="009544AD">
        <w:t xml:space="preserve">in North Africa to prevent </w:t>
      </w:r>
      <w:r w:rsidR="00F24C6B" w:rsidRPr="009544AD">
        <w:t>the disease</w:t>
      </w:r>
      <w:r w:rsidR="00B04696" w:rsidRPr="009544AD">
        <w:t xml:space="preserve"> (El</w:t>
      </w:r>
      <w:r w:rsidR="00E46B89" w:rsidRPr="009544AD">
        <w:t xml:space="preserve"> </w:t>
      </w:r>
      <w:proofErr w:type="spellStart"/>
      <w:r w:rsidR="00E46B89" w:rsidRPr="009544AD">
        <w:t>H</w:t>
      </w:r>
      <w:r w:rsidR="00B04696" w:rsidRPr="009544AD">
        <w:t>arrak</w:t>
      </w:r>
      <w:proofErr w:type="spellEnd"/>
      <w:r w:rsidR="00B04696" w:rsidRPr="009544AD">
        <w:t xml:space="preserve"> </w:t>
      </w:r>
      <w:r w:rsidR="00E46B89" w:rsidRPr="009544AD">
        <w:t xml:space="preserve">&amp; </w:t>
      </w:r>
      <w:proofErr w:type="spellStart"/>
      <w:r w:rsidR="00E46B89" w:rsidRPr="009544AD">
        <w:t>Loutfi</w:t>
      </w:r>
      <w:proofErr w:type="spellEnd"/>
      <w:r w:rsidR="00E46B89" w:rsidRPr="009544AD">
        <w:t>,</w:t>
      </w:r>
      <w:r w:rsidR="00B04696" w:rsidRPr="009544AD">
        <w:t xml:space="preserve"> 1999)</w:t>
      </w:r>
      <w:r w:rsidRPr="009544AD">
        <w:t xml:space="preserve">. The inactivated vaccine is prepared from a strain isolated during </w:t>
      </w:r>
      <w:r w:rsidR="00F24C6B" w:rsidRPr="009544AD">
        <w:t>the</w:t>
      </w:r>
      <w:r w:rsidRPr="009544AD">
        <w:t xml:space="preserve"> </w:t>
      </w:r>
      <w:r w:rsidR="00F24C6B" w:rsidRPr="009544AD">
        <w:t>1984</w:t>
      </w:r>
      <w:r w:rsidR="006B6EC8" w:rsidRPr="009544AD">
        <w:t xml:space="preserve"> </w:t>
      </w:r>
      <w:r w:rsidRPr="009544AD">
        <w:t xml:space="preserve">outbreak in Morocco from a dromedary camel presenting </w:t>
      </w:r>
      <w:r w:rsidR="007325F8">
        <w:t>with</w:t>
      </w:r>
      <w:r w:rsidR="007325F8" w:rsidRPr="009544AD">
        <w:t xml:space="preserve"> </w:t>
      </w:r>
      <w:r w:rsidRPr="009544AD">
        <w:t xml:space="preserve">generalised </w:t>
      </w:r>
      <w:proofErr w:type="spellStart"/>
      <w:r w:rsidRPr="009544AD">
        <w:t>camelpox</w:t>
      </w:r>
      <w:proofErr w:type="spellEnd"/>
      <w:r w:rsidRPr="009544AD">
        <w:t xml:space="preserve"> (</w:t>
      </w:r>
      <w:r w:rsidR="00C573C5" w:rsidRPr="009544AD">
        <w:t>El</w:t>
      </w:r>
      <w:r w:rsidR="00E46B89" w:rsidRPr="009544AD">
        <w:t xml:space="preserve"> </w:t>
      </w:r>
      <w:proofErr w:type="spellStart"/>
      <w:r w:rsidR="00E46B89" w:rsidRPr="009544AD">
        <w:t>H</w:t>
      </w:r>
      <w:r w:rsidR="00C573C5" w:rsidRPr="009544AD">
        <w:t>arrak</w:t>
      </w:r>
      <w:proofErr w:type="spellEnd"/>
      <w:r w:rsidR="00C573C5" w:rsidRPr="009544AD">
        <w:t xml:space="preserve"> </w:t>
      </w:r>
      <w:r w:rsidR="00C573C5" w:rsidRPr="009544AD">
        <w:rPr>
          <w:i/>
        </w:rPr>
        <w:t>et al</w:t>
      </w:r>
      <w:r w:rsidR="00E46B89" w:rsidRPr="009544AD">
        <w:rPr>
          <w:i/>
        </w:rPr>
        <w:t>.,</w:t>
      </w:r>
      <w:r w:rsidR="00C573C5" w:rsidRPr="009544AD">
        <w:rPr>
          <w:i/>
        </w:rPr>
        <w:t xml:space="preserve"> </w:t>
      </w:r>
      <w:r w:rsidR="00C573C5" w:rsidRPr="009544AD">
        <w:t>1991</w:t>
      </w:r>
      <w:r w:rsidRPr="009544AD">
        <w:t>).</w:t>
      </w:r>
      <w:r w:rsidR="00F24C6B" w:rsidRPr="009544AD">
        <w:t xml:space="preserve"> </w:t>
      </w:r>
      <w:r w:rsidRPr="009544AD">
        <w:t xml:space="preserve">The inactivated vaccine gives </w:t>
      </w:r>
      <w:r w:rsidR="006B6EC8" w:rsidRPr="009544AD">
        <w:t xml:space="preserve">good </w:t>
      </w:r>
      <w:r w:rsidRPr="009544AD">
        <w:t xml:space="preserve">protection against </w:t>
      </w:r>
      <w:proofErr w:type="spellStart"/>
      <w:r w:rsidRPr="009544AD">
        <w:t>camelpox</w:t>
      </w:r>
      <w:proofErr w:type="spellEnd"/>
      <w:r w:rsidRPr="009544AD">
        <w:t xml:space="preserve"> </w:t>
      </w:r>
      <w:r w:rsidR="006B6EC8" w:rsidRPr="009544AD">
        <w:t xml:space="preserve">after a double injection </w:t>
      </w:r>
      <w:r w:rsidR="00E46B89" w:rsidRPr="009544AD">
        <w:t>administered at</w:t>
      </w:r>
      <w:r w:rsidR="006B6EC8" w:rsidRPr="009544AD">
        <w:t xml:space="preserve"> </w:t>
      </w:r>
      <w:r w:rsidR="00805961" w:rsidRPr="009544AD">
        <w:t xml:space="preserve">a </w:t>
      </w:r>
      <w:r w:rsidR="006B6EC8" w:rsidRPr="009544AD">
        <w:t>3</w:t>
      </w:r>
      <w:r w:rsidR="00805961" w:rsidRPr="009544AD">
        <w:t xml:space="preserve">- to </w:t>
      </w:r>
      <w:r w:rsidR="006B6EC8" w:rsidRPr="009544AD">
        <w:t>6</w:t>
      </w:r>
      <w:r w:rsidR="00805961" w:rsidRPr="009544AD">
        <w:t>-</w:t>
      </w:r>
      <w:r w:rsidR="006B6EC8" w:rsidRPr="009544AD">
        <w:t xml:space="preserve">month </w:t>
      </w:r>
      <w:r w:rsidR="00E46B89" w:rsidRPr="009544AD">
        <w:t xml:space="preserve">interval </w:t>
      </w:r>
      <w:r w:rsidR="006B6EC8" w:rsidRPr="009544AD">
        <w:t xml:space="preserve">followed by the annual booster. The vaccine is recommended from the age of 8–12 months </w:t>
      </w:r>
      <w:r w:rsidRPr="009544AD">
        <w:t>to avoid interference by maternal antibodies.</w:t>
      </w:r>
    </w:p>
    <w:p w14:paraId="58C9CD92" w14:textId="0F11CD75" w:rsidR="00613C28" w:rsidRPr="009544AD" w:rsidRDefault="00613C28" w:rsidP="00613C28">
      <w:pPr>
        <w:pStyle w:val="11Para"/>
      </w:pPr>
      <w:r w:rsidRPr="009544AD">
        <w:t>Guidelines for the production of the veterinary vaccines are given in Chapter 1.1.</w:t>
      </w:r>
      <w:r w:rsidR="000417E2">
        <w:t>8</w:t>
      </w:r>
      <w:r w:rsidRPr="009544AD">
        <w:t xml:space="preserve"> </w:t>
      </w:r>
      <w:r w:rsidRPr="009544AD">
        <w:rPr>
          <w:i/>
        </w:rPr>
        <w:t>Principles of veterinary vaccine production</w:t>
      </w:r>
      <w:r w:rsidRPr="009544AD">
        <w:t>.</w:t>
      </w:r>
      <w:r w:rsidR="00DD502E" w:rsidRPr="009544AD">
        <w:t xml:space="preserve"> The production of commercially available inactivated </w:t>
      </w:r>
      <w:proofErr w:type="spellStart"/>
      <w:r w:rsidR="00DD502E" w:rsidRPr="009544AD">
        <w:t>camelpox</w:t>
      </w:r>
      <w:proofErr w:type="spellEnd"/>
      <w:r w:rsidR="00DD502E" w:rsidRPr="009544AD">
        <w:t xml:space="preserve"> vaccine is described below. </w:t>
      </w:r>
    </w:p>
    <w:p w14:paraId="50E05273" w14:textId="77777777" w:rsidR="00613C28" w:rsidRPr="009544AD" w:rsidRDefault="00613C28" w:rsidP="00613C28">
      <w:pPr>
        <w:pStyle w:val="1"/>
      </w:pPr>
      <w:r w:rsidRPr="009544AD">
        <w:t>2.</w:t>
      </w:r>
      <w:r w:rsidRPr="009544AD">
        <w:tab/>
        <w:t>Outline of production and minimum requirements for vaccines</w:t>
      </w:r>
    </w:p>
    <w:p w14:paraId="48C7DBA5" w14:textId="77777777" w:rsidR="00613C28" w:rsidRPr="009544AD" w:rsidRDefault="00613C28" w:rsidP="00613C28">
      <w:pPr>
        <w:pStyle w:val="11"/>
      </w:pPr>
      <w:r w:rsidRPr="009544AD">
        <w:t>2.1.</w:t>
      </w:r>
      <w:r w:rsidRPr="009544AD">
        <w:tab/>
        <w:t>Characteristics of the seed</w:t>
      </w:r>
    </w:p>
    <w:p w14:paraId="364228ED" w14:textId="77777777" w:rsidR="00613C28" w:rsidRPr="009544AD" w:rsidRDefault="00613C28" w:rsidP="00613C28">
      <w:pPr>
        <w:pStyle w:val="111"/>
      </w:pPr>
      <w:r w:rsidRPr="009544AD">
        <w:t>2.1.1.</w:t>
      </w:r>
      <w:r w:rsidRPr="009544AD">
        <w:tab/>
        <w:t>Biological characteristics</w:t>
      </w:r>
    </w:p>
    <w:p w14:paraId="2328D9BA" w14:textId="42513103" w:rsidR="00F24C6B" w:rsidRPr="009544AD" w:rsidRDefault="003325A6" w:rsidP="006B6EC8">
      <w:pPr>
        <w:pStyle w:val="111Para"/>
      </w:pPr>
      <w:r w:rsidRPr="009544AD">
        <w:t xml:space="preserve">Pox lesions </w:t>
      </w:r>
      <w:r w:rsidR="00F24C6B" w:rsidRPr="009544AD">
        <w:t>from a</w:t>
      </w:r>
      <w:r w:rsidRPr="009544AD">
        <w:t xml:space="preserve">n adult </w:t>
      </w:r>
      <w:r w:rsidR="00F24C6B" w:rsidRPr="009544AD">
        <w:t xml:space="preserve">dromedary camel </w:t>
      </w:r>
      <w:r w:rsidRPr="009544AD">
        <w:t>presenting</w:t>
      </w:r>
      <w:r w:rsidR="00F24C6B" w:rsidRPr="009544AD">
        <w:t xml:space="preserve"> generalised </w:t>
      </w:r>
      <w:proofErr w:type="spellStart"/>
      <w:r w:rsidR="00805961" w:rsidRPr="009544AD">
        <w:t>camel</w:t>
      </w:r>
      <w:r w:rsidRPr="009544AD">
        <w:t>pox</w:t>
      </w:r>
      <w:proofErr w:type="spellEnd"/>
      <w:r w:rsidRPr="009544AD">
        <w:t xml:space="preserve"> infection </w:t>
      </w:r>
      <w:r w:rsidR="00805961" w:rsidRPr="009544AD">
        <w:t>ar</w:t>
      </w:r>
      <w:r w:rsidRPr="009544AD">
        <w:t>e</w:t>
      </w:r>
      <w:r w:rsidR="00F24C6B" w:rsidRPr="009544AD">
        <w:t xml:space="preserve"> removed, crushed in </w:t>
      </w:r>
      <w:r w:rsidRPr="009544AD">
        <w:t>PBS with antibiotics</w:t>
      </w:r>
      <w:r w:rsidR="00F24C6B" w:rsidRPr="009544AD">
        <w:t xml:space="preserve">, centrifuged, sterile-filtered and inoculated onto </w:t>
      </w:r>
      <w:r w:rsidR="00805961" w:rsidRPr="009544AD">
        <w:t xml:space="preserve">the </w:t>
      </w:r>
      <w:proofErr w:type="spellStart"/>
      <w:r w:rsidR="00805961" w:rsidRPr="009544AD">
        <w:t>chorioallantoic</w:t>
      </w:r>
      <w:proofErr w:type="spellEnd"/>
      <w:r w:rsidR="00805961" w:rsidRPr="009544AD">
        <w:t xml:space="preserve"> membrane of specific pathogen free</w:t>
      </w:r>
      <w:r w:rsidRPr="009544AD">
        <w:t xml:space="preserve"> eggs </w:t>
      </w:r>
      <w:r w:rsidR="00B87A9D" w:rsidRPr="009544AD">
        <w:t>for the first isolation</w:t>
      </w:r>
      <w:r w:rsidR="00C573C5" w:rsidRPr="009544AD">
        <w:t xml:space="preserve"> (El</w:t>
      </w:r>
      <w:r w:rsidR="00805961" w:rsidRPr="009544AD">
        <w:t xml:space="preserve"> </w:t>
      </w:r>
      <w:proofErr w:type="spellStart"/>
      <w:r w:rsidR="00805961" w:rsidRPr="009544AD">
        <w:t>H</w:t>
      </w:r>
      <w:r w:rsidR="00C573C5" w:rsidRPr="009544AD">
        <w:t>arrak</w:t>
      </w:r>
      <w:proofErr w:type="spellEnd"/>
      <w:r w:rsidR="00C573C5" w:rsidRPr="009544AD">
        <w:t xml:space="preserve"> </w:t>
      </w:r>
      <w:r w:rsidR="00C573C5" w:rsidRPr="009544AD">
        <w:rPr>
          <w:i/>
        </w:rPr>
        <w:t>et al.</w:t>
      </w:r>
      <w:r w:rsidR="00805961" w:rsidRPr="009544AD">
        <w:rPr>
          <w:i/>
        </w:rPr>
        <w:t>,</w:t>
      </w:r>
      <w:r w:rsidR="00A62F0D" w:rsidRPr="009544AD">
        <w:t xml:space="preserve"> 1991)</w:t>
      </w:r>
      <w:r w:rsidR="00B87A9D" w:rsidRPr="009544AD">
        <w:t>.</w:t>
      </w:r>
      <w:r w:rsidRPr="009544AD">
        <w:t xml:space="preserve"> </w:t>
      </w:r>
      <w:r w:rsidR="00B87A9D" w:rsidRPr="009544AD">
        <w:t xml:space="preserve">The pox lesions </w:t>
      </w:r>
      <w:r w:rsidR="00805961" w:rsidRPr="009544AD">
        <w:t>obtained a</w:t>
      </w:r>
      <w:r w:rsidR="00B87A9D" w:rsidRPr="009544AD">
        <w:t xml:space="preserve">re </w:t>
      </w:r>
      <w:r w:rsidRPr="009544AD">
        <w:t xml:space="preserve">passed on </w:t>
      </w:r>
      <w:r w:rsidR="00F24C6B" w:rsidRPr="009544AD">
        <w:t>confluent Vero cells</w:t>
      </w:r>
      <w:r w:rsidRPr="009544AD">
        <w:t xml:space="preserve"> </w:t>
      </w:r>
      <w:r w:rsidRPr="005572D4">
        <w:rPr>
          <w:strike/>
          <w:highlight w:val="yellow"/>
        </w:rPr>
        <w:t>line</w:t>
      </w:r>
      <w:r w:rsidR="00F24C6B" w:rsidRPr="005572D4">
        <w:rPr>
          <w:strike/>
        </w:rPr>
        <w:t xml:space="preserve"> </w:t>
      </w:r>
      <w:r w:rsidR="00B87A9D" w:rsidRPr="009544AD">
        <w:t xml:space="preserve">serially </w:t>
      </w:r>
      <w:r w:rsidR="00805961" w:rsidRPr="009544AD">
        <w:t>seven</w:t>
      </w:r>
      <w:r w:rsidR="00B87A9D" w:rsidRPr="009544AD">
        <w:t xml:space="preserve"> times</w:t>
      </w:r>
      <w:r w:rsidR="00F24C6B" w:rsidRPr="009544AD">
        <w:t xml:space="preserve">. A CPE is </w:t>
      </w:r>
      <w:r w:rsidR="00B87A9D" w:rsidRPr="009544AD">
        <w:t xml:space="preserve">routinely </w:t>
      </w:r>
      <w:r w:rsidR="00F24C6B" w:rsidRPr="009544AD">
        <w:t xml:space="preserve">observed after </w:t>
      </w:r>
      <w:r w:rsidRPr="009544AD">
        <w:t>3</w:t>
      </w:r>
      <w:r w:rsidR="00805961" w:rsidRPr="009544AD">
        <w:t>–</w:t>
      </w:r>
      <w:r w:rsidR="00F24C6B" w:rsidRPr="009544AD">
        <w:t>4 days of incubation at 3</w:t>
      </w:r>
      <w:r w:rsidRPr="009544AD">
        <w:t>5</w:t>
      </w:r>
      <w:r w:rsidR="00F24C6B" w:rsidRPr="009544AD">
        <w:t xml:space="preserve">°C. When 80% of the cells are infected, </w:t>
      </w:r>
      <w:r w:rsidR="006B6EC8" w:rsidRPr="009544AD">
        <w:t>viral suspension</w:t>
      </w:r>
      <w:r w:rsidR="00F24C6B" w:rsidRPr="009544AD">
        <w:t xml:space="preserve"> is harvested, frozen and thawed. This procedure is done </w:t>
      </w:r>
      <w:r w:rsidRPr="009544AD">
        <w:t>twice</w:t>
      </w:r>
      <w:r w:rsidR="00F24C6B" w:rsidRPr="009544AD">
        <w:t xml:space="preserve"> to release the virus. The suspension is collected and the identity of </w:t>
      </w:r>
      <w:r w:rsidR="00805961" w:rsidRPr="009544AD">
        <w:t xml:space="preserve">the </w:t>
      </w:r>
      <w:proofErr w:type="spellStart"/>
      <w:r w:rsidR="00805961" w:rsidRPr="009544AD">
        <w:t>camelpox</w:t>
      </w:r>
      <w:proofErr w:type="spellEnd"/>
      <w:r w:rsidR="00F24C6B" w:rsidRPr="009544AD">
        <w:t xml:space="preserve"> virus is proven using different test methods. The </w:t>
      </w:r>
      <w:r w:rsidRPr="009544AD">
        <w:t xml:space="preserve">virus at its </w:t>
      </w:r>
      <w:r w:rsidR="00805961" w:rsidRPr="009544AD">
        <w:t>eight</w:t>
      </w:r>
      <w:r w:rsidR="001E5B08">
        <w:t>h</w:t>
      </w:r>
      <w:r w:rsidR="00543894">
        <w:t>s</w:t>
      </w:r>
      <w:r w:rsidRPr="009544AD">
        <w:t xml:space="preserve"> passage level </w:t>
      </w:r>
      <w:r w:rsidR="00F24C6B" w:rsidRPr="009544AD">
        <w:t xml:space="preserve">was designated </w:t>
      </w:r>
      <w:r w:rsidRPr="009544AD">
        <w:t>the master seed virus (MSV) and named</w:t>
      </w:r>
      <w:r w:rsidR="00F24C6B" w:rsidRPr="009544AD">
        <w:t xml:space="preserve"> </w:t>
      </w:r>
      <w:r w:rsidRPr="009544AD">
        <w:t>Laayoune T8 strain</w:t>
      </w:r>
      <w:r w:rsidR="00F24C6B" w:rsidRPr="009544AD">
        <w:t>. The MSV is kept fr</w:t>
      </w:r>
      <w:r w:rsidR="00B87A9D" w:rsidRPr="009544AD">
        <w:t xml:space="preserve">ozen </w:t>
      </w:r>
      <w:r w:rsidR="00F24C6B" w:rsidRPr="009544AD">
        <w:t>at –80°C.</w:t>
      </w:r>
    </w:p>
    <w:p w14:paraId="29EDDA23" w14:textId="77777777" w:rsidR="00613C28" w:rsidRPr="009544AD" w:rsidRDefault="00613C28" w:rsidP="00613C28">
      <w:pPr>
        <w:pStyle w:val="111"/>
        <w:rPr>
          <w:bCs/>
        </w:rPr>
      </w:pPr>
      <w:r w:rsidRPr="009544AD">
        <w:rPr>
          <w:bCs/>
        </w:rPr>
        <w:t>2.1.2.</w:t>
      </w:r>
      <w:r w:rsidRPr="009544AD">
        <w:rPr>
          <w:bCs/>
        </w:rPr>
        <w:tab/>
        <w:t>Quality criteria (sterility, purity, freedom from extraneous agents)</w:t>
      </w:r>
    </w:p>
    <w:p w14:paraId="24D62863" w14:textId="1E96E390" w:rsidR="00B87A9D" w:rsidRPr="009544AD" w:rsidRDefault="00B87A9D" w:rsidP="00B87A9D">
      <w:pPr>
        <w:pStyle w:val="111Para"/>
      </w:pPr>
      <w:r w:rsidRPr="009544AD">
        <w:t xml:space="preserve">The purity, identity and titre of the seed virus as well as the purity of the Vero cells used for the vaccine production is proved. The seed virus is demonstrated free from contamination with </w:t>
      </w:r>
      <w:r w:rsidR="000849F7" w:rsidRPr="009544AD">
        <w:t xml:space="preserve">adventitious </w:t>
      </w:r>
      <w:r w:rsidRPr="009544AD">
        <w:t>viruses, bacteria, fungi or mycoplasma.</w:t>
      </w:r>
    </w:p>
    <w:p w14:paraId="6FA54E39" w14:textId="77777777" w:rsidR="00613C28" w:rsidRPr="009544AD" w:rsidRDefault="00613C28" w:rsidP="00613C28">
      <w:pPr>
        <w:pStyle w:val="111"/>
        <w:rPr>
          <w:bCs/>
        </w:rPr>
      </w:pPr>
      <w:r w:rsidRPr="009544AD">
        <w:rPr>
          <w:bCs/>
        </w:rPr>
        <w:t>2.1.3.</w:t>
      </w:r>
      <w:r w:rsidRPr="009544AD">
        <w:rPr>
          <w:bCs/>
        </w:rPr>
        <w:tab/>
        <w:t>Validation as a vaccine strain)</w:t>
      </w:r>
    </w:p>
    <w:p w14:paraId="33B6C3EA" w14:textId="6D0B05C4" w:rsidR="00613C28" w:rsidRPr="009544AD" w:rsidRDefault="009A3AAA" w:rsidP="00CE1ACB">
      <w:pPr>
        <w:pStyle w:val="111Para"/>
      </w:pPr>
      <w:r w:rsidRPr="009544AD">
        <w:t xml:space="preserve">Laayoune T8 strain was validated as </w:t>
      </w:r>
      <w:r w:rsidR="00BC352F" w:rsidRPr="009544AD">
        <w:t xml:space="preserve">a </w:t>
      </w:r>
      <w:r w:rsidRPr="009544AD">
        <w:t xml:space="preserve">vaccine strain after </w:t>
      </w:r>
      <w:r w:rsidR="00085BDB" w:rsidRPr="009544AD">
        <w:t xml:space="preserve">three </w:t>
      </w:r>
      <w:r w:rsidRPr="009544AD">
        <w:t>successive passages on Vero cells using the limit</w:t>
      </w:r>
      <w:r w:rsidR="00085BDB" w:rsidRPr="009544AD">
        <w:t>ing</w:t>
      </w:r>
      <w:r w:rsidRPr="009544AD">
        <w:t xml:space="preserve"> dilution </w:t>
      </w:r>
      <w:r w:rsidR="00085BDB" w:rsidRPr="009544AD">
        <w:t>method to purify the virus</w:t>
      </w:r>
      <w:r w:rsidRPr="009544AD">
        <w:t>. CPE characteristics and the virus titre are reproducible and freedom</w:t>
      </w:r>
      <w:r w:rsidR="00BC352F" w:rsidRPr="009544AD">
        <w:t xml:space="preserve"> from extraneous agent</w:t>
      </w:r>
      <w:r w:rsidR="00543894">
        <w:t>s</w:t>
      </w:r>
      <w:r w:rsidR="00BC352F" w:rsidRPr="009544AD">
        <w:t xml:space="preserve"> proven. </w:t>
      </w:r>
    </w:p>
    <w:p w14:paraId="0586AE5F" w14:textId="77777777" w:rsidR="00613C28" w:rsidRPr="009544AD" w:rsidRDefault="00613C28" w:rsidP="00613C28">
      <w:pPr>
        <w:pStyle w:val="11"/>
        <w:rPr>
          <w:bCs/>
        </w:rPr>
      </w:pPr>
      <w:r w:rsidRPr="009544AD">
        <w:rPr>
          <w:bCs/>
        </w:rPr>
        <w:t>2.2.</w:t>
      </w:r>
      <w:r w:rsidRPr="009544AD">
        <w:rPr>
          <w:bCs/>
        </w:rPr>
        <w:tab/>
        <w:t>Method of manufacture</w:t>
      </w:r>
    </w:p>
    <w:p w14:paraId="1ADC1522" w14:textId="77777777" w:rsidR="00613C28" w:rsidRPr="009544AD" w:rsidRDefault="00613C28" w:rsidP="00613C28">
      <w:pPr>
        <w:pStyle w:val="111"/>
        <w:rPr>
          <w:bCs/>
        </w:rPr>
      </w:pPr>
      <w:r w:rsidRPr="009544AD">
        <w:rPr>
          <w:bCs/>
        </w:rPr>
        <w:t>2.2.1.</w:t>
      </w:r>
      <w:r w:rsidRPr="009544AD">
        <w:rPr>
          <w:bCs/>
        </w:rPr>
        <w:tab/>
        <w:t>Procedure</w:t>
      </w:r>
    </w:p>
    <w:p w14:paraId="55DDF122" w14:textId="597554F4" w:rsidR="00784550" w:rsidRPr="009544AD" w:rsidRDefault="00784550" w:rsidP="00B04696">
      <w:pPr>
        <w:pStyle w:val="111Para"/>
      </w:pPr>
      <w:r w:rsidRPr="009544AD">
        <w:t>The seed virus is grow</w:t>
      </w:r>
      <w:r w:rsidR="000849F7" w:rsidRPr="009544AD">
        <w:t>n</w:t>
      </w:r>
      <w:r w:rsidRPr="009544AD">
        <w:t xml:space="preserve"> on Vero cells</w:t>
      </w:r>
      <w:r w:rsidR="00BC352F" w:rsidRPr="009544AD">
        <w:t>.</w:t>
      </w:r>
      <w:r w:rsidRPr="009544AD">
        <w:t xml:space="preserve"> </w:t>
      </w:r>
      <w:r w:rsidR="00BC352F" w:rsidRPr="009544AD">
        <w:t xml:space="preserve">Cells </w:t>
      </w:r>
      <w:r w:rsidRPr="009544AD">
        <w:t>used for vaccine production are prepared using a seed-lot system. The infection with the seed</w:t>
      </w:r>
      <w:r w:rsidR="00BC352F" w:rsidRPr="009544AD">
        <w:t xml:space="preserve"> virus takes</w:t>
      </w:r>
      <w:r w:rsidRPr="009544AD">
        <w:t xml:space="preserve"> place </w:t>
      </w:r>
      <w:r w:rsidR="00B04696" w:rsidRPr="009544AD">
        <w:t xml:space="preserve">on confluent Vero cells </w:t>
      </w:r>
      <w:r w:rsidRPr="009544AD">
        <w:t>in roller bottle</w:t>
      </w:r>
      <w:r w:rsidR="00310475">
        <w:t>s</w:t>
      </w:r>
      <w:r w:rsidRPr="009544AD">
        <w:t xml:space="preserve"> or </w:t>
      </w:r>
      <w:r w:rsidR="00042507" w:rsidRPr="009544AD">
        <w:t>i</w:t>
      </w:r>
      <w:r w:rsidRPr="009544AD">
        <w:t>n bio</w:t>
      </w:r>
      <w:r w:rsidR="00C573C5" w:rsidRPr="009544AD">
        <w:t>-</w:t>
      </w:r>
      <w:r w:rsidRPr="009544AD">
        <w:t>generator</w:t>
      </w:r>
      <w:r w:rsidR="00310475">
        <w:t>s</w:t>
      </w:r>
      <w:r w:rsidRPr="009544AD">
        <w:t xml:space="preserve"> with micro</w:t>
      </w:r>
      <w:r w:rsidR="00C573C5" w:rsidRPr="009544AD">
        <w:t>-</w:t>
      </w:r>
      <w:r w:rsidRPr="009544AD">
        <w:t xml:space="preserve">carriers. </w:t>
      </w:r>
      <w:r w:rsidR="00042507" w:rsidRPr="009544AD">
        <w:t>Viral suspension</w:t>
      </w:r>
      <w:r w:rsidRPr="009544AD">
        <w:t xml:space="preserve"> is harvested when the cells are </w:t>
      </w:r>
      <w:r w:rsidRPr="009544AD">
        <w:lastRenderedPageBreak/>
        <w:t xml:space="preserve">80% infected with </w:t>
      </w:r>
      <w:proofErr w:type="spellStart"/>
      <w:r w:rsidR="00805961" w:rsidRPr="009544AD">
        <w:t>camelpox</w:t>
      </w:r>
      <w:proofErr w:type="spellEnd"/>
      <w:r w:rsidRPr="009544AD">
        <w:t xml:space="preserve"> virus. The </w:t>
      </w:r>
      <w:r w:rsidR="00042507" w:rsidRPr="009544AD">
        <w:t>virus</w:t>
      </w:r>
      <w:r w:rsidRPr="009544AD">
        <w:t xml:space="preserve"> is inactivated using </w:t>
      </w:r>
      <w:proofErr w:type="spellStart"/>
      <w:r w:rsidRPr="009544AD">
        <w:t>betapropiolactone</w:t>
      </w:r>
      <w:proofErr w:type="spellEnd"/>
      <w:r w:rsidRPr="009544AD">
        <w:t xml:space="preserve"> then mixed with aluminium </w:t>
      </w:r>
      <w:r w:rsidR="00042507" w:rsidRPr="009544AD">
        <w:t xml:space="preserve">hydroxide </w:t>
      </w:r>
      <w:r w:rsidRPr="009544AD">
        <w:t>as an adjuvant and</w:t>
      </w:r>
      <w:r w:rsidR="00C573C5" w:rsidRPr="009544AD">
        <w:t xml:space="preserve"> </w:t>
      </w:r>
      <w:r w:rsidRPr="009544AD">
        <w:t>bottled.</w:t>
      </w:r>
    </w:p>
    <w:p w14:paraId="519A181E" w14:textId="28C0617B" w:rsidR="00613C28" w:rsidRPr="009544AD" w:rsidRDefault="00613C28" w:rsidP="00613C28">
      <w:pPr>
        <w:pStyle w:val="111"/>
        <w:rPr>
          <w:bCs/>
        </w:rPr>
      </w:pPr>
      <w:r w:rsidRPr="009544AD">
        <w:rPr>
          <w:bCs/>
        </w:rPr>
        <w:t>2.2.2.</w:t>
      </w:r>
      <w:r w:rsidRPr="009544AD">
        <w:rPr>
          <w:bCs/>
        </w:rPr>
        <w:tab/>
        <w:t>Requirements for ingredients</w:t>
      </w:r>
    </w:p>
    <w:p w14:paraId="4CFE9DBB" w14:textId="6AC6120F" w:rsidR="00042507" w:rsidRPr="009544AD" w:rsidRDefault="00042507" w:rsidP="00042507">
      <w:pPr>
        <w:pStyle w:val="111Para"/>
      </w:pPr>
      <w:r w:rsidRPr="009544AD">
        <w:t xml:space="preserve">The seed virus, cell cultures and all animal origin ingredients used in the production are proved free of adventitious viruses, bacteria, fungi and mycoplasma. </w:t>
      </w:r>
    </w:p>
    <w:p w14:paraId="441AD33A" w14:textId="77777777" w:rsidR="00613C28" w:rsidRPr="009544AD" w:rsidRDefault="00613C28" w:rsidP="00613C28">
      <w:pPr>
        <w:pStyle w:val="111"/>
        <w:rPr>
          <w:bCs/>
        </w:rPr>
      </w:pPr>
      <w:r w:rsidRPr="009544AD">
        <w:rPr>
          <w:bCs/>
        </w:rPr>
        <w:t>2.2.3.</w:t>
      </w:r>
      <w:r w:rsidRPr="009544AD">
        <w:rPr>
          <w:bCs/>
        </w:rPr>
        <w:tab/>
        <w:t>In-process controls</w:t>
      </w:r>
    </w:p>
    <w:p w14:paraId="54261E47" w14:textId="575CA181" w:rsidR="00613C28" w:rsidRPr="009544AD" w:rsidRDefault="000E74D0" w:rsidP="00214736">
      <w:pPr>
        <w:pStyle w:val="111Para"/>
      </w:pPr>
      <w:r w:rsidRPr="009544AD">
        <w:t>Cell</w:t>
      </w:r>
      <w:r w:rsidR="00042507" w:rsidRPr="009544AD">
        <w:t xml:space="preserve"> sterility and purity are tested during </w:t>
      </w:r>
      <w:r w:rsidRPr="009544AD">
        <w:t xml:space="preserve">the </w:t>
      </w:r>
      <w:r w:rsidR="00042507" w:rsidRPr="009544AD">
        <w:t xml:space="preserve">production process. The harvested virus is tested for sterility and infectious titre, </w:t>
      </w:r>
      <w:r w:rsidR="00214736" w:rsidRPr="009544AD">
        <w:t xml:space="preserve">the inactivated antigen is also checked for sterility and complete inactivation. </w:t>
      </w:r>
    </w:p>
    <w:p w14:paraId="55646B33" w14:textId="77777777" w:rsidR="00613C28" w:rsidRPr="009544AD" w:rsidRDefault="00613C28" w:rsidP="00613C28">
      <w:pPr>
        <w:pStyle w:val="111"/>
        <w:rPr>
          <w:bCs/>
        </w:rPr>
      </w:pPr>
      <w:r w:rsidRPr="009544AD">
        <w:rPr>
          <w:bCs/>
        </w:rPr>
        <w:t>2.2.4.</w:t>
      </w:r>
      <w:r w:rsidRPr="009544AD">
        <w:rPr>
          <w:bCs/>
        </w:rPr>
        <w:tab/>
        <w:t>Final product batch tests</w:t>
      </w:r>
    </w:p>
    <w:p w14:paraId="08716277" w14:textId="4841E8AA" w:rsidR="00613C28" w:rsidRPr="009544AD" w:rsidRDefault="00613C28" w:rsidP="00042507">
      <w:pPr>
        <w:pStyle w:val="i"/>
      </w:pPr>
      <w:proofErr w:type="spellStart"/>
      <w:r w:rsidRPr="009544AD">
        <w:t>i</w:t>
      </w:r>
      <w:proofErr w:type="spellEnd"/>
      <w:r w:rsidRPr="009544AD">
        <w:t>)</w:t>
      </w:r>
      <w:r w:rsidRPr="009544AD">
        <w:tab/>
        <w:t>Sterility/purity</w:t>
      </w:r>
      <w:r w:rsidR="00042507" w:rsidRPr="009544AD">
        <w:t xml:space="preserve"> </w:t>
      </w:r>
    </w:p>
    <w:p w14:paraId="00DB2808" w14:textId="0004C8A9" w:rsidR="00613C28" w:rsidRPr="009544AD" w:rsidRDefault="00613C28" w:rsidP="00613C28">
      <w:pPr>
        <w:pStyle w:val="afourthpara"/>
      </w:pPr>
      <w:r w:rsidRPr="009544AD">
        <w:t xml:space="preserve">Tests for sterility and freedom from contamination </w:t>
      </w:r>
      <w:r w:rsidR="00FC44DD" w:rsidRPr="009544AD">
        <w:t xml:space="preserve">of biological materials </w:t>
      </w:r>
      <w:r w:rsidR="00FC44DD">
        <w:t xml:space="preserve">intended for veterinary use </w:t>
      </w:r>
      <w:r w:rsidRPr="009544AD">
        <w:t>is found in chapter 1.1.</w:t>
      </w:r>
      <w:r w:rsidR="000417E2">
        <w:t>9</w:t>
      </w:r>
      <w:r w:rsidRPr="009544AD">
        <w:t>.</w:t>
      </w:r>
    </w:p>
    <w:p w14:paraId="729B623E" w14:textId="77777777" w:rsidR="00613C28" w:rsidRPr="009544AD" w:rsidRDefault="00613C28" w:rsidP="00613C28">
      <w:pPr>
        <w:pStyle w:val="i"/>
      </w:pPr>
      <w:r w:rsidRPr="009544AD">
        <w:t>ii)</w:t>
      </w:r>
      <w:r w:rsidRPr="009544AD">
        <w:tab/>
        <w:t>Identity</w:t>
      </w:r>
    </w:p>
    <w:p w14:paraId="4E14CC3A" w14:textId="58DBCC63" w:rsidR="00613C28" w:rsidRPr="009544AD" w:rsidRDefault="009E41A9" w:rsidP="00214736">
      <w:pPr>
        <w:pStyle w:val="afourthpara"/>
      </w:pPr>
      <w:r w:rsidRPr="009544AD">
        <w:t xml:space="preserve">Identity of the vaccine virus </w:t>
      </w:r>
      <w:r w:rsidRPr="006F23FD">
        <w:rPr>
          <w:strike/>
        </w:rPr>
        <w:t>could be</w:t>
      </w:r>
      <w:r w:rsidR="006F23FD" w:rsidRPr="006F23FD">
        <w:rPr>
          <w:strike/>
        </w:rPr>
        <w:t xml:space="preserve"> </w:t>
      </w:r>
      <w:r w:rsidR="00FF3401" w:rsidRPr="006F23FD">
        <w:rPr>
          <w:u w:val="double"/>
        </w:rPr>
        <w:t>is</w:t>
      </w:r>
      <w:r w:rsidRPr="009544AD">
        <w:t xml:space="preserve"> confirmed by PCR on the inactivated final product</w:t>
      </w:r>
      <w:r w:rsidR="00214736" w:rsidRPr="009544AD">
        <w:t>.</w:t>
      </w:r>
    </w:p>
    <w:p w14:paraId="0EEB9B13" w14:textId="77777777" w:rsidR="00613C28" w:rsidRPr="009544AD" w:rsidRDefault="00613C28" w:rsidP="00613C28">
      <w:pPr>
        <w:pStyle w:val="i"/>
      </w:pPr>
      <w:r w:rsidRPr="009544AD">
        <w:t>iii)</w:t>
      </w:r>
      <w:r w:rsidRPr="009544AD">
        <w:tab/>
        <w:t>Safety</w:t>
      </w:r>
    </w:p>
    <w:p w14:paraId="0D64FB92" w14:textId="293A3FED" w:rsidR="00214736" w:rsidRPr="009544AD" w:rsidRDefault="00214736" w:rsidP="00B04696">
      <w:pPr>
        <w:pStyle w:val="afourthpara"/>
      </w:pPr>
      <w:r w:rsidRPr="009544AD">
        <w:t>Using the recommended route of administration, each batch of vaccine is tested in two naive camels, using two</w:t>
      </w:r>
      <w:r w:rsidR="000E74D0" w:rsidRPr="009544AD">
        <w:t xml:space="preserve"> times the </w:t>
      </w:r>
      <w:r w:rsidR="00D60C74" w:rsidRPr="009544AD">
        <w:t xml:space="preserve">recommended field </w:t>
      </w:r>
      <w:r w:rsidR="000E74D0" w:rsidRPr="009544AD">
        <w:t>dose</w:t>
      </w:r>
      <w:r w:rsidRPr="009544AD">
        <w:t xml:space="preserve"> per animal. The animals are observed </w:t>
      </w:r>
      <w:r w:rsidR="000E74D0" w:rsidRPr="009544AD">
        <w:t xml:space="preserve">for </w:t>
      </w:r>
      <w:r w:rsidRPr="009544AD">
        <w:t>14 days for any adverse reactions.</w:t>
      </w:r>
    </w:p>
    <w:p w14:paraId="0C764418" w14:textId="15A4FCDA" w:rsidR="00613C28" w:rsidRPr="009544AD" w:rsidRDefault="00FC44DD" w:rsidP="00613C28">
      <w:pPr>
        <w:pStyle w:val="i"/>
      </w:pPr>
      <w:r>
        <w:t>iv</w:t>
      </w:r>
      <w:r w:rsidR="00613C28" w:rsidRPr="009544AD">
        <w:t>)</w:t>
      </w:r>
      <w:r w:rsidR="00613C28" w:rsidRPr="009544AD">
        <w:tab/>
        <w:t>Batch potency</w:t>
      </w:r>
    </w:p>
    <w:p w14:paraId="28A11D10" w14:textId="5BD8E1D0" w:rsidR="00214736" w:rsidRPr="009544AD" w:rsidRDefault="00214736" w:rsidP="00214736">
      <w:pPr>
        <w:pStyle w:val="afourthpara"/>
      </w:pPr>
      <w:r w:rsidRPr="009544AD">
        <w:t xml:space="preserve">The amount of virus present in the inactivated vaccine is measured by titration on cell culture before inactivation and by real time PCR carried out on antigen before addition of the adjuvant. </w:t>
      </w:r>
    </w:p>
    <w:p w14:paraId="313D457E" w14:textId="77777777" w:rsidR="00613C28" w:rsidRPr="009544AD" w:rsidRDefault="00613C28" w:rsidP="00613C28">
      <w:pPr>
        <w:pStyle w:val="11"/>
        <w:rPr>
          <w:bCs/>
        </w:rPr>
      </w:pPr>
      <w:r w:rsidRPr="009544AD">
        <w:rPr>
          <w:bCs/>
        </w:rPr>
        <w:t>2.3.</w:t>
      </w:r>
      <w:r w:rsidRPr="009544AD">
        <w:rPr>
          <w:bCs/>
        </w:rPr>
        <w:tab/>
        <w:t>Requirements for authorisation/registration/licensing</w:t>
      </w:r>
    </w:p>
    <w:p w14:paraId="169FB563" w14:textId="77777777" w:rsidR="00613C28" w:rsidRPr="009544AD" w:rsidRDefault="00613C28" w:rsidP="00613C28">
      <w:pPr>
        <w:pStyle w:val="111"/>
        <w:rPr>
          <w:bCs/>
        </w:rPr>
      </w:pPr>
      <w:r w:rsidRPr="009544AD">
        <w:rPr>
          <w:bCs/>
        </w:rPr>
        <w:t>2.3.1.</w:t>
      </w:r>
      <w:r w:rsidRPr="009544AD">
        <w:rPr>
          <w:bCs/>
        </w:rPr>
        <w:tab/>
        <w:t>Manufacturing process</w:t>
      </w:r>
    </w:p>
    <w:p w14:paraId="07FE5CCD" w14:textId="1E754A14" w:rsidR="00613C28" w:rsidRPr="009544AD" w:rsidRDefault="009E41A9" w:rsidP="00613C28">
      <w:pPr>
        <w:pStyle w:val="111Para"/>
      </w:pPr>
      <w:r w:rsidRPr="009544AD">
        <w:t xml:space="preserve">The inactivated </w:t>
      </w:r>
      <w:proofErr w:type="spellStart"/>
      <w:r w:rsidR="00805961" w:rsidRPr="009544AD">
        <w:t>camelpox</w:t>
      </w:r>
      <w:proofErr w:type="spellEnd"/>
      <w:r w:rsidRPr="009544AD">
        <w:t xml:space="preserve"> vaccine is produced according </w:t>
      </w:r>
      <w:r w:rsidR="000E74D0" w:rsidRPr="009544AD">
        <w:t>to good manufacturing practices (</w:t>
      </w:r>
      <w:r w:rsidRPr="009544AD">
        <w:t>GMP</w:t>
      </w:r>
      <w:r w:rsidR="000E74D0" w:rsidRPr="009544AD">
        <w:t>)</w:t>
      </w:r>
      <w:r w:rsidRPr="009544AD">
        <w:t xml:space="preserve"> standards and procedures recommended for inactivated veterinary vaccines.</w:t>
      </w:r>
    </w:p>
    <w:p w14:paraId="443AE30A" w14:textId="77777777" w:rsidR="00613C28" w:rsidRPr="009544AD" w:rsidRDefault="00613C28" w:rsidP="00613C28">
      <w:pPr>
        <w:pStyle w:val="111"/>
        <w:rPr>
          <w:bCs/>
        </w:rPr>
      </w:pPr>
      <w:r w:rsidRPr="009544AD">
        <w:rPr>
          <w:bCs/>
        </w:rPr>
        <w:t>2.3.2.</w:t>
      </w:r>
      <w:r w:rsidRPr="009544AD">
        <w:rPr>
          <w:bCs/>
        </w:rPr>
        <w:tab/>
        <w:t>Safety requirements</w:t>
      </w:r>
    </w:p>
    <w:p w14:paraId="2224C3D0" w14:textId="77777777" w:rsidR="00613C28" w:rsidRPr="009544AD" w:rsidRDefault="00613C28" w:rsidP="00613C28">
      <w:pPr>
        <w:pStyle w:val="i"/>
      </w:pPr>
      <w:proofErr w:type="spellStart"/>
      <w:r w:rsidRPr="009544AD">
        <w:t>i</w:t>
      </w:r>
      <w:proofErr w:type="spellEnd"/>
      <w:r w:rsidRPr="009544AD">
        <w:t>)</w:t>
      </w:r>
      <w:r w:rsidRPr="009544AD">
        <w:tab/>
        <w:t>Target and non-target animal safety</w:t>
      </w:r>
    </w:p>
    <w:p w14:paraId="3DB2FA87" w14:textId="6643F58B" w:rsidR="00214736" w:rsidRPr="009544AD" w:rsidRDefault="007730B8" w:rsidP="009E41A9">
      <w:pPr>
        <w:pStyle w:val="afourthpara"/>
      </w:pPr>
      <w:r w:rsidRPr="009544AD">
        <w:t>Inactivated</w:t>
      </w:r>
      <w:r w:rsidR="00214736" w:rsidRPr="009544AD">
        <w:t xml:space="preserve"> </w:t>
      </w:r>
      <w:proofErr w:type="spellStart"/>
      <w:r w:rsidR="00805961" w:rsidRPr="009544AD">
        <w:t>camelpox</w:t>
      </w:r>
      <w:proofErr w:type="spellEnd"/>
      <w:r w:rsidR="00214736" w:rsidRPr="009544AD">
        <w:t xml:space="preserve"> vaccine causes no clinical signs</w:t>
      </w:r>
      <w:r w:rsidRPr="009544AD">
        <w:t xml:space="preserve"> or rise in body temperature</w:t>
      </w:r>
      <w:r w:rsidR="00214736" w:rsidRPr="009544AD">
        <w:t xml:space="preserve"> </w:t>
      </w:r>
      <w:r w:rsidRPr="009544AD">
        <w:t>when administered to</w:t>
      </w:r>
      <w:r w:rsidR="00214736" w:rsidRPr="009544AD">
        <w:t xml:space="preserve"> </w:t>
      </w:r>
      <w:proofErr w:type="spellStart"/>
      <w:r w:rsidR="00805961" w:rsidRPr="009544AD">
        <w:t>camelpox</w:t>
      </w:r>
      <w:proofErr w:type="spellEnd"/>
      <w:r w:rsidR="00214736" w:rsidRPr="009544AD">
        <w:t xml:space="preserve">-susceptible </w:t>
      </w:r>
      <w:r w:rsidRPr="009544AD">
        <w:t xml:space="preserve">animals. An inflammatory reaction due to the presence of the adjuvant may appear </w:t>
      </w:r>
      <w:r w:rsidR="000E74D0" w:rsidRPr="009544AD">
        <w:t>at the</w:t>
      </w:r>
      <w:r w:rsidRPr="009544AD">
        <w:t xml:space="preserve"> injection site with no influence on the animal</w:t>
      </w:r>
      <w:r w:rsidR="000E74D0" w:rsidRPr="009544AD">
        <w:t>’s</w:t>
      </w:r>
      <w:r w:rsidRPr="009544AD">
        <w:t xml:space="preserve"> </w:t>
      </w:r>
      <w:r w:rsidR="009E41A9" w:rsidRPr="0086775A">
        <w:rPr>
          <w:strike/>
          <w:highlight w:val="yellow"/>
        </w:rPr>
        <w:t>good</w:t>
      </w:r>
      <w:r w:rsidR="009E41A9" w:rsidRPr="0086775A">
        <w:rPr>
          <w:strike/>
        </w:rPr>
        <w:t xml:space="preserve"> </w:t>
      </w:r>
      <w:r w:rsidR="009E41A9" w:rsidRPr="009544AD">
        <w:t>hea</w:t>
      </w:r>
      <w:r w:rsidR="000E74D0" w:rsidRPr="009544AD">
        <w:t>l</w:t>
      </w:r>
      <w:r w:rsidR="009E41A9" w:rsidRPr="009544AD">
        <w:t>th</w:t>
      </w:r>
      <w:r w:rsidRPr="009544AD">
        <w:t>.</w:t>
      </w:r>
    </w:p>
    <w:p w14:paraId="6D70A95A" w14:textId="77777777" w:rsidR="00613C28" w:rsidRPr="009544AD" w:rsidRDefault="00613C28" w:rsidP="00613C28">
      <w:pPr>
        <w:pStyle w:val="i"/>
      </w:pPr>
      <w:r w:rsidRPr="009544AD">
        <w:t>ii)</w:t>
      </w:r>
      <w:r w:rsidRPr="009544AD">
        <w:tab/>
        <w:t>Reversion-to-virulence for attenuated/live vaccines and environmental considerations</w:t>
      </w:r>
    </w:p>
    <w:p w14:paraId="161DE3B3" w14:textId="0AF39C41" w:rsidR="00613C28" w:rsidRPr="009544AD" w:rsidRDefault="007730B8" w:rsidP="00613C28">
      <w:pPr>
        <w:pStyle w:val="afourthpara"/>
      </w:pPr>
      <w:r w:rsidRPr="009544AD">
        <w:t xml:space="preserve">Not applicable for inactivated vaccines. </w:t>
      </w:r>
    </w:p>
    <w:p w14:paraId="13B50333" w14:textId="77777777" w:rsidR="00613C28" w:rsidRPr="009544AD" w:rsidRDefault="00613C28" w:rsidP="00613C28">
      <w:pPr>
        <w:pStyle w:val="i"/>
      </w:pPr>
      <w:r w:rsidRPr="009544AD">
        <w:t>iii)</w:t>
      </w:r>
      <w:r w:rsidRPr="009544AD">
        <w:tab/>
        <w:t>Precautions (hazards)</w:t>
      </w:r>
    </w:p>
    <w:p w14:paraId="309F8A9A" w14:textId="1DE3C8EC" w:rsidR="007730B8" w:rsidRPr="009544AD" w:rsidRDefault="007730B8" w:rsidP="007730B8">
      <w:pPr>
        <w:pStyle w:val="afourthpara"/>
      </w:pPr>
      <w:r w:rsidRPr="009544AD">
        <w:t xml:space="preserve">There are no precautions necessary as </w:t>
      </w:r>
      <w:proofErr w:type="spellStart"/>
      <w:r w:rsidR="00805961" w:rsidRPr="009544AD">
        <w:t>camelpox</w:t>
      </w:r>
      <w:proofErr w:type="spellEnd"/>
      <w:r w:rsidRPr="009544AD">
        <w:t xml:space="preserve"> is host specific.</w:t>
      </w:r>
    </w:p>
    <w:p w14:paraId="533E43D9" w14:textId="77777777" w:rsidR="00613C28" w:rsidRPr="009544AD" w:rsidRDefault="00613C28" w:rsidP="00613C28">
      <w:pPr>
        <w:pStyle w:val="111"/>
        <w:rPr>
          <w:bCs/>
        </w:rPr>
      </w:pPr>
      <w:r w:rsidRPr="009544AD">
        <w:rPr>
          <w:bCs/>
        </w:rPr>
        <w:t>2.3.3.</w:t>
      </w:r>
      <w:r w:rsidRPr="009544AD">
        <w:rPr>
          <w:bCs/>
        </w:rPr>
        <w:tab/>
        <w:t>Efficacy requirements</w:t>
      </w:r>
    </w:p>
    <w:p w14:paraId="0BE1D94D" w14:textId="764BD970" w:rsidR="007730B8" w:rsidRPr="009544AD" w:rsidRDefault="007730B8" w:rsidP="009E41A9">
      <w:pPr>
        <w:pStyle w:val="111Para"/>
      </w:pPr>
      <w:r w:rsidRPr="009544AD">
        <w:t xml:space="preserve">Efficacy is demonstrated in </w:t>
      </w:r>
      <w:r w:rsidR="000E74D0" w:rsidRPr="009544AD">
        <w:t>six</w:t>
      </w:r>
      <w:r w:rsidR="00AD0642" w:rsidRPr="009544AD">
        <w:t xml:space="preserve"> </w:t>
      </w:r>
      <w:r w:rsidRPr="009544AD">
        <w:t xml:space="preserve">naive </w:t>
      </w:r>
      <w:r w:rsidR="00BA73E1" w:rsidRPr="009544AD">
        <w:t xml:space="preserve">calf </w:t>
      </w:r>
      <w:r w:rsidRPr="009544AD">
        <w:t xml:space="preserve">dromedaries </w:t>
      </w:r>
      <w:r w:rsidR="00D36F7F" w:rsidRPr="009544AD">
        <w:t>challenged with a</w:t>
      </w:r>
      <w:r w:rsidR="00A638FF" w:rsidRPr="009544AD">
        <w:t xml:space="preserve"> virulent</w:t>
      </w:r>
      <w:r w:rsidR="00D36F7F" w:rsidRPr="009544AD">
        <w:t xml:space="preserve"> field strain after two </w:t>
      </w:r>
      <w:r w:rsidR="009E41A9" w:rsidRPr="009544AD">
        <w:t>injection</w:t>
      </w:r>
      <w:r w:rsidR="000E74D0" w:rsidRPr="009544AD">
        <w:t>s</w:t>
      </w:r>
      <w:r w:rsidRPr="009544AD">
        <w:t xml:space="preserve"> with the </w:t>
      </w:r>
      <w:r w:rsidR="00BA73E1" w:rsidRPr="009544AD">
        <w:t>inactiv</w:t>
      </w:r>
      <w:r w:rsidRPr="009544AD">
        <w:t>ated vaccine</w:t>
      </w:r>
      <w:r w:rsidR="009E41A9" w:rsidRPr="009544AD">
        <w:t xml:space="preserve"> </w:t>
      </w:r>
      <w:r w:rsidR="000E74D0" w:rsidRPr="009544AD">
        <w:t>at a 3-</w:t>
      </w:r>
      <w:r w:rsidR="009E41A9" w:rsidRPr="009544AD">
        <w:t>month interval</w:t>
      </w:r>
      <w:r w:rsidRPr="009544AD">
        <w:t xml:space="preserve">. </w:t>
      </w:r>
      <w:r w:rsidR="00D36F7F" w:rsidRPr="009544AD">
        <w:t xml:space="preserve">The virulent strain is titrated on the animal skin comparatively on </w:t>
      </w:r>
      <w:r w:rsidR="000E74D0" w:rsidRPr="009544AD">
        <w:t>four</w:t>
      </w:r>
      <w:r w:rsidR="00AD0642" w:rsidRPr="009544AD">
        <w:t xml:space="preserve"> </w:t>
      </w:r>
      <w:r w:rsidR="00D36F7F" w:rsidRPr="009544AD">
        <w:t xml:space="preserve">vaccinated and </w:t>
      </w:r>
      <w:r w:rsidR="000E74D0" w:rsidRPr="009544AD">
        <w:t>two</w:t>
      </w:r>
      <w:r w:rsidR="00AD0642" w:rsidRPr="009544AD">
        <w:t xml:space="preserve"> </w:t>
      </w:r>
      <w:r w:rsidR="00D36F7F" w:rsidRPr="009544AD">
        <w:t>unvaccinated control animals. The obtained infectious titre on vaccinated animals is at least 1.5 log ID</w:t>
      </w:r>
      <w:r w:rsidR="00D36F7F" w:rsidRPr="00027048">
        <w:rPr>
          <w:szCs w:val="14"/>
          <w:vertAlign w:val="subscript"/>
        </w:rPr>
        <w:t>50</w:t>
      </w:r>
      <w:r w:rsidR="00D36F7F" w:rsidRPr="009544AD">
        <w:t xml:space="preserve"> less than the titre obtained on control animals. In addition</w:t>
      </w:r>
      <w:r w:rsidR="000E74D0" w:rsidRPr="009544AD">
        <w:t>,</w:t>
      </w:r>
      <w:r w:rsidR="00D36F7F" w:rsidRPr="009544AD">
        <w:t xml:space="preserve"> vaccinated</w:t>
      </w:r>
      <w:r w:rsidRPr="009544AD">
        <w:t xml:space="preserve"> animals do not show any signs</w:t>
      </w:r>
      <w:r w:rsidR="00D36F7F" w:rsidRPr="009544AD">
        <w:t xml:space="preserve"> of generali</w:t>
      </w:r>
      <w:r w:rsidR="000E74D0" w:rsidRPr="009544AD">
        <w:t>s</w:t>
      </w:r>
      <w:r w:rsidR="00D36F7F" w:rsidRPr="009544AD">
        <w:t>ed disease</w:t>
      </w:r>
      <w:r w:rsidRPr="009544AD">
        <w:t xml:space="preserve">. The efficacy of the </w:t>
      </w:r>
      <w:r w:rsidR="00BA73E1" w:rsidRPr="009544AD">
        <w:t xml:space="preserve">inactivated </w:t>
      </w:r>
      <w:r w:rsidRPr="009544AD">
        <w:t xml:space="preserve">vaccine was </w:t>
      </w:r>
      <w:r w:rsidR="00BA73E1" w:rsidRPr="009544AD">
        <w:t>also</w:t>
      </w:r>
      <w:r w:rsidRPr="009544AD">
        <w:t xml:space="preserve"> proven by the development of antibodies after </w:t>
      </w:r>
      <w:r w:rsidRPr="009544AD">
        <w:lastRenderedPageBreak/>
        <w:t>vaccination that were evaluated by ELISA and the virus neutralisation test</w:t>
      </w:r>
      <w:r w:rsidR="009E41A9" w:rsidRPr="009544AD">
        <w:t xml:space="preserve"> (El</w:t>
      </w:r>
      <w:r w:rsidR="00FC44DD">
        <w:t xml:space="preserve"> </w:t>
      </w:r>
      <w:proofErr w:type="spellStart"/>
      <w:r w:rsidR="00FC44DD" w:rsidRPr="009544AD">
        <w:t>Harrak</w:t>
      </w:r>
      <w:proofErr w:type="spellEnd"/>
      <w:r w:rsidR="00FC44DD" w:rsidRPr="009544AD">
        <w:t xml:space="preserve"> </w:t>
      </w:r>
      <w:r w:rsidR="00805961" w:rsidRPr="009544AD">
        <w:t>&amp;</w:t>
      </w:r>
      <w:r w:rsidR="009E41A9" w:rsidRPr="009544AD">
        <w:t xml:space="preserve"> </w:t>
      </w:r>
      <w:proofErr w:type="spellStart"/>
      <w:r w:rsidR="00805961" w:rsidRPr="009544AD">
        <w:t>Loutfi</w:t>
      </w:r>
      <w:proofErr w:type="spellEnd"/>
      <w:r w:rsidR="00805961" w:rsidRPr="009544AD">
        <w:t>,</w:t>
      </w:r>
      <w:r w:rsidR="009E41A9" w:rsidRPr="009544AD">
        <w:t xml:space="preserve"> 1999)</w:t>
      </w:r>
      <w:r w:rsidRPr="009544AD">
        <w:t>.</w:t>
      </w:r>
    </w:p>
    <w:p w14:paraId="131F3E53" w14:textId="7BD31CA3" w:rsidR="00613C28" w:rsidRPr="009544AD" w:rsidRDefault="00613C28" w:rsidP="00613C28">
      <w:pPr>
        <w:pStyle w:val="111"/>
        <w:rPr>
          <w:bCs/>
        </w:rPr>
      </w:pPr>
      <w:r w:rsidRPr="009544AD">
        <w:rPr>
          <w:bCs/>
        </w:rPr>
        <w:t>2.3.4.</w:t>
      </w:r>
      <w:r w:rsidRPr="009544AD">
        <w:rPr>
          <w:bCs/>
        </w:rPr>
        <w:tab/>
      </w:r>
      <w:r w:rsidRPr="009544AD">
        <w:rPr>
          <w:bCs/>
        </w:rPr>
        <w:tab/>
        <w:t>Vaccines permitting a DIVA strategy (detection of infection in vaccinated animals)</w:t>
      </w:r>
    </w:p>
    <w:p w14:paraId="30A6A595" w14:textId="3CBB9FA1" w:rsidR="00613C28" w:rsidRPr="009544AD" w:rsidRDefault="00BA73E1" w:rsidP="00613C28">
      <w:pPr>
        <w:pStyle w:val="111Para"/>
      </w:pPr>
      <w:r w:rsidRPr="009544AD">
        <w:t xml:space="preserve">There is no vaccine available permitting a DIVA strategy for </w:t>
      </w:r>
      <w:proofErr w:type="spellStart"/>
      <w:r w:rsidR="00805961" w:rsidRPr="009544AD">
        <w:t>camelpox</w:t>
      </w:r>
      <w:proofErr w:type="spellEnd"/>
      <w:r w:rsidRPr="009544AD">
        <w:t xml:space="preserve"> control.</w:t>
      </w:r>
    </w:p>
    <w:p w14:paraId="042B1E26" w14:textId="77777777" w:rsidR="00613C28" w:rsidRPr="009544AD" w:rsidRDefault="00613C28" w:rsidP="00613C28">
      <w:pPr>
        <w:pStyle w:val="111"/>
        <w:rPr>
          <w:bCs/>
        </w:rPr>
      </w:pPr>
      <w:r w:rsidRPr="009544AD">
        <w:rPr>
          <w:bCs/>
        </w:rPr>
        <w:t>2.3.5.</w:t>
      </w:r>
      <w:r w:rsidRPr="009544AD">
        <w:rPr>
          <w:bCs/>
        </w:rPr>
        <w:tab/>
      </w:r>
      <w:r w:rsidRPr="009544AD">
        <w:rPr>
          <w:bCs/>
        </w:rPr>
        <w:tab/>
        <w:t>Duration of immunity</w:t>
      </w:r>
    </w:p>
    <w:p w14:paraId="05304331" w14:textId="29786504" w:rsidR="00613C28" w:rsidRPr="009544AD" w:rsidRDefault="00D36F7F" w:rsidP="009E41A9">
      <w:pPr>
        <w:pStyle w:val="111Para"/>
      </w:pPr>
      <w:r w:rsidRPr="009544AD">
        <w:t xml:space="preserve">The long-term immunity caused by the inactivated vaccine was also confirmed by challenging the vaccinated animals </w:t>
      </w:r>
      <w:r w:rsidR="000E74D0" w:rsidRPr="009544AD">
        <w:t>1</w:t>
      </w:r>
      <w:r w:rsidRPr="009544AD">
        <w:t xml:space="preserve"> year after the </w:t>
      </w:r>
      <w:r w:rsidR="00AD0642" w:rsidRPr="009544AD">
        <w:t>primary</w:t>
      </w:r>
      <w:r w:rsidRPr="009544AD">
        <w:t xml:space="preserve"> vaccination. </w:t>
      </w:r>
      <w:r w:rsidR="00BA73E1" w:rsidRPr="009544AD">
        <w:t xml:space="preserve">Duration of </w:t>
      </w:r>
      <w:r w:rsidRPr="009544AD">
        <w:t xml:space="preserve">the conferred </w:t>
      </w:r>
      <w:r w:rsidR="00BA73E1" w:rsidRPr="009544AD">
        <w:t>immunity with inactivated vaccine last</w:t>
      </w:r>
      <w:r w:rsidR="000E74D0" w:rsidRPr="009544AD">
        <w:t>s</w:t>
      </w:r>
      <w:r w:rsidR="00BA73E1" w:rsidRPr="009544AD">
        <w:t xml:space="preserve"> for a minimum of </w:t>
      </w:r>
      <w:r w:rsidR="000E74D0" w:rsidRPr="009544AD">
        <w:t>1</w:t>
      </w:r>
      <w:r w:rsidR="00BA73E1" w:rsidRPr="009544AD">
        <w:t xml:space="preserve"> year after double injection of the vaccine</w:t>
      </w:r>
      <w:r w:rsidRPr="009544AD">
        <w:t>, as tested</w:t>
      </w:r>
      <w:r w:rsidR="00BA73E1" w:rsidRPr="009544AD">
        <w:t xml:space="preserve"> on young naïve dromedary camels. After </w:t>
      </w:r>
      <w:r w:rsidR="00AD0642" w:rsidRPr="009544AD">
        <w:t>multiple</w:t>
      </w:r>
      <w:r w:rsidR="00BA73E1" w:rsidRPr="009544AD">
        <w:t xml:space="preserve"> vaccination</w:t>
      </w:r>
      <w:r w:rsidR="000E74D0" w:rsidRPr="009544AD">
        <w:t>s</w:t>
      </w:r>
      <w:r w:rsidR="00BA73E1" w:rsidRPr="009544AD">
        <w:t xml:space="preserve">, immunity may be longer </w:t>
      </w:r>
      <w:r w:rsidRPr="009544AD">
        <w:t>in adult dromedaries</w:t>
      </w:r>
      <w:r w:rsidR="009E41A9" w:rsidRPr="009544AD">
        <w:t>;</w:t>
      </w:r>
      <w:r w:rsidRPr="009544AD">
        <w:t xml:space="preserve"> </w:t>
      </w:r>
      <w:r w:rsidR="00BA73E1" w:rsidRPr="009544AD">
        <w:t>no vaccination failure</w:t>
      </w:r>
      <w:r w:rsidR="009E41A9" w:rsidRPr="009544AD">
        <w:t>s</w:t>
      </w:r>
      <w:r w:rsidR="00BA73E1" w:rsidRPr="009544AD">
        <w:t xml:space="preserve"> reported </w:t>
      </w:r>
      <w:r w:rsidR="00B61957">
        <w:t>i</w:t>
      </w:r>
      <w:r w:rsidR="00BA73E1" w:rsidRPr="009544AD">
        <w:t>n the field with animals not regularly vaccinated.</w:t>
      </w:r>
    </w:p>
    <w:p w14:paraId="278E68CC" w14:textId="77777777" w:rsidR="00613C28" w:rsidRPr="009544AD" w:rsidRDefault="00613C28" w:rsidP="00613C28">
      <w:pPr>
        <w:pStyle w:val="111"/>
        <w:rPr>
          <w:bCs/>
        </w:rPr>
      </w:pPr>
      <w:r w:rsidRPr="009544AD">
        <w:rPr>
          <w:bCs/>
        </w:rPr>
        <w:t>2.3.6.</w:t>
      </w:r>
      <w:r w:rsidRPr="009544AD">
        <w:rPr>
          <w:bCs/>
        </w:rPr>
        <w:tab/>
        <w:t>Stability</w:t>
      </w:r>
    </w:p>
    <w:p w14:paraId="1452CAF1" w14:textId="7D12BB12" w:rsidR="00BA73E1" w:rsidRPr="009544AD" w:rsidRDefault="00BA73E1" w:rsidP="00AD0642">
      <w:pPr>
        <w:pStyle w:val="111Para"/>
        <w:spacing w:after="480"/>
      </w:pPr>
      <w:r w:rsidRPr="009544AD">
        <w:t xml:space="preserve">Vaccines should be stored at 4–8°C, with minimal exposure to light. The shelf life is </w:t>
      </w:r>
      <w:r w:rsidR="00D36F7F" w:rsidRPr="009544AD">
        <w:t>24</w:t>
      </w:r>
      <w:r w:rsidR="00805961" w:rsidRPr="009544AD">
        <w:t> </w:t>
      </w:r>
      <w:r w:rsidR="00D36F7F" w:rsidRPr="009544AD">
        <w:t>months</w:t>
      </w:r>
      <w:r w:rsidRPr="009544AD">
        <w:t>.</w:t>
      </w:r>
    </w:p>
    <w:p w14:paraId="33151E1C" w14:textId="77777777" w:rsidR="00755B6A" w:rsidRPr="009544AD" w:rsidRDefault="00755B6A">
      <w:pPr>
        <w:pStyle w:val="A0"/>
        <w:rPr>
          <w:sz w:val="22"/>
        </w:rPr>
      </w:pPr>
      <w:r w:rsidRPr="009544AD">
        <w:rPr>
          <w:sz w:val="22"/>
        </w:rPr>
        <w:t>REFERENCES</w:t>
      </w:r>
    </w:p>
    <w:p w14:paraId="4C30E0A1" w14:textId="77777777" w:rsidR="00D350F7" w:rsidRPr="009544AD" w:rsidRDefault="00E12548" w:rsidP="00EA5642">
      <w:pPr>
        <w:pStyle w:val="Ref"/>
        <w:ind w:left="0" w:firstLine="0"/>
      </w:pPr>
      <w:bookmarkStart w:id="2" w:name="_Ref331586111"/>
      <w:r w:rsidRPr="009544AD">
        <w:rPr>
          <w:smallCaps/>
        </w:rPr>
        <w:t xml:space="preserve">Azwai S.M., Carter S.D. &amp; </w:t>
      </w:r>
      <w:proofErr w:type="spellStart"/>
      <w:r w:rsidRPr="009544AD">
        <w:rPr>
          <w:smallCaps/>
        </w:rPr>
        <w:t>Woldehiwet</w:t>
      </w:r>
      <w:proofErr w:type="spellEnd"/>
      <w:r w:rsidRPr="009544AD">
        <w:rPr>
          <w:smallCaps/>
        </w:rPr>
        <w:t xml:space="preserve"> Z</w:t>
      </w:r>
      <w:r w:rsidRPr="009544AD">
        <w:t xml:space="preserve">. </w:t>
      </w:r>
      <w:r w:rsidR="00D350F7" w:rsidRPr="009544AD">
        <w:t>(1995). Monoclonal antibodies against camel (</w:t>
      </w:r>
      <w:r w:rsidR="00D350F7" w:rsidRPr="009544AD">
        <w:rPr>
          <w:i/>
        </w:rPr>
        <w:t xml:space="preserve">Camelus </w:t>
      </w:r>
      <w:proofErr w:type="spellStart"/>
      <w:r w:rsidR="00D350F7" w:rsidRPr="009544AD">
        <w:rPr>
          <w:i/>
        </w:rPr>
        <w:t>dromedarius</w:t>
      </w:r>
      <w:proofErr w:type="spellEnd"/>
      <w:r w:rsidR="00D350F7" w:rsidRPr="009544AD">
        <w:t xml:space="preserve">) IgG, IgM and light chains. </w:t>
      </w:r>
      <w:r w:rsidR="00D350F7" w:rsidRPr="009544AD">
        <w:rPr>
          <w:i/>
        </w:rPr>
        <w:t>Vet</w:t>
      </w:r>
      <w:r w:rsidR="00AD789A" w:rsidRPr="009544AD">
        <w:rPr>
          <w:i/>
        </w:rPr>
        <w:t>.</w:t>
      </w:r>
      <w:r w:rsidR="00D350F7" w:rsidRPr="009544AD">
        <w:rPr>
          <w:i/>
        </w:rPr>
        <w:t xml:space="preserve"> Immunol</w:t>
      </w:r>
      <w:r w:rsidR="00AD789A" w:rsidRPr="009544AD">
        <w:rPr>
          <w:i/>
        </w:rPr>
        <w:t>.</w:t>
      </w:r>
      <w:r w:rsidR="00D350F7" w:rsidRPr="009544AD">
        <w:rPr>
          <w:i/>
        </w:rPr>
        <w:t xml:space="preserve"> </w:t>
      </w:r>
      <w:proofErr w:type="spellStart"/>
      <w:r w:rsidR="00D350F7" w:rsidRPr="009544AD">
        <w:rPr>
          <w:i/>
        </w:rPr>
        <w:t>Immunopathol</w:t>
      </w:r>
      <w:proofErr w:type="spellEnd"/>
      <w:r w:rsidR="00AD789A" w:rsidRPr="009544AD">
        <w:rPr>
          <w:i/>
        </w:rPr>
        <w:t>.</w:t>
      </w:r>
      <w:r w:rsidR="00D350F7" w:rsidRPr="009544AD">
        <w:t xml:space="preserve">, </w:t>
      </w:r>
      <w:r w:rsidR="00D350F7" w:rsidRPr="009544AD">
        <w:rPr>
          <w:b/>
          <w:bCs/>
        </w:rPr>
        <w:t>45</w:t>
      </w:r>
      <w:r w:rsidR="00D350F7" w:rsidRPr="009544AD">
        <w:t>, 175</w:t>
      </w:r>
      <w:r w:rsidR="00993A40" w:rsidRPr="009544AD">
        <w:t>–</w:t>
      </w:r>
      <w:r w:rsidR="00D350F7" w:rsidRPr="009544AD">
        <w:t>184.</w:t>
      </w:r>
      <w:bookmarkEnd w:id="2"/>
    </w:p>
    <w:p w14:paraId="0A264CC5" w14:textId="2CCD433E" w:rsidR="00D350F7" w:rsidRPr="009544AD" w:rsidRDefault="00E12548" w:rsidP="00EA5642">
      <w:pPr>
        <w:pStyle w:val="Ref"/>
        <w:ind w:left="0" w:firstLine="0"/>
      </w:pPr>
      <w:bookmarkStart w:id="3" w:name="_Ref331585995"/>
      <w:r w:rsidRPr="009544AD">
        <w:rPr>
          <w:smallCaps/>
        </w:rPr>
        <w:t xml:space="preserve">Azwai S.M., Carter S.D., </w:t>
      </w:r>
      <w:proofErr w:type="spellStart"/>
      <w:r w:rsidRPr="009544AD">
        <w:rPr>
          <w:smallCaps/>
        </w:rPr>
        <w:t>Woldehiwet</w:t>
      </w:r>
      <w:proofErr w:type="spellEnd"/>
      <w:r w:rsidRPr="009544AD">
        <w:rPr>
          <w:smallCaps/>
        </w:rPr>
        <w:t xml:space="preserve"> Z. &amp; </w:t>
      </w:r>
      <w:proofErr w:type="spellStart"/>
      <w:r w:rsidRPr="009544AD">
        <w:rPr>
          <w:smallCaps/>
        </w:rPr>
        <w:t>Wernery</w:t>
      </w:r>
      <w:proofErr w:type="spellEnd"/>
      <w:r w:rsidRPr="009544AD">
        <w:rPr>
          <w:smallCaps/>
        </w:rPr>
        <w:t xml:space="preserve"> U. </w:t>
      </w:r>
      <w:r w:rsidR="00D350F7" w:rsidRPr="009544AD">
        <w:rPr>
          <w:smallCaps/>
        </w:rPr>
        <w:t>(1996</w:t>
      </w:r>
      <w:r w:rsidR="00D350F7" w:rsidRPr="009544AD">
        <w:t xml:space="preserve">). Serology of </w:t>
      </w:r>
      <w:proofErr w:type="spellStart"/>
      <w:r w:rsidR="00D350F7" w:rsidRPr="009544AD">
        <w:rPr>
          <w:i/>
        </w:rPr>
        <w:t>Orthopoxvirus</w:t>
      </w:r>
      <w:proofErr w:type="spellEnd"/>
      <w:r w:rsidR="00D350F7" w:rsidRPr="009544AD">
        <w:rPr>
          <w:i/>
        </w:rPr>
        <w:t xml:space="preserve"> </w:t>
      </w:r>
      <w:proofErr w:type="spellStart"/>
      <w:r w:rsidR="00D350F7" w:rsidRPr="009544AD">
        <w:rPr>
          <w:i/>
        </w:rPr>
        <w:t>cameli</w:t>
      </w:r>
      <w:proofErr w:type="spellEnd"/>
      <w:r w:rsidR="00D350F7" w:rsidRPr="009544AD">
        <w:t xml:space="preserve"> infection in dromedary camels: Analysis by ELISA and western blotting. </w:t>
      </w:r>
      <w:r w:rsidR="00D350F7" w:rsidRPr="009544AD">
        <w:rPr>
          <w:i/>
        </w:rPr>
        <w:t>Comp</w:t>
      </w:r>
      <w:r w:rsidR="00AD789A" w:rsidRPr="009544AD">
        <w:rPr>
          <w:i/>
        </w:rPr>
        <w:t>.</w:t>
      </w:r>
      <w:r w:rsidR="00D350F7" w:rsidRPr="009544AD">
        <w:rPr>
          <w:i/>
        </w:rPr>
        <w:t xml:space="preserve"> Immunol</w:t>
      </w:r>
      <w:r w:rsidR="00AD789A" w:rsidRPr="009544AD">
        <w:rPr>
          <w:i/>
        </w:rPr>
        <w:t>.</w:t>
      </w:r>
      <w:r w:rsidR="00D350F7" w:rsidRPr="009544AD">
        <w:rPr>
          <w:i/>
        </w:rPr>
        <w:t xml:space="preserve"> </w:t>
      </w:r>
      <w:proofErr w:type="spellStart"/>
      <w:r w:rsidR="00D350F7" w:rsidRPr="009544AD">
        <w:rPr>
          <w:i/>
        </w:rPr>
        <w:t>Microbiol</w:t>
      </w:r>
      <w:proofErr w:type="spellEnd"/>
      <w:r w:rsidR="00AD789A" w:rsidRPr="009544AD">
        <w:rPr>
          <w:i/>
        </w:rPr>
        <w:t>.</w:t>
      </w:r>
      <w:r w:rsidR="00D350F7" w:rsidRPr="009544AD">
        <w:rPr>
          <w:i/>
        </w:rPr>
        <w:t xml:space="preserve"> Infect</w:t>
      </w:r>
      <w:r w:rsidR="00AD789A" w:rsidRPr="009544AD">
        <w:rPr>
          <w:i/>
        </w:rPr>
        <w:t>.</w:t>
      </w:r>
      <w:r w:rsidR="00D350F7" w:rsidRPr="009544AD">
        <w:rPr>
          <w:i/>
        </w:rPr>
        <w:t xml:space="preserve"> Dis</w:t>
      </w:r>
      <w:r w:rsidR="00AD789A" w:rsidRPr="009544AD">
        <w:rPr>
          <w:i/>
        </w:rPr>
        <w:t>.</w:t>
      </w:r>
      <w:r w:rsidR="00D350F7" w:rsidRPr="009544AD">
        <w:t xml:space="preserve">, </w:t>
      </w:r>
      <w:r w:rsidR="00D350F7" w:rsidRPr="009544AD">
        <w:rPr>
          <w:b/>
          <w:bCs/>
        </w:rPr>
        <w:t>19</w:t>
      </w:r>
      <w:r w:rsidR="00AD789A" w:rsidRPr="009544AD">
        <w:t>,</w:t>
      </w:r>
      <w:r w:rsidR="00D350F7" w:rsidRPr="009544AD">
        <w:t xml:space="preserve"> 65</w:t>
      </w:r>
      <w:r w:rsidR="00993A40" w:rsidRPr="009544AD">
        <w:t>–</w:t>
      </w:r>
      <w:r w:rsidR="00D350F7" w:rsidRPr="009544AD">
        <w:t>78.</w:t>
      </w:r>
      <w:bookmarkEnd w:id="3"/>
    </w:p>
    <w:p w14:paraId="6074A1E2" w14:textId="1F86896C" w:rsidR="00CF6817" w:rsidRPr="009544AD" w:rsidRDefault="000738C1" w:rsidP="00EA5642">
      <w:pPr>
        <w:pStyle w:val="Ref"/>
        <w:ind w:left="0" w:firstLine="0"/>
      </w:pPr>
      <w:r w:rsidRPr="009544AD">
        <w:rPr>
          <w:smallCaps/>
        </w:rPr>
        <w:t xml:space="preserve">Balamurugan V., </w:t>
      </w:r>
      <w:proofErr w:type="spellStart"/>
      <w:r w:rsidRPr="009544AD">
        <w:rPr>
          <w:smallCaps/>
        </w:rPr>
        <w:t>Bhanuprakash</w:t>
      </w:r>
      <w:proofErr w:type="spellEnd"/>
      <w:r w:rsidRPr="009544AD">
        <w:rPr>
          <w:smallCaps/>
        </w:rPr>
        <w:t xml:space="preserve"> V., </w:t>
      </w:r>
      <w:proofErr w:type="spellStart"/>
      <w:r w:rsidRPr="009544AD">
        <w:rPr>
          <w:smallCaps/>
        </w:rPr>
        <w:t>Hosamani</w:t>
      </w:r>
      <w:proofErr w:type="spellEnd"/>
      <w:r w:rsidRPr="009544AD">
        <w:rPr>
          <w:smallCaps/>
        </w:rPr>
        <w:t xml:space="preserve"> M., </w:t>
      </w:r>
      <w:proofErr w:type="spellStart"/>
      <w:r w:rsidRPr="009544AD">
        <w:rPr>
          <w:smallCaps/>
        </w:rPr>
        <w:t>Jayappa</w:t>
      </w:r>
      <w:proofErr w:type="spellEnd"/>
      <w:r w:rsidRPr="009544AD">
        <w:rPr>
          <w:smallCaps/>
        </w:rPr>
        <w:t xml:space="preserve"> K.D., Venkatesan G., </w:t>
      </w:r>
      <w:proofErr w:type="spellStart"/>
      <w:r w:rsidRPr="009544AD">
        <w:rPr>
          <w:smallCaps/>
        </w:rPr>
        <w:t>Cauhan</w:t>
      </w:r>
      <w:proofErr w:type="spellEnd"/>
      <w:r w:rsidRPr="009544AD">
        <w:rPr>
          <w:smallCaps/>
        </w:rPr>
        <w:t xml:space="preserve"> B. &amp; Singh R.K.</w:t>
      </w:r>
      <w:r w:rsidRPr="009544AD">
        <w:t xml:space="preserve"> </w:t>
      </w:r>
      <w:r w:rsidR="009843B6" w:rsidRPr="009544AD">
        <w:t xml:space="preserve">(2009). A polymerase chain reaction strategy for the diagnosis of </w:t>
      </w:r>
      <w:proofErr w:type="spellStart"/>
      <w:r w:rsidR="009843B6" w:rsidRPr="009544AD">
        <w:t>camelpox</w:t>
      </w:r>
      <w:proofErr w:type="spellEnd"/>
      <w:r w:rsidR="009843B6" w:rsidRPr="009544AD">
        <w:t xml:space="preserve">. </w:t>
      </w:r>
      <w:r w:rsidR="009843B6" w:rsidRPr="009544AD">
        <w:rPr>
          <w:i/>
        </w:rPr>
        <w:t>J. Vet. Diagn. Invest.</w:t>
      </w:r>
      <w:r w:rsidRPr="009544AD">
        <w:rPr>
          <w:i/>
        </w:rPr>
        <w:t>,</w:t>
      </w:r>
      <w:r w:rsidR="009843B6" w:rsidRPr="009544AD">
        <w:t xml:space="preserve"> </w:t>
      </w:r>
      <w:r w:rsidR="009843B6" w:rsidRPr="009544AD">
        <w:rPr>
          <w:b/>
        </w:rPr>
        <w:t>21</w:t>
      </w:r>
      <w:r w:rsidR="009843B6" w:rsidRPr="009544AD">
        <w:t>, 231</w:t>
      </w:r>
      <w:r w:rsidRPr="009544AD">
        <w:t>–</w:t>
      </w:r>
      <w:r w:rsidR="009843B6" w:rsidRPr="009544AD">
        <w:t xml:space="preserve">237. </w:t>
      </w:r>
    </w:p>
    <w:p w14:paraId="7A5BD198" w14:textId="77777777" w:rsidR="00B662E7" w:rsidRPr="009544AD" w:rsidRDefault="00B662E7" w:rsidP="00EA5642">
      <w:pPr>
        <w:pStyle w:val="Ref"/>
        <w:ind w:left="0" w:firstLine="0"/>
      </w:pPr>
      <w:bookmarkStart w:id="4" w:name="_Ref331583454"/>
      <w:proofErr w:type="spellStart"/>
      <w:r w:rsidRPr="009544AD">
        <w:rPr>
          <w:smallCaps/>
        </w:rPr>
        <w:t>Bera</w:t>
      </w:r>
      <w:proofErr w:type="spellEnd"/>
      <w:r w:rsidRPr="009544AD">
        <w:rPr>
          <w:smallCaps/>
        </w:rPr>
        <w:t xml:space="preserve"> B.C., </w:t>
      </w:r>
      <w:proofErr w:type="spellStart"/>
      <w:r w:rsidRPr="009544AD">
        <w:rPr>
          <w:smallCaps/>
        </w:rPr>
        <w:t>Shanmugasundaram</w:t>
      </w:r>
      <w:proofErr w:type="spellEnd"/>
      <w:r w:rsidRPr="009544AD">
        <w:rPr>
          <w:smallCaps/>
        </w:rPr>
        <w:t xml:space="preserve"> K., Sanjay </w:t>
      </w:r>
      <w:proofErr w:type="spellStart"/>
      <w:r w:rsidRPr="009544AD">
        <w:rPr>
          <w:smallCaps/>
        </w:rPr>
        <w:t>Barua</w:t>
      </w:r>
      <w:proofErr w:type="spellEnd"/>
      <w:r w:rsidRPr="009544AD">
        <w:rPr>
          <w:smallCaps/>
        </w:rPr>
        <w:t xml:space="preserve">, Venkatesan G., Nitin </w:t>
      </w:r>
      <w:proofErr w:type="spellStart"/>
      <w:r w:rsidRPr="009544AD">
        <w:rPr>
          <w:smallCaps/>
        </w:rPr>
        <w:t>Virmani</w:t>
      </w:r>
      <w:proofErr w:type="spellEnd"/>
      <w:r w:rsidRPr="009544AD">
        <w:rPr>
          <w:smallCaps/>
        </w:rPr>
        <w:t xml:space="preserve">, </w:t>
      </w:r>
      <w:proofErr w:type="spellStart"/>
      <w:r w:rsidRPr="009544AD">
        <w:rPr>
          <w:smallCaps/>
        </w:rPr>
        <w:t>Riyesh</w:t>
      </w:r>
      <w:proofErr w:type="spellEnd"/>
      <w:r w:rsidRPr="009544AD">
        <w:rPr>
          <w:smallCaps/>
        </w:rPr>
        <w:t xml:space="preserve"> T., Gulati B.R., </w:t>
      </w:r>
      <w:proofErr w:type="spellStart"/>
      <w:r w:rsidRPr="009544AD">
        <w:rPr>
          <w:smallCaps/>
        </w:rPr>
        <w:t>Bhanuprakash</w:t>
      </w:r>
      <w:proofErr w:type="spellEnd"/>
      <w:r w:rsidRPr="009544AD">
        <w:rPr>
          <w:smallCaps/>
        </w:rPr>
        <w:t xml:space="preserve"> V., </w:t>
      </w:r>
      <w:proofErr w:type="spellStart"/>
      <w:r w:rsidRPr="009544AD">
        <w:rPr>
          <w:smallCaps/>
        </w:rPr>
        <w:t>Vaid</w:t>
      </w:r>
      <w:proofErr w:type="spellEnd"/>
      <w:r w:rsidRPr="009544AD">
        <w:rPr>
          <w:smallCaps/>
        </w:rPr>
        <w:t xml:space="preserve"> R.K., </w:t>
      </w:r>
      <w:proofErr w:type="spellStart"/>
      <w:r w:rsidRPr="009544AD">
        <w:rPr>
          <w:smallCaps/>
        </w:rPr>
        <w:t>Kakker</w:t>
      </w:r>
      <w:proofErr w:type="spellEnd"/>
      <w:r w:rsidRPr="009544AD">
        <w:rPr>
          <w:smallCaps/>
        </w:rPr>
        <w:t xml:space="preserve"> N.K., Malik P., Manish Bansal, </w:t>
      </w:r>
      <w:proofErr w:type="spellStart"/>
      <w:r w:rsidRPr="009544AD">
        <w:rPr>
          <w:smallCaps/>
        </w:rPr>
        <w:t>Gadvi</w:t>
      </w:r>
      <w:proofErr w:type="spellEnd"/>
      <w:r w:rsidRPr="009544AD">
        <w:rPr>
          <w:smallCaps/>
        </w:rPr>
        <w:t xml:space="preserve"> </w:t>
      </w:r>
      <w:r w:rsidR="008A0600" w:rsidRPr="009544AD">
        <w:rPr>
          <w:smallCaps/>
        </w:rPr>
        <w:t xml:space="preserve">S., Singh R.V., Yadav V., </w:t>
      </w:r>
      <w:proofErr w:type="spellStart"/>
      <w:r w:rsidR="008A0600" w:rsidRPr="009544AD">
        <w:rPr>
          <w:smallCaps/>
        </w:rPr>
        <w:t>Sardarilal</w:t>
      </w:r>
      <w:proofErr w:type="spellEnd"/>
      <w:r w:rsidR="008A0600" w:rsidRPr="009544AD">
        <w:rPr>
          <w:smallCaps/>
        </w:rPr>
        <w:t xml:space="preserve">, Nagarajan G., Balamurugan V., </w:t>
      </w:r>
      <w:proofErr w:type="spellStart"/>
      <w:r w:rsidR="008A0600" w:rsidRPr="009544AD">
        <w:rPr>
          <w:smallCaps/>
        </w:rPr>
        <w:t>Hosamani</w:t>
      </w:r>
      <w:proofErr w:type="spellEnd"/>
      <w:r w:rsidR="008A0600" w:rsidRPr="009544AD">
        <w:rPr>
          <w:smallCaps/>
        </w:rPr>
        <w:t xml:space="preserve"> M., Pathak K.M.L.</w:t>
      </w:r>
      <w:r w:rsidR="009D3EBC" w:rsidRPr="009544AD">
        <w:rPr>
          <w:smallCaps/>
        </w:rPr>
        <w:t xml:space="preserve"> &amp; Singh R.K. (</w:t>
      </w:r>
      <w:r w:rsidR="009D3EBC" w:rsidRPr="009544AD">
        <w:t xml:space="preserve">2011). Zoonotic cases of </w:t>
      </w:r>
      <w:proofErr w:type="spellStart"/>
      <w:r w:rsidR="009D3EBC" w:rsidRPr="009544AD">
        <w:t>camelpox</w:t>
      </w:r>
      <w:proofErr w:type="spellEnd"/>
      <w:r w:rsidR="009D3EBC" w:rsidRPr="009544AD">
        <w:t xml:space="preserve"> infection in India. </w:t>
      </w:r>
      <w:r w:rsidR="009D3EBC" w:rsidRPr="009544AD">
        <w:rPr>
          <w:i/>
        </w:rPr>
        <w:t xml:space="preserve">Vet. </w:t>
      </w:r>
      <w:proofErr w:type="spellStart"/>
      <w:r w:rsidR="009D3EBC" w:rsidRPr="009544AD">
        <w:rPr>
          <w:i/>
        </w:rPr>
        <w:t>Microbiol</w:t>
      </w:r>
      <w:proofErr w:type="spellEnd"/>
      <w:r w:rsidR="00EA5642" w:rsidRPr="009544AD">
        <w:t>.</w:t>
      </w:r>
      <w:r w:rsidR="009D3EBC" w:rsidRPr="009544AD">
        <w:t xml:space="preserve">, </w:t>
      </w:r>
      <w:r w:rsidR="009D3EBC" w:rsidRPr="009544AD">
        <w:rPr>
          <w:b/>
          <w:bCs/>
        </w:rPr>
        <w:t>152</w:t>
      </w:r>
      <w:r w:rsidR="009D3EBC" w:rsidRPr="009544AD">
        <w:t>, 29–38.</w:t>
      </w:r>
      <w:bookmarkEnd w:id="4"/>
    </w:p>
    <w:p w14:paraId="1FC28311" w14:textId="7561F651" w:rsidR="00630894" w:rsidRPr="0086775A" w:rsidRDefault="00630894" w:rsidP="00EA5642">
      <w:pPr>
        <w:pStyle w:val="Ref"/>
        <w:ind w:left="0" w:firstLine="0"/>
        <w:rPr>
          <w:smallCaps/>
          <w:u w:val="double"/>
        </w:rPr>
      </w:pPr>
      <w:bookmarkStart w:id="5" w:name="_Ref331582834"/>
      <w:r w:rsidRPr="0086775A">
        <w:rPr>
          <w:bCs/>
          <w:smallCaps/>
          <w:highlight w:val="yellow"/>
          <w:u w:val="double"/>
          <w:lang w:val="de-DE"/>
        </w:rPr>
        <w:t xml:space="preserve">Biel </w:t>
      </w:r>
      <w:proofErr w:type="spellStart"/>
      <w:r w:rsidRPr="0086775A">
        <w:rPr>
          <w:bCs/>
          <w:smallCaps/>
          <w:highlight w:val="yellow"/>
          <w:u w:val="double"/>
          <w:lang w:val="de-DE"/>
        </w:rPr>
        <w:t>St.S</w:t>
      </w:r>
      <w:proofErr w:type="spellEnd"/>
      <w:r w:rsidRPr="0086775A">
        <w:rPr>
          <w:bCs/>
          <w:smallCaps/>
          <w:highlight w:val="yellow"/>
          <w:u w:val="double"/>
          <w:lang w:val="de-DE"/>
        </w:rPr>
        <w:t>.</w:t>
      </w:r>
      <w:r w:rsidR="00783D4D">
        <w:rPr>
          <w:bCs/>
          <w:smallCaps/>
          <w:highlight w:val="yellow"/>
          <w:u w:val="double"/>
          <w:lang w:val="de-DE"/>
        </w:rPr>
        <w:t xml:space="preserve"> &amp;</w:t>
      </w:r>
      <w:r w:rsidRPr="0086775A">
        <w:rPr>
          <w:bCs/>
          <w:smallCaps/>
          <w:highlight w:val="yellow"/>
          <w:u w:val="double"/>
          <w:lang w:val="de-DE"/>
        </w:rPr>
        <w:t xml:space="preserve"> </w:t>
      </w:r>
      <w:proofErr w:type="spellStart"/>
      <w:r w:rsidRPr="0086775A">
        <w:rPr>
          <w:bCs/>
          <w:smallCaps/>
          <w:highlight w:val="yellow"/>
          <w:u w:val="double"/>
          <w:lang w:val="de-DE"/>
        </w:rPr>
        <w:t>Gelderblom</w:t>
      </w:r>
      <w:proofErr w:type="spellEnd"/>
      <w:r w:rsidRPr="0086775A">
        <w:rPr>
          <w:bCs/>
          <w:smallCaps/>
          <w:highlight w:val="yellow"/>
          <w:u w:val="double"/>
          <w:lang w:val="de-DE"/>
        </w:rPr>
        <w:t xml:space="preserve"> H.R.</w:t>
      </w:r>
      <w:r w:rsidRPr="0086775A">
        <w:rPr>
          <w:bCs/>
          <w:highlight w:val="yellow"/>
          <w:u w:val="double"/>
          <w:lang w:val="de-DE"/>
        </w:rPr>
        <w:t xml:space="preserve"> (1999). </w:t>
      </w:r>
      <w:r w:rsidRPr="0086775A">
        <w:rPr>
          <w:bCs/>
          <w:highlight w:val="yellow"/>
          <w:u w:val="double"/>
        </w:rPr>
        <w:t>Electron microscopy of viruses. Virus Culture – a Practical Approach</w:t>
      </w:r>
      <w:r w:rsidR="00783D4D">
        <w:rPr>
          <w:bCs/>
          <w:highlight w:val="yellow"/>
          <w:u w:val="double"/>
        </w:rPr>
        <w:t>,</w:t>
      </w:r>
      <w:r w:rsidRPr="0086775A">
        <w:rPr>
          <w:bCs/>
          <w:highlight w:val="yellow"/>
          <w:u w:val="double"/>
        </w:rPr>
        <w:t xml:space="preserve"> </w:t>
      </w:r>
      <w:proofErr w:type="spellStart"/>
      <w:r w:rsidRPr="0086775A">
        <w:rPr>
          <w:bCs/>
          <w:highlight w:val="yellow"/>
          <w:u w:val="double"/>
        </w:rPr>
        <w:t>Cann</w:t>
      </w:r>
      <w:proofErr w:type="spellEnd"/>
      <w:r w:rsidRPr="0086775A">
        <w:rPr>
          <w:bCs/>
          <w:highlight w:val="yellow"/>
          <w:u w:val="double"/>
        </w:rPr>
        <w:t xml:space="preserve">, A.J. ed. Oxford University Press, </w:t>
      </w:r>
      <w:r w:rsidR="00783D4D">
        <w:rPr>
          <w:bCs/>
          <w:highlight w:val="yellow"/>
          <w:u w:val="double"/>
        </w:rPr>
        <w:t xml:space="preserve">UK, </w:t>
      </w:r>
      <w:r w:rsidRPr="0086775A">
        <w:rPr>
          <w:bCs/>
          <w:highlight w:val="yellow"/>
          <w:u w:val="double"/>
        </w:rPr>
        <w:t>pp. 111</w:t>
      </w:r>
      <w:r w:rsidR="00783D4D">
        <w:rPr>
          <w:bCs/>
          <w:highlight w:val="yellow"/>
          <w:u w:val="double"/>
        </w:rPr>
        <w:t>–</w:t>
      </w:r>
      <w:r w:rsidRPr="0086775A">
        <w:rPr>
          <w:bCs/>
          <w:highlight w:val="yellow"/>
          <w:u w:val="double"/>
        </w:rPr>
        <w:t>147.</w:t>
      </w:r>
    </w:p>
    <w:p w14:paraId="2F849E9E" w14:textId="2F6062FE" w:rsidR="00FB0BA9" w:rsidRPr="009544AD" w:rsidRDefault="00E12548" w:rsidP="00EA5642">
      <w:pPr>
        <w:pStyle w:val="Ref"/>
        <w:ind w:left="0" w:firstLine="0"/>
      </w:pPr>
      <w:proofErr w:type="spellStart"/>
      <w:r w:rsidRPr="009544AD">
        <w:rPr>
          <w:smallCaps/>
        </w:rPr>
        <w:t>Coetzer</w:t>
      </w:r>
      <w:proofErr w:type="spellEnd"/>
      <w:r w:rsidRPr="009544AD">
        <w:rPr>
          <w:smallCaps/>
        </w:rPr>
        <w:t xml:space="preserve"> J.A.W.</w:t>
      </w:r>
      <w:r w:rsidRPr="009544AD">
        <w:t xml:space="preserve"> </w:t>
      </w:r>
      <w:r w:rsidR="00D350F7" w:rsidRPr="009544AD">
        <w:t xml:space="preserve">(2004). </w:t>
      </w:r>
      <w:proofErr w:type="spellStart"/>
      <w:r w:rsidR="00D350F7" w:rsidRPr="009544AD">
        <w:t>Poxviridae</w:t>
      </w:r>
      <w:proofErr w:type="spellEnd"/>
      <w:r w:rsidR="00D350F7" w:rsidRPr="009544AD">
        <w:t xml:space="preserve">. </w:t>
      </w:r>
      <w:r w:rsidR="00D350F7" w:rsidRPr="009544AD">
        <w:rPr>
          <w:i/>
        </w:rPr>
        <w:t>In:</w:t>
      </w:r>
      <w:r w:rsidR="00D350F7" w:rsidRPr="009544AD">
        <w:t xml:space="preserve"> Infectious Diseases of Livestock</w:t>
      </w:r>
      <w:r w:rsidR="00383DDA" w:rsidRPr="009544AD">
        <w:t xml:space="preserve">, Second </w:t>
      </w:r>
      <w:r w:rsidR="00D350F7" w:rsidRPr="009544AD">
        <w:t xml:space="preserve">Edition, </w:t>
      </w:r>
      <w:r w:rsidR="00547B16" w:rsidRPr="009544AD">
        <w:t xml:space="preserve">Vol. 2, </w:t>
      </w:r>
      <w:proofErr w:type="spellStart"/>
      <w:r w:rsidR="00D350F7" w:rsidRPr="009544AD">
        <w:t>Coe</w:t>
      </w:r>
      <w:r w:rsidR="00383DDA" w:rsidRPr="009544AD">
        <w:t>tzer</w:t>
      </w:r>
      <w:proofErr w:type="spellEnd"/>
      <w:r w:rsidR="00383DDA" w:rsidRPr="009544AD">
        <w:t xml:space="preserve"> J.A.W. &amp; Tustin R.C., eds.</w:t>
      </w:r>
      <w:r w:rsidR="00D350F7" w:rsidRPr="009544AD">
        <w:t xml:space="preserve"> Oxford University Press Southern Africa, </w:t>
      </w:r>
      <w:r w:rsidR="00547B16" w:rsidRPr="009544AD">
        <w:t xml:space="preserve">Cape Town, South Africa, </w:t>
      </w:r>
      <w:r w:rsidR="00D350F7" w:rsidRPr="009544AD">
        <w:t>1265</w:t>
      </w:r>
      <w:r w:rsidR="00993A40" w:rsidRPr="009544AD">
        <w:t>–</w:t>
      </w:r>
      <w:r w:rsidR="00D350F7" w:rsidRPr="009544AD">
        <w:t>1267.</w:t>
      </w:r>
      <w:bookmarkEnd w:id="5"/>
      <w:r w:rsidR="00033DAE" w:rsidRPr="009544AD">
        <w:t xml:space="preserve"> </w:t>
      </w:r>
    </w:p>
    <w:p w14:paraId="0DC5EA8B" w14:textId="2991D3E3" w:rsidR="00D350F7" w:rsidRPr="009544AD" w:rsidRDefault="00E12548" w:rsidP="00EA5642">
      <w:pPr>
        <w:pStyle w:val="Ref"/>
        <w:ind w:left="0" w:firstLine="0"/>
      </w:pPr>
      <w:bookmarkStart w:id="6" w:name="_Ref331582721"/>
      <w:r w:rsidRPr="009544AD">
        <w:rPr>
          <w:smallCaps/>
        </w:rPr>
        <w:t>Davies F.G., Mungai J.N. &amp; Shaw T</w:t>
      </w:r>
      <w:r w:rsidRPr="009544AD">
        <w:t xml:space="preserve">. </w:t>
      </w:r>
      <w:r w:rsidR="00D350F7" w:rsidRPr="009544AD">
        <w:t xml:space="preserve">(1975). Characteristics of Kenyan </w:t>
      </w:r>
      <w:proofErr w:type="spellStart"/>
      <w:r w:rsidR="00D350F7" w:rsidRPr="009544AD">
        <w:t>camelpox</w:t>
      </w:r>
      <w:proofErr w:type="spellEnd"/>
      <w:r w:rsidR="00D350F7" w:rsidRPr="009544AD">
        <w:t xml:space="preserve"> virus. </w:t>
      </w:r>
      <w:r w:rsidR="00033DAE" w:rsidRPr="009544AD">
        <w:rPr>
          <w:i/>
        </w:rPr>
        <w:t>J.</w:t>
      </w:r>
      <w:r w:rsidR="00D350F7" w:rsidRPr="009544AD">
        <w:rPr>
          <w:i/>
        </w:rPr>
        <w:t xml:space="preserve"> </w:t>
      </w:r>
      <w:proofErr w:type="spellStart"/>
      <w:r w:rsidR="00D350F7" w:rsidRPr="009544AD">
        <w:rPr>
          <w:i/>
        </w:rPr>
        <w:t>Hyg</w:t>
      </w:r>
      <w:proofErr w:type="spellEnd"/>
      <w:r w:rsidR="00CB68AA" w:rsidRPr="009544AD">
        <w:rPr>
          <w:i/>
        </w:rPr>
        <w:t>.</w:t>
      </w:r>
      <w:r w:rsidR="00D350F7" w:rsidRPr="009544AD">
        <w:t xml:space="preserve">, </w:t>
      </w:r>
      <w:r w:rsidR="00D350F7" w:rsidRPr="009544AD">
        <w:rPr>
          <w:b/>
          <w:bCs/>
        </w:rPr>
        <w:t>75</w:t>
      </w:r>
      <w:r w:rsidR="00D350F7" w:rsidRPr="009544AD">
        <w:t>, 381</w:t>
      </w:r>
      <w:r w:rsidR="00993A40" w:rsidRPr="009544AD">
        <w:t>–</w:t>
      </w:r>
      <w:r w:rsidR="00D350F7" w:rsidRPr="009544AD">
        <w:t>385.</w:t>
      </w:r>
      <w:bookmarkEnd w:id="6"/>
    </w:p>
    <w:bookmarkStart w:id="7" w:name="_Ref331583769"/>
    <w:p w14:paraId="603A915E" w14:textId="24794AB7" w:rsidR="00805961" w:rsidRPr="009544AD" w:rsidRDefault="00805961" w:rsidP="00805961">
      <w:pPr>
        <w:pStyle w:val="Ref"/>
        <w:ind w:left="0" w:firstLine="0"/>
        <w:rPr>
          <w:smallCaps/>
        </w:rPr>
      </w:pPr>
      <w:r w:rsidRPr="009544AD">
        <w:fldChar w:fldCharType="begin"/>
      </w:r>
      <w:r w:rsidRPr="009544AD">
        <w:instrText xml:space="preserve"> HYPERLINK "http://www.ncbi.nlm.nih.gov/pubmed?term=el%20Harrak%20M%5BAuthor%5D&amp;cauthor=true&amp;cauthor_uid=2042910" </w:instrText>
      </w:r>
      <w:r w:rsidRPr="009544AD">
        <w:fldChar w:fldCharType="separate"/>
      </w:r>
      <w:r w:rsidRPr="009544AD">
        <w:rPr>
          <w:smallCaps/>
        </w:rPr>
        <w:t>el Harrak M</w:t>
      </w:r>
      <w:r w:rsidRPr="009544AD">
        <w:rPr>
          <w:smallCaps/>
        </w:rPr>
        <w:fldChar w:fldCharType="end"/>
      </w:r>
      <w:r w:rsidRPr="009544AD">
        <w:rPr>
          <w:smallCaps/>
        </w:rPr>
        <w:t xml:space="preserve">. &amp; </w:t>
      </w:r>
      <w:hyperlink r:id="rId8" w:history="1">
        <w:r w:rsidRPr="009544AD">
          <w:rPr>
            <w:smallCaps/>
          </w:rPr>
          <w:t>Loutfi C</w:t>
        </w:r>
      </w:hyperlink>
      <w:r w:rsidRPr="009544AD">
        <w:rPr>
          <w:smallCaps/>
        </w:rPr>
        <w:t xml:space="preserve">. (1999). </w:t>
      </w:r>
      <w:r w:rsidRPr="009544AD">
        <w:t xml:space="preserve">Camel pox in the calf in Morocco. Identification of the virus. Vaccine Development and Application to Prophylaxis. Int. Workshop of Young Camel, </w:t>
      </w:r>
      <w:proofErr w:type="spellStart"/>
      <w:r w:rsidRPr="009544AD">
        <w:t>Ouarzazate</w:t>
      </w:r>
      <w:proofErr w:type="spellEnd"/>
      <w:r w:rsidRPr="009544AD">
        <w:t>, Morocco, 24–26 October 1999. http://remvt.cirad.fr/CD/EMVT00_2.PDF</w:t>
      </w:r>
    </w:p>
    <w:p w14:paraId="21451E22" w14:textId="26EDA97E" w:rsidR="00A62F0D" w:rsidRPr="009544AD" w:rsidRDefault="00E802F6" w:rsidP="00036126">
      <w:pPr>
        <w:pStyle w:val="Ref"/>
        <w:ind w:left="0" w:firstLine="0"/>
      </w:pPr>
      <w:hyperlink r:id="rId9" w:history="1">
        <w:r w:rsidR="00C573C5" w:rsidRPr="009544AD">
          <w:rPr>
            <w:smallCaps/>
          </w:rPr>
          <w:t xml:space="preserve">el </w:t>
        </w:r>
        <w:proofErr w:type="spellStart"/>
        <w:r w:rsidR="00C573C5" w:rsidRPr="009544AD">
          <w:rPr>
            <w:smallCaps/>
          </w:rPr>
          <w:t>Harrak</w:t>
        </w:r>
        <w:proofErr w:type="spellEnd"/>
        <w:r w:rsidR="00C573C5" w:rsidRPr="009544AD">
          <w:rPr>
            <w:smallCaps/>
          </w:rPr>
          <w:t xml:space="preserve"> M</w:t>
        </w:r>
      </w:hyperlink>
      <w:r w:rsidR="00805961" w:rsidRPr="009544AD">
        <w:rPr>
          <w:smallCaps/>
        </w:rPr>
        <w:t>.</w:t>
      </w:r>
      <w:r w:rsidR="00C573C5" w:rsidRPr="009544AD">
        <w:rPr>
          <w:smallCaps/>
        </w:rPr>
        <w:t xml:space="preserve">, </w:t>
      </w:r>
      <w:hyperlink r:id="rId10" w:history="1">
        <w:proofErr w:type="spellStart"/>
        <w:r w:rsidR="00C573C5" w:rsidRPr="009544AD">
          <w:rPr>
            <w:smallCaps/>
          </w:rPr>
          <w:t>Loutfi</w:t>
        </w:r>
        <w:proofErr w:type="spellEnd"/>
        <w:r w:rsidR="00C573C5" w:rsidRPr="009544AD">
          <w:rPr>
            <w:smallCaps/>
          </w:rPr>
          <w:t xml:space="preserve"> C</w:t>
        </w:r>
      </w:hyperlink>
      <w:r w:rsidR="00805961" w:rsidRPr="009544AD">
        <w:rPr>
          <w:smallCaps/>
        </w:rPr>
        <w:t>. &amp;</w:t>
      </w:r>
      <w:r w:rsidR="00C573C5" w:rsidRPr="009544AD">
        <w:rPr>
          <w:smallCaps/>
        </w:rPr>
        <w:t xml:space="preserve"> </w:t>
      </w:r>
      <w:hyperlink r:id="rId11" w:history="1">
        <w:proofErr w:type="spellStart"/>
        <w:r w:rsidR="00C573C5" w:rsidRPr="009544AD">
          <w:rPr>
            <w:smallCaps/>
          </w:rPr>
          <w:t>Bertin</w:t>
        </w:r>
        <w:proofErr w:type="spellEnd"/>
        <w:r w:rsidR="00C573C5" w:rsidRPr="009544AD">
          <w:rPr>
            <w:smallCaps/>
          </w:rPr>
          <w:t xml:space="preserve"> F</w:t>
        </w:r>
      </w:hyperlink>
      <w:r w:rsidR="00C573C5" w:rsidRPr="009544AD">
        <w:rPr>
          <w:smallCaps/>
        </w:rPr>
        <w:t>. (1991)</w:t>
      </w:r>
      <w:r w:rsidR="00805961" w:rsidRPr="009544AD">
        <w:rPr>
          <w:smallCaps/>
        </w:rPr>
        <w:t>.</w:t>
      </w:r>
      <w:r w:rsidR="00C573C5" w:rsidRPr="009544AD">
        <w:rPr>
          <w:smallCaps/>
        </w:rPr>
        <w:t xml:space="preserve"> </w:t>
      </w:r>
      <w:r w:rsidR="00A62F0D" w:rsidRPr="009544AD">
        <w:t xml:space="preserve">Isolation and identification of camel poxvirus in Morocco. </w:t>
      </w:r>
      <w:hyperlink r:id="rId12" w:tooltip="Annales de recherches vétérinaires. Annals of veterinary research." w:history="1">
        <w:r w:rsidR="00A62F0D" w:rsidRPr="009544AD">
          <w:rPr>
            <w:i/>
          </w:rPr>
          <w:t>Ann</w:t>
        </w:r>
        <w:r w:rsidR="00805961" w:rsidRPr="009544AD">
          <w:rPr>
            <w:i/>
          </w:rPr>
          <w:t>.</w:t>
        </w:r>
        <w:r w:rsidR="00A62F0D" w:rsidRPr="009544AD">
          <w:rPr>
            <w:i/>
          </w:rPr>
          <w:t xml:space="preserve"> </w:t>
        </w:r>
        <w:proofErr w:type="spellStart"/>
        <w:r w:rsidR="00A62F0D" w:rsidRPr="009544AD">
          <w:rPr>
            <w:i/>
          </w:rPr>
          <w:t>Rech</w:t>
        </w:r>
        <w:proofErr w:type="spellEnd"/>
        <w:r w:rsidR="00805961" w:rsidRPr="009544AD">
          <w:rPr>
            <w:i/>
          </w:rPr>
          <w:t>.</w:t>
        </w:r>
        <w:r w:rsidR="00A62F0D" w:rsidRPr="009544AD">
          <w:rPr>
            <w:i/>
          </w:rPr>
          <w:t xml:space="preserve"> Vet</w:t>
        </w:r>
        <w:r w:rsidR="00A62F0D" w:rsidRPr="009544AD">
          <w:t>.</w:t>
        </w:r>
      </w:hyperlink>
      <w:r w:rsidR="00805961" w:rsidRPr="009544AD">
        <w:t>,</w:t>
      </w:r>
      <w:r w:rsidR="00A62F0D" w:rsidRPr="009544AD">
        <w:t xml:space="preserve"> </w:t>
      </w:r>
      <w:r w:rsidR="00A62F0D" w:rsidRPr="009544AD">
        <w:rPr>
          <w:b/>
        </w:rPr>
        <w:t>22</w:t>
      </w:r>
      <w:r w:rsidR="00805961" w:rsidRPr="009544AD">
        <w:t>,</w:t>
      </w:r>
      <w:r w:rsidR="00C573C5" w:rsidRPr="009544AD">
        <w:t xml:space="preserve"> </w:t>
      </w:r>
      <w:r w:rsidR="00A62F0D" w:rsidRPr="009544AD">
        <w:t>95</w:t>
      </w:r>
      <w:r w:rsidR="00805961" w:rsidRPr="009544AD">
        <w:t>–9</w:t>
      </w:r>
      <w:r w:rsidR="00A62F0D" w:rsidRPr="009544AD">
        <w:t>8</w:t>
      </w:r>
      <w:r w:rsidR="00805961" w:rsidRPr="009544AD">
        <w:t>.</w:t>
      </w:r>
    </w:p>
    <w:p w14:paraId="7CC3937C" w14:textId="233B5D33" w:rsidR="00D350F7" w:rsidRPr="009544AD" w:rsidRDefault="00E12548" w:rsidP="00EA5642">
      <w:pPr>
        <w:pStyle w:val="Ref"/>
        <w:ind w:left="0" w:firstLine="0"/>
      </w:pPr>
      <w:r w:rsidRPr="009544AD">
        <w:rPr>
          <w:smallCaps/>
        </w:rPr>
        <w:t>Johann S. &amp; Czerny C.-P.</w:t>
      </w:r>
      <w:r w:rsidRPr="009544AD">
        <w:t xml:space="preserve"> </w:t>
      </w:r>
      <w:r w:rsidR="00D350F7" w:rsidRPr="009544AD">
        <w:t xml:space="preserve">(1993). A rapid antigen capture ELISA for the detection of </w:t>
      </w:r>
      <w:proofErr w:type="spellStart"/>
      <w:r w:rsidR="00CB68AA" w:rsidRPr="009544AD">
        <w:t>orthopox</w:t>
      </w:r>
      <w:proofErr w:type="spellEnd"/>
      <w:r w:rsidR="00CB68AA" w:rsidRPr="009544AD">
        <w:t xml:space="preserve"> </w:t>
      </w:r>
      <w:r w:rsidR="00D350F7" w:rsidRPr="009544AD">
        <w:t xml:space="preserve">viruses. </w:t>
      </w:r>
      <w:r w:rsidR="00033DAE" w:rsidRPr="009544AD">
        <w:rPr>
          <w:i/>
        </w:rPr>
        <w:t>J.</w:t>
      </w:r>
      <w:r w:rsidR="00D350F7" w:rsidRPr="009544AD">
        <w:rPr>
          <w:i/>
        </w:rPr>
        <w:t xml:space="preserve"> Vet</w:t>
      </w:r>
      <w:r w:rsidR="00AD789A" w:rsidRPr="009544AD">
        <w:rPr>
          <w:i/>
        </w:rPr>
        <w:t>.</w:t>
      </w:r>
      <w:r w:rsidR="00D350F7" w:rsidRPr="009544AD">
        <w:rPr>
          <w:i/>
        </w:rPr>
        <w:t xml:space="preserve"> Med</w:t>
      </w:r>
      <w:r w:rsidR="00AD789A" w:rsidRPr="009544AD">
        <w:rPr>
          <w:i/>
        </w:rPr>
        <w:t>.</w:t>
      </w:r>
      <w:r w:rsidR="00D350F7" w:rsidRPr="009544AD">
        <w:rPr>
          <w:i/>
        </w:rPr>
        <w:t xml:space="preserve"> </w:t>
      </w:r>
      <w:r w:rsidR="00AD789A" w:rsidRPr="009544AD">
        <w:rPr>
          <w:iCs/>
        </w:rPr>
        <w:t>[</w:t>
      </w:r>
      <w:r w:rsidR="00D350F7" w:rsidRPr="009544AD">
        <w:rPr>
          <w:i/>
        </w:rPr>
        <w:t>B</w:t>
      </w:r>
      <w:r w:rsidR="00AD789A" w:rsidRPr="009544AD">
        <w:rPr>
          <w:iCs/>
        </w:rPr>
        <w:t>]</w:t>
      </w:r>
      <w:r w:rsidR="00D350F7" w:rsidRPr="009544AD">
        <w:rPr>
          <w:iCs/>
        </w:rPr>
        <w:t>,</w:t>
      </w:r>
      <w:r w:rsidR="00D350F7" w:rsidRPr="009544AD">
        <w:t xml:space="preserve"> </w:t>
      </w:r>
      <w:r w:rsidR="00D350F7" w:rsidRPr="009544AD">
        <w:rPr>
          <w:b/>
          <w:bCs/>
        </w:rPr>
        <w:t>40</w:t>
      </w:r>
      <w:r w:rsidR="00D350F7" w:rsidRPr="009544AD">
        <w:t>, 569</w:t>
      </w:r>
      <w:r w:rsidR="00993A40" w:rsidRPr="009544AD">
        <w:t>–</w:t>
      </w:r>
      <w:r w:rsidR="00D350F7" w:rsidRPr="009544AD">
        <w:t>581.</w:t>
      </w:r>
      <w:bookmarkEnd w:id="7"/>
    </w:p>
    <w:p w14:paraId="75FDF6B4" w14:textId="77777777" w:rsidR="00D350F7" w:rsidRPr="009544AD" w:rsidRDefault="00E12548" w:rsidP="00EA5642">
      <w:pPr>
        <w:pStyle w:val="Ref"/>
        <w:ind w:left="0" w:firstLine="0"/>
      </w:pPr>
      <w:bookmarkStart w:id="8" w:name="_Ref331582986"/>
      <w:proofErr w:type="spellStart"/>
      <w:r w:rsidRPr="009544AD">
        <w:rPr>
          <w:smallCaps/>
        </w:rPr>
        <w:t>Kinne</w:t>
      </w:r>
      <w:proofErr w:type="spellEnd"/>
      <w:r w:rsidRPr="009544AD">
        <w:rPr>
          <w:smallCaps/>
        </w:rPr>
        <w:t xml:space="preserve"> J., Cooper J.E. &amp; </w:t>
      </w:r>
      <w:proofErr w:type="spellStart"/>
      <w:r w:rsidRPr="009544AD">
        <w:rPr>
          <w:smallCaps/>
        </w:rPr>
        <w:t>Wernery</w:t>
      </w:r>
      <w:proofErr w:type="spellEnd"/>
      <w:r w:rsidRPr="009544AD">
        <w:rPr>
          <w:smallCaps/>
        </w:rPr>
        <w:t xml:space="preserve"> U. </w:t>
      </w:r>
      <w:r w:rsidR="00D350F7" w:rsidRPr="009544AD">
        <w:rPr>
          <w:smallCaps/>
        </w:rPr>
        <w:t>(</w:t>
      </w:r>
      <w:r w:rsidR="00D350F7" w:rsidRPr="009544AD">
        <w:t xml:space="preserve">1998). Pathological studies on </w:t>
      </w:r>
      <w:proofErr w:type="spellStart"/>
      <w:r w:rsidR="00D350F7" w:rsidRPr="009544AD">
        <w:t>camelpox</w:t>
      </w:r>
      <w:proofErr w:type="spellEnd"/>
      <w:r w:rsidR="00D350F7" w:rsidRPr="009544AD">
        <w:t xml:space="preserve"> lesions of the respiratory system in the United Arab Emirates (UAE). </w:t>
      </w:r>
      <w:r w:rsidR="00033DAE" w:rsidRPr="009544AD">
        <w:rPr>
          <w:i/>
        </w:rPr>
        <w:t>J.</w:t>
      </w:r>
      <w:r w:rsidR="00D350F7" w:rsidRPr="009544AD">
        <w:rPr>
          <w:i/>
        </w:rPr>
        <w:t xml:space="preserve"> Comp</w:t>
      </w:r>
      <w:r w:rsidR="00AD789A" w:rsidRPr="009544AD">
        <w:rPr>
          <w:i/>
        </w:rPr>
        <w:t>.</w:t>
      </w:r>
      <w:r w:rsidR="00D350F7" w:rsidRPr="009544AD">
        <w:rPr>
          <w:i/>
        </w:rPr>
        <w:t xml:space="preserve"> </w:t>
      </w:r>
      <w:proofErr w:type="spellStart"/>
      <w:r w:rsidR="00D350F7" w:rsidRPr="009544AD">
        <w:rPr>
          <w:i/>
        </w:rPr>
        <w:t>Pathol</w:t>
      </w:r>
      <w:proofErr w:type="spellEnd"/>
      <w:r w:rsidR="00AD789A" w:rsidRPr="009544AD">
        <w:rPr>
          <w:i/>
        </w:rPr>
        <w:t>.</w:t>
      </w:r>
      <w:r w:rsidR="00D350F7" w:rsidRPr="009544AD">
        <w:t xml:space="preserve">, </w:t>
      </w:r>
      <w:r w:rsidR="00D350F7" w:rsidRPr="009544AD">
        <w:rPr>
          <w:b/>
          <w:bCs/>
        </w:rPr>
        <w:t>118</w:t>
      </w:r>
      <w:r w:rsidR="00D350F7" w:rsidRPr="009544AD">
        <w:t>, 257</w:t>
      </w:r>
      <w:r w:rsidR="00993A40" w:rsidRPr="009544AD">
        <w:t>–</w:t>
      </w:r>
      <w:r w:rsidR="00D350F7" w:rsidRPr="009544AD">
        <w:t>266.</w:t>
      </w:r>
      <w:bookmarkEnd w:id="8"/>
    </w:p>
    <w:p w14:paraId="2AEE3E92" w14:textId="77777777" w:rsidR="00D350F7" w:rsidRPr="009544AD" w:rsidRDefault="00E12548" w:rsidP="00EA5642">
      <w:pPr>
        <w:pStyle w:val="Ref"/>
        <w:ind w:left="0" w:firstLine="0"/>
      </w:pPr>
      <w:bookmarkStart w:id="9" w:name="_Ref331582886"/>
      <w:proofErr w:type="spellStart"/>
      <w:r w:rsidRPr="009544AD">
        <w:rPr>
          <w:smallCaps/>
        </w:rPr>
        <w:t>Kritz</w:t>
      </w:r>
      <w:proofErr w:type="spellEnd"/>
      <w:r w:rsidRPr="009544AD">
        <w:rPr>
          <w:smallCaps/>
        </w:rPr>
        <w:t xml:space="preserve"> </w:t>
      </w:r>
      <w:r w:rsidR="00D350F7" w:rsidRPr="009544AD">
        <w:rPr>
          <w:smallCaps/>
        </w:rPr>
        <w:t>B. (</w:t>
      </w:r>
      <w:r w:rsidR="00D350F7" w:rsidRPr="009544AD">
        <w:t xml:space="preserve">1982). A study of </w:t>
      </w:r>
      <w:proofErr w:type="spellStart"/>
      <w:r w:rsidR="00D350F7" w:rsidRPr="009544AD">
        <w:t>camelpox</w:t>
      </w:r>
      <w:proofErr w:type="spellEnd"/>
      <w:r w:rsidR="00D350F7" w:rsidRPr="009544AD">
        <w:t xml:space="preserve"> in Somalia. </w:t>
      </w:r>
      <w:r w:rsidR="00AD789A" w:rsidRPr="009544AD">
        <w:rPr>
          <w:i/>
        </w:rPr>
        <w:t xml:space="preserve">J. Comp. </w:t>
      </w:r>
      <w:proofErr w:type="spellStart"/>
      <w:r w:rsidR="00AD789A" w:rsidRPr="009544AD">
        <w:rPr>
          <w:i/>
        </w:rPr>
        <w:t>Pathol</w:t>
      </w:r>
      <w:proofErr w:type="spellEnd"/>
      <w:r w:rsidR="00AD789A" w:rsidRPr="009544AD">
        <w:rPr>
          <w:i/>
        </w:rPr>
        <w:t>.</w:t>
      </w:r>
      <w:r w:rsidR="00AD789A" w:rsidRPr="009544AD">
        <w:t>,</w:t>
      </w:r>
      <w:r w:rsidR="00D350F7" w:rsidRPr="009544AD">
        <w:t xml:space="preserve"> </w:t>
      </w:r>
      <w:r w:rsidR="00D350F7" w:rsidRPr="009544AD">
        <w:rPr>
          <w:b/>
          <w:bCs/>
        </w:rPr>
        <w:t>92</w:t>
      </w:r>
      <w:r w:rsidR="00D350F7" w:rsidRPr="009544AD">
        <w:t>, 1</w:t>
      </w:r>
      <w:r w:rsidR="00993A40" w:rsidRPr="009544AD">
        <w:t>–</w:t>
      </w:r>
      <w:r w:rsidR="00D350F7" w:rsidRPr="009544AD">
        <w:t>8.</w:t>
      </w:r>
      <w:bookmarkEnd w:id="9"/>
    </w:p>
    <w:p w14:paraId="10E31F2A" w14:textId="77777777" w:rsidR="00D350F7" w:rsidRPr="009544AD" w:rsidRDefault="00E12548" w:rsidP="00EA5642">
      <w:pPr>
        <w:pStyle w:val="Ref"/>
        <w:ind w:left="0" w:firstLine="0"/>
      </w:pPr>
      <w:bookmarkStart w:id="10" w:name="_Ref331586061"/>
      <w:r w:rsidRPr="009544AD">
        <w:rPr>
          <w:smallCaps/>
        </w:rPr>
        <w:t xml:space="preserve">Lowry O.H., </w:t>
      </w:r>
      <w:proofErr w:type="spellStart"/>
      <w:r w:rsidRPr="009544AD">
        <w:rPr>
          <w:smallCaps/>
        </w:rPr>
        <w:t>Rosebrough</w:t>
      </w:r>
      <w:proofErr w:type="spellEnd"/>
      <w:r w:rsidRPr="009544AD">
        <w:rPr>
          <w:smallCaps/>
        </w:rPr>
        <w:t xml:space="preserve"> N.J., Farr A.L. &amp; Randall R.J.</w:t>
      </w:r>
      <w:r w:rsidRPr="009544AD">
        <w:t xml:space="preserve"> </w:t>
      </w:r>
      <w:r w:rsidR="00D350F7" w:rsidRPr="009544AD">
        <w:t xml:space="preserve">(1951). Protein measurement with </w:t>
      </w:r>
      <w:proofErr w:type="spellStart"/>
      <w:r w:rsidR="00D350F7" w:rsidRPr="009544AD">
        <w:t>folin</w:t>
      </w:r>
      <w:proofErr w:type="spellEnd"/>
      <w:r w:rsidR="00D350F7" w:rsidRPr="009544AD">
        <w:t xml:space="preserve"> phenol reagent. </w:t>
      </w:r>
      <w:r w:rsidR="00033DAE" w:rsidRPr="009544AD">
        <w:rPr>
          <w:i/>
        </w:rPr>
        <w:t>J.</w:t>
      </w:r>
      <w:r w:rsidR="00D350F7" w:rsidRPr="009544AD">
        <w:rPr>
          <w:i/>
        </w:rPr>
        <w:t xml:space="preserve"> Biol</w:t>
      </w:r>
      <w:r w:rsidR="00AD789A" w:rsidRPr="009544AD">
        <w:rPr>
          <w:i/>
        </w:rPr>
        <w:t>.</w:t>
      </w:r>
      <w:r w:rsidR="00D350F7" w:rsidRPr="009544AD">
        <w:rPr>
          <w:i/>
        </w:rPr>
        <w:t xml:space="preserve"> Chem</w:t>
      </w:r>
      <w:r w:rsidR="00AD789A" w:rsidRPr="009544AD">
        <w:rPr>
          <w:i/>
        </w:rPr>
        <w:t>.</w:t>
      </w:r>
      <w:r w:rsidR="00D350F7" w:rsidRPr="009544AD">
        <w:t xml:space="preserve">, </w:t>
      </w:r>
      <w:r w:rsidR="00D350F7" w:rsidRPr="009544AD">
        <w:rPr>
          <w:b/>
          <w:bCs/>
        </w:rPr>
        <w:t>193</w:t>
      </w:r>
      <w:r w:rsidR="00D350F7" w:rsidRPr="009544AD">
        <w:t>, 265</w:t>
      </w:r>
      <w:r w:rsidR="00993A40" w:rsidRPr="009544AD">
        <w:t>–</w:t>
      </w:r>
      <w:r w:rsidR="00D350F7" w:rsidRPr="009544AD">
        <w:t>275.</w:t>
      </w:r>
      <w:bookmarkEnd w:id="10"/>
      <w:r w:rsidR="00D350F7" w:rsidRPr="009544AD">
        <w:t xml:space="preserve"> </w:t>
      </w:r>
    </w:p>
    <w:p w14:paraId="742F439B" w14:textId="77777777" w:rsidR="00D350F7" w:rsidRPr="009544AD" w:rsidRDefault="00E12548" w:rsidP="00EA5642">
      <w:pPr>
        <w:pStyle w:val="Ref"/>
        <w:ind w:left="0" w:firstLine="0"/>
      </w:pPr>
      <w:bookmarkStart w:id="11" w:name="_Ref331582618"/>
      <w:r w:rsidRPr="009544AD">
        <w:rPr>
          <w:smallCaps/>
        </w:rPr>
        <w:t>Mayer A. &amp; Czerny C.-P.</w:t>
      </w:r>
      <w:r w:rsidRPr="009544AD">
        <w:t xml:space="preserve"> </w:t>
      </w:r>
      <w:r w:rsidR="00D350F7" w:rsidRPr="009544AD">
        <w:t xml:space="preserve">(1990). </w:t>
      </w:r>
      <w:r w:rsidR="00CB68AA" w:rsidRPr="009544AD">
        <w:t xml:space="preserve">Chapter 4, </w:t>
      </w:r>
      <w:proofErr w:type="spellStart"/>
      <w:r w:rsidR="00D350F7" w:rsidRPr="009544AD">
        <w:t>Camelpox</w:t>
      </w:r>
      <w:proofErr w:type="spellEnd"/>
      <w:r w:rsidR="00D350F7" w:rsidRPr="009544AD">
        <w:t xml:space="preserve"> </w:t>
      </w:r>
      <w:r w:rsidR="00CB68AA" w:rsidRPr="009544AD">
        <w:t>v</w:t>
      </w:r>
      <w:r w:rsidR="00D350F7" w:rsidRPr="009544AD">
        <w:t xml:space="preserve">irus. </w:t>
      </w:r>
      <w:r w:rsidR="00D350F7" w:rsidRPr="009544AD">
        <w:rPr>
          <w:i/>
        </w:rPr>
        <w:t xml:space="preserve">In: </w:t>
      </w:r>
      <w:r w:rsidR="00D350F7" w:rsidRPr="009544AD">
        <w:t xml:space="preserve">Virus Infections of Vertebrates, Vol. 3, Virus Infections of Ruminants, </w:t>
      </w:r>
      <w:proofErr w:type="spellStart"/>
      <w:r w:rsidR="00D350F7" w:rsidRPr="009544AD">
        <w:t>Dinter</w:t>
      </w:r>
      <w:proofErr w:type="spellEnd"/>
      <w:r w:rsidR="00D350F7" w:rsidRPr="009544AD">
        <w:t xml:space="preserve"> Z. &amp; </w:t>
      </w:r>
      <w:proofErr w:type="spellStart"/>
      <w:r w:rsidR="00D350F7" w:rsidRPr="009544AD">
        <w:t>Morein</w:t>
      </w:r>
      <w:proofErr w:type="spellEnd"/>
      <w:r w:rsidR="00D350F7" w:rsidRPr="009544AD">
        <w:t xml:space="preserve"> B., eds. Elsevier Science Publisher B.V., Amsterdam</w:t>
      </w:r>
      <w:r w:rsidR="00AD789A" w:rsidRPr="009544AD">
        <w:t xml:space="preserve">, </w:t>
      </w:r>
      <w:r w:rsidR="00CB68AA" w:rsidRPr="009544AD">
        <w:t>The Netherlands</w:t>
      </w:r>
      <w:r w:rsidR="00D350F7" w:rsidRPr="009544AD">
        <w:t>, 19</w:t>
      </w:r>
      <w:r w:rsidR="00993A40" w:rsidRPr="009544AD">
        <w:t>–</w:t>
      </w:r>
      <w:r w:rsidR="00D350F7" w:rsidRPr="009544AD">
        <w:t>22.</w:t>
      </w:r>
      <w:bookmarkEnd w:id="11"/>
    </w:p>
    <w:p w14:paraId="544177BC" w14:textId="77777777" w:rsidR="00D350F7" w:rsidRPr="009544AD" w:rsidRDefault="00E12548" w:rsidP="00EA5642">
      <w:pPr>
        <w:pStyle w:val="Ref"/>
        <w:ind w:left="0" w:firstLine="0"/>
      </w:pPr>
      <w:bookmarkStart w:id="12" w:name="_Ref331585933"/>
      <w:r w:rsidRPr="009544AD">
        <w:rPr>
          <w:smallCaps/>
          <w:lang w:val="de-DE"/>
        </w:rPr>
        <w:lastRenderedPageBreak/>
        <w:t xml:space="preserve">Meyer H., Pfeffer M. &amp; </w:t>
      </w:r>
      <w:proofErr w:type="spellStart"/>
      <w:r w:rsidRPr="009544AD">
        <w:rPr>
          <w:smallCaps/>
          <w:lang w:val="de-DE"/>
        </w:rPr>
        <w:t>Rziha</w:t>
      </w:r>
      <w:proofErr w:type="spellEnd"/>
      <w:r w:rsidRPr="009544AD">
        <w:rPr>
          <w:smallCaps/>
          <w:lang w:val="de-DE"/>
        </w:rPr>
        <w:t xml:space="preserve"> H.-J. </w:t>
      </w:r>
      <w:r w:rsidR="00D350F7" w:rsidRPr="009544AD">
        <w:rPr>
          <w:smallCaps/>
          <w:lang w:val="de-DE"/>
        </w:rPr>
        <w:t>(</w:t>
      </w:r>
      <w:r w:rsidR="00D350F7" w:rsidRPr="009544AD">
        <w:rPr>
          <w:lang w:val="de-DE"/>
        </w:rPr>
        <w:t xml:space="preserve">1994). </w:t>
      </w:r>
      <w:r w:rsidR="00D350F7" w:rsidRPr="009544AD">
        <w:t xml:space="preserve">Sequence alterations within and downstream of the A-type inclusion protein genes allow differentiation of </w:t>
      </w:r>
      <w:proofErr w:type="spellStart"/>
      <w:r w:rsidR="00D350F7" w:rsidRPr="009544AD">
        <w:rPr>
          <w:i/>
        </w:rPr>
        <w:t>Orthopoxvirus</w:t>
      </w:r>
      <w:proofErr w:type="spellEnd"/>
      <w:r w:rsidR="00D350F7" w:rsidRPr="009544AD">
        <w:t xml:space="preserve"> species by polymerase chain reaction. </w:t>
      </w:r>
      <w:r w:rsidR="00033DAE" w:rsidRPr="009544AD">
        <w:rPr>
          <w:i/>
        </w:rPr>
        <w:t>J.</w:t>
      </w:r>
      <w:r w:rsidR="00D350F7" w:rsidRPr="009544AD">
        <w:rPr>
          <w:i/>
        </w:rPr>
        <w:t xml:space="preserve"> Gen</w:t>
      </w:r>
      <w:r w:rsidR="00AD789A" w:rsidRPr="009544AD">
        <w:rPr>
          <w:i/>
        </w:rPr>
        <w:t>.</w:t>
      </w:r>
      <w:r w:rsidR="00D350F7" w:rsidRPr="009544AD">
        <w:rPr>
          <w:i/>
        </w:rPr>
        <w:t xml:space="preserve"> </w:t>
      </w:r>
      <w:proofErr w:type="spellStart"/>
      <w:r w:rsidR="00D350F7" w:rsidRPr="009544AD">
        <w:rPr>
          <w:i/>
        </w:rPr>
        <w:t>Virol</w:t>
      </w:r>
      <w:proofErr w:type="spellEnd"/>
      <w:r w:rsidR="00AD789A" w:rsidRPr="009544AD">
        <w:rPr>
          <w:i/>
        </w:rPr>
        <w:t>.</w:t>
      </w:r>
      <w:r w:rsidR="00D350F7" w:rsidRPr="009544AD">
        <w:t xml:space="preserve">, </w:t>
      </w:r>
      <w:r w:rsidR="00D350F7" w:rsidRPr="009544AD">
        <w:rPr>
          <w:b/>
          <w:bCs/>
        </w:rPr>
        <w:t>75</w:t>
      </w:r>
      <w:r w:rsidR="00D350F7" w:rsidRPr="009544AD">
        <w:t>, 1975</w:t>
      </w:r>
      <w:r w:rsidR="00993A40" w:rsidRPr="009544AD">
        <w:t>–</w:t>
      </w:r>
      <w:r w:rsidR="00D350F7" w:rsidRPr="009544AD">
        <w:t>1981.</w:t>
      </w:r>
      <w:bookmarkEnd w:id="12"/>
    </w:p>
    <w:p w14:paraId="05DD997C" w14:textId="7B6F5027" w:rsidR="009843B6" w:rsidRPr="009544AD" w:rsidRDefault="000738C1" w:rsidP="00EA5642">
      <w:pPr>
        <w:pStyle w:val="Ref"/>
        <w:ind w:left="0" w:firstLine="0"/>
      </w:pPr>
      <w:r w:rsidRPr="009544AD">
        <w:rPr>
          <w:smallCaps/>
          <w:lang w:val="de-DE"/>
        </w:rPr>
        <w:t xml:space="preserve">Meyer H., </w:t>
      </w:r>
      <w:proofErr w:type="spellStart"/>
      <w:r w:rsidRPr="009544AD">
        <w:rPr>
          <w:smallCaps/>
          <w:lang w:val="de-DE"/>
        </w:rPr>
        <w:t>Ropp</w:t>
      </w:r>
      <w:proofErr w:type="spellEnd"/>
      <w:r w:rsidRPr="009544AD">
        <w:rPr>
          <w:smallCaps/>
          <w:lang w:val="de-DE"/>
        </w:rPr>
        <w:t xml:space="preserve"> S.L. &amp; Esposito J.J. </w:t>
      </w:r>
      <w:r w:rsidR="009843B6" w:rsidRPr="009544AD">
        <w:rPr>
          <w:lang w:val="de-DE"/>
        </w:rPr>
        <w:t xml:space="preserve">(1997). </w:t>
      </w:r>
      <w:r w:rsidR="001E5447" w:rsidRPr="009544AD">
        <w:rPr>
          <w:lang w:val="de-DE"/>
        </w:rPr>
        <w:t>G</w:t>
      </w:r>
      <w:r w:rsidR="004247AA" w:rsidRPr="009544AD">
        <w:rPr>
          <w:lang w:val="de-DE"/>
        </w:rPr>
        <w:t>ene</w:t>
      </w:r>
      <w:r w:rsidR="001E5447" w:rsidRPr="009544AD">
        <w:rPr>
          <w:lang w:val="de-DE"/>
        </w:rPr>
        <w:t xml:space="preserve"> for A-type </w:t>
      </w:r>
      <w:proofErr w:type="spellStart"/>
      <w:r w:rsidR="001E5447" w:rsidRPr="009544AD">
        <w:rPr>
          <w:lang w:val="de-DE"/>
        </w:rPr>
        <w:t>inclusion</w:t>
      </w:r>
      <w:proofErr w:type="spellEnd"/>
      <w:r w:rsidR="001E5447" w:rsidRPr="009544AD">
        <w:rPr>
          <w:lang w:val="de-DE"/>
        </w:rPr>
        <w:t xml:space="preserve"> </w:t>
      </w:r>
      <w:proofErr w:type="spellStart"/>
      <w:r w:rsidR="001E5447" w:rsidRPr="009544AD">
        <w:rPr>
          <w:lang w:val="de-DE"/>
        </w:rPr>
        <w:t>body</w:t>
      </w:r>
      <w:proofErr w:type="spellEnd"/>
      <w:r w:rsidR="001E5447" w:rsidRPr="009544AD">
        <w:rPr>
          <w:lang w:val="de-DE"/>
        </w:rPr>
        <w:t xml:space="preserve"> </w:t>
      </w:r>
      <w:proofErr w:type="spellStart"/>
      <w:r w:rsidR="001E5447" w:rsidRPr="009544AD">
        <w:rPr>
          <w:lang w:val="de-DE"/>
        </w:rPr>
        <w:t>protein</w:t>
      </w:r>
      <w:proofErr w:type="spellEnd"/>
      <w:r w:rsidR="001E5447" w:rsidRPr="009544AD">
        <w:rPr>
          <w:lang w:val="de-DE"/>
        </w:rPr>
        <w:t xml:space="preserve"> </w:t>
      </w:r>
      <w:proofErr w:type="spellStart"/>
      <w:r w:rsidR="001E5447" w:rsidRPr="009544AD">
        <w:rPr>
          <w:lang w:val="de-DE"/>
        </w:rPr>
        <w:t>is</w:t>
      </w:r>
      <w:proofErr w:type="spellEnd"/>
      <w:r w:rsidR="001E5447" w:rsidRPr="009544AD">
        <w:rPr>
          <w:lang w:val="de-DE"/>
        </w:rPr>
        <w:t xml:space="preserve"> </w:t>
      </w:r>
      <w:proofErr w:type="spellStart"/>
      <w:r w:rsidR="001E5447" w:rsidRPr="009544AD">
        <w:rPr>
          <w:lang w:val="de-DE"/>
        </w:rPr>
        <w:t>useful</w:t>
      </w:r>
      <w:proofErr w:type="spellEnd"/>
      <w:r w:rsidR="001E5447" w:rsidRPr="009544AD">
        <w:rPr>
          <w:lang w:val="de-DE"/>
        </w:rPr>
        <w:t xml:space="preserve"> for a </w:t>
      </w:r>
      <w:proofErr w:type="spellStart"/>
      <w:r w:rsidR="001E5447" w:rsidRPr="009544AD">
        <w:rPr>
          <w:lang w:val="de-DE"/>
        </w:rPr>
        <w:t>polymerase</w:t>
      </w:r>
      <w:proofErr w:type="spellEnd"/>
      <w:r w:rsidR="001E5447" w:rsidRPr="009544AD">
        <w:rPr>
          <w:lang w:val="de-DE"/>
        </w:rPr>
        <w:t xml:space="preserve"> </w:t>
      </w:r>
      <w:proofErr w:type="spellStart"/>
      <w:r w:rsidR="001E5447" w:rsidRPr="009544AD">
        <w:rPr>
          <w:lang w:val="de-DE"/>
        </w:rPr>
        <w:t>chain</w:t>
      </w:r>
      <w:proofErr w:type="spellEnd"/>
      <w:r w:rsidR="001E5447" w:rsidRPr="009544AD">
        <w:rPr>
          <w:lang w:val="de-DE"/>
        </w:rPr>
        <w:t xml:space="preserve"> </w:t>
      </w:r>
      <w:proofErr w:type="spellStart"/>
      <w:r w:rsidR="001E5447" w:rsidRPr="009544AD">
        <w:rPr>
          <w:lang w:val="de-DE"/>
        </w:rPr>
        <w:t>reaction</w:t>
      </w:r>
      <w:proofErr w:type="spellEnd"/>
      <w:r w:rsidR="001E5447" w:rsidRPr="009544AD">
        <w:rPr>
          <w:lang w:val="de-DE"/>
        </w:rPr>
        <w:t xml:space="preserve"> </w:t>
      </w:r>
      <w:proofErr w:type="spellStart"/>
      <w:r w:rsidR="001E5447" w:rsidRPr="009544AD">
        <w:rPr>
          <w:lang w:val="de-DE"/>
        </w:rPr>
        <w:t>assay</w:t>
      </w:r>
      <w:proofErr w:type="spellEnd"/>
      <w:r w:rsidR="001E5447" w:rsidRPr="009544AD">
        <w:rPr>
          <w:lang w:val="de-DE"/>
        </w:rPr>
        <w:t xml:space="preserve"> </w:t>
      </w:r>
      <w:proofErr w:type="spellStart"/>
      <w:r w:rsidR="001E5447" w:rsidRPr="009544AD">
        <w:rPr>
          <w:lang w:val="de-DE"/>
        </w:rPr>
        <w:t>to</w:t>
      </w:r>
      <w:proofErr w:type="spellEnd"/>
      <w:r w:rsidR="001E5447" w:rsidRPr="009544AD">
        <w:rPr>
          <w:lang w:val="de-DE"/>
        </w:rPr>
        <w:t xml:space="preserve"> </w:t>
      </w:r>
      <w:proofErr w:type="spellStart"/>
      <w:r w:rsidR="001E5447" w:rsidRPr="009544AD">
        <w:rPr>
          <w:lang w:val="de-DE"/>
        </w:rPr>
        <w:t>differentiate</w:t>
      </w:r>
      <w:proofErr w:type="spellEnd"/>
      <w:r w:rsidR="001E5447" w:rsidRPr="009544AD">
        <w:rPr>
          <w:lang w:val="de-DE"/>
        </w:rPr>
        <w:t xml:space="preserve"> </w:t>
      </w:r>
      <w:proofErr w:type="spellStart"/>
      <w:r w:rsidR="001E5447" w:rsidRPr="009544AD">
        <w:rPr>
          <w:lang w:val="de-DE"/>
        </w:rPr>
        <w:t>orthopoxviruses</w:t>
      </w:r>
      <w:proofErr w:type="spellEnd"/>
      <w:r w:rsidR="001E5447" w:rsidRPr="009544AD">
        <w:rPr>
          <w:lang w:val="de-DE"/>
        </w:rPr>
        <w:t>. J</w:t>
      </w:r>
      <w:r w:rsidR="001E5447" w:rsidRPr="009544AD">
        <w:rPr>
          <w:i/>
          <w:lang w:val="de-DE"/>
        </w:rPr>
        <w:t xml:space="preserve">. </w:t>
      </w:r>
      <w:proofErr w:type="spellStart"/>
      <w:r w:rsidR="001E5447" w:rsidRPr="009544AD">
        <w:rPr>
          <w:i/>
          <w:lang w:val="de-DE"/>
        </w:rPr>
        <w:t>Virol</w:t>
      </w:r>
      <w:proofErr w:type="spellEnd"/>
      <w:r w:rsidR="001E5447" w:rsidRPr="009544AD">
        <w:rPr>
          <w:i/>
          <w:lang w:val="de-DE"/>
        </w:rPr>
        <w:t>. Meth</w:t>
      </w:r>
      <w:r w:rsidRPr="009544AD">
        <w:rPr>
          <w:i/>
          <w:lang w:val="de-DE"/>
        </w:rPr>
        <w:t>ods</w:t>
      </w:r>
      <w:r w:rsidRPr="009544AD">
        <w:rPr>
          <w:lang w:val="de-DE"/>
        </w:rPr>
        <w:t>,</w:t>
      </w:r>
      <w:r w:rsidR="001E5447" w:rsidRPr="009544AD">
        <w:rPr>
          <w:lang w:val="de-DE"/>
        </w:rPr>
        <w:t xml:space="preserve"> </w:t>
      </w:r>
      <w:r w:rsidR="001E5447" w:rsidRPr="009544AD">
        <w:rPr>
          <w:b/>
          <w:lang w:val="de-DE"/>
        </w:rPr>
        <w:t>64</w:t>
      </w:r>
      <w:r w:rsidR="001E5447" w:rsidRPr="009544AD">
        <w:rPr>
          <w:lang w:val="de-DE"/>
        </w:rPr>
        <w:t>, 217</w:t>
      </w:r>
      <w:r w:rsidRPr="009544AD">
        <w:rPr>
          <w:lang w:val="de-DE"/>
        </w:rPr>
        <w:t>–</w:t>
      </w:r>
      <w:r w:rsidR="001E5447" w:rsidRPr="009544AD">
        <w:rPr>
          <w:lang w:val="de-DE"/>
        </w:rPr>
        <w:t xml:space="preserve">221. </w:t>
      </w:r>
    </w:p>
    <w:p w14:paraId="6E9B4CD2" w14:textId="368EE2D4" w:rsidR="00D350F7" w:rsidRPr="009544AD" w:rsidRDefault="00E12548" w:rsidP="00EA5642">
      <w:pPr>
        <w:pStyle w:val="Ref"/>
        <w:ind w:left="0" w:firstLine="0"/>
      </w:pPr>
      <w:bookmarkStart w:id="13" w:name="_Ref331583834"/>
      <w:proofErr w:type="spellStart"/>
      <w:r w:rsidRPr="009544AD">
        <w:rPr>
          <w:smallCaps/>
        </w:rPr>
        <w:t>Nothelfer</w:t>
      </w:r>
      <w:proofErr w:type="spellEnd"/>
      <w:r w:rsidRPr="009544AD">
        <w:rPr>
          <w:smallCaps/>
        </w:rPr>
        <w:t xml:space="preserve"> H.B., </w:t>
      </w:r>
      <w:proofErr w:type="spellStart"/>
      <w:r w:rsidRPr="009544AD">
        <w:rPr>
          <w:smallCaps/>
        </w:rPr>
        <w:t>Wernery</w:t>
      </w:r>
      <w:proofErr w:type="spellEnd"/>
      <w:r w:rsidRPr="009544AD">
        <w:rPr>
          <w:smallCaps/>
        </w:rPr>
        <w:t xml:space="preserve"> U. &amp; Czerny C.P.</w:t>
      </w:r>
      <w:r w:rsidRPr="009544AD">
        <w:t xml:space="preserve"> (</w:t>
      </w:r>
      <w:r w:rsidR="00D350F7" w:rsidRPr="009544AD">
        <w:t xml:space="preserve">1995). Camel pox: antigen detection within skin lesions – Immunohistochemistry as a simple method of etiological diagnosis. </w:t>
      </w:r>
      <w:r w:rsidR="00033DAE" w:rsidRPr="009544AD">
        <w:rPr>
          <w:i/>
        </w:rPr>
        <w:t>J.</w:t>
      </w:r>
      <w:r w:rsidR="00D350F7" w:rsidRPr="009544AD">
        <w:rPr>
          <w:i/>
        </w:rPr>
        <w:t xml:space="preserve"> Camel </w:t>
      </w:r>
      <w:proofErr w:type="spellStart"/>
      <w:r w:rsidR="00D350F7" w:rsidRPr="009544AD">
        <w:rPr>
          <w:i/>
        </w:rPr>
        <w:t>Pract</w:t>
      </w:r>
      <w:proofErr w:type="spellEnd"/>
      <w:r w:rsidR="00AD789A" w:rsidRPr="009544AD">
        <w:rPr>
          <w:i/>
        </w:rPr>
        <w:t>.</w:t>
      </w:r>
      <w:r w:rsidR="00D350F7" w:rsidRPr="009544AD">
        <w:rPr>
          <w:i/>
        </w:rPr>
        <w:t xml:space="preserve"> Res</w:t>
      </w:r>
      <w:r w:rsidR="00AD789A" w:rsidRPr="009544AD">
        <w:rPr>
          <w:i/>
        </w:rPr>
        <w:t>.</w:t>
      </w:r>
      <w:r w:rsidR="00D350F7" w:rsidRPr="009544AD">
        <w:t xml:space="preserve">, </w:t>
      </w:r>
      <w:r w:rsidR="00D350F7" w:rsidRPr="009544AD">
        <w:rPr>
          <w:b/>
          <w:bCs/>
        </w:rPr>
        <w:t>2</w:t>
      </w:r>
      <w:r w:rsidR="00AD789A" w:rsidRPr="009544AD">
        <w:t>,</w:t>
      </w:r>
      <w:r w:rsidR="00D350F7" w:rsidRPr="009544AD">
        <w:t xml:space="preserve"> 119</w:t>
      </w:r>
      <w:r w:rsidR="00993A40" w:rsidRPr="009544AD">
        <w:t>–</w:t>
      </w:r>
      <w:r w:rsidR="00D350F7" w:rsidRPr="009544AD">
        <w:t>121.</w:t>
      </w:r>
      <w:bookmarkEnd w:id="13"/>
      <w:r w:rsidR="00033DAE" w:rsidRPr="009544AD">
        <w:t xml:space="preserve"> </w:t>
      </w:r>
    </w:p>
    <w:p w14:paraId="56DF1936" w14:textId="77777777" w:rsidR="00D350F7" w:rsidRPr="009544AD" w:rsidRDefault="00E12548" w:rsidP="00EA5642">
      <w:pPr>
        <w:pStyle w:val="Ref"/>
        <w:ind w:left="0" w:firstLine="0"/>
        <w:rPr>
          <w:lang w:val="de-DE"/>
        </w:rPr>
      </w:pPr>
      <w:bookmarkStart w:id="14" w:name="_Ref331583530"/>
      <w:r w:rsidRPr="009544AD">
        <w:rPr>
          <w:smallCaps/>
          <w:lang w:val="de-DE"/>
        </w:rPr>
        <w:t xml:space="preserve">Pfeffer M., Meyer H., </w:t>
      </w:r>
      <w:proofErr w:type="spellStart"/>
      <w:r w:rsidRPr="009544AD">
        <w:rPr>
          <w:smallCaps/>
          <w:lang w:val="de-DE"/>
        </w:rPr>
        <w:t>Wernery</w:t>
      </w:r>
      <w:proofErr w:type="spellEnd"/>
      <w:r w:rsidRPr="009544AD">
        <w:rPr>
          <w:smallCaps/>
          <w:lang w:val="de-DE"/>
        </w:rPr>
        <w:t xml:space="preserve"> U. &amp; </w:t>
      </w:r>
      <w:proofErr w:type="spellStart"/>
      <w:r w:rsidRPr="009544AD">
        <w:rPr>
          <w:smallCaps/>
          <w:lang w:val="de-DE"/>
        </w:rPr>
        <w:t>Kaaden</w:t>
      </w:r>
      <w:proofErr w:type="spellEnd"/>
      <w:r w:rsidRPr="009544AD">
        <w:rPr>
          <w:smallCaps/>
          <w:lang w:val="de-DE"/>
        </w:rPr>
        <w:t xml:space="preserve"> O.-R</w:t>
      </w:r>
      <w:r w:rsidRPr="009544AD">
        <w:rPr>
          <w:lang w:val="de-DE"/>
        </w:rPr>
        <w:t xml:space="preserve">. </w:t>
      </w:r>
      <w:r w:rsidR="00D350F7" w:rsidRPr="009544AD">
        <w:rPr>
          <w:lang w:val="de-DE"/>
        </w:rPr>
        <w:t xml:space="preserve">(1996). </w:t>
      </w:r>
      <w:r w:rsidR="00D350F7" w:rsidRPr="009544AD">
        <w:t xml:space="preserve">Comparison of </w:t>
      </w:r>
      <w:proofErr w:type="spellStart"/>
      <w:r w:rsidR="00D350F7" w:rsidRPr="009544AD">
        <w:t>camelpox</w:t>
      </w:r>
      <w:proofErr w:type="spellEnd"/>
      <w:r w:rsidR="00D350F7" w:rsidRPr="009544AD">
        <w:t xml:space="preserve"> viruses isolated in Dubai. </w:t>
      </w:r>
      <w:r w:rsidR="00D350F7" w:rsidRPr="009544AD">
        <w:rPr>
          <w:i/>
          <w:lang w:val="de-DE"/>
        </w:rPr>
        <w:t>Vet</w:t>
      </w:r>
      <w:r w:rsidR="00AD789A" w:rsidRPr="009544AD">
        <w:rPr>
          <w:i/>
          <w:lang w:val="de-DE"/>
        </w:rPr>
        <w:t>.</w:t>
      </w:r>
      <w:r w:rsidR="00D350F7" w:rsidRPr="009544AD">
        <w:rPr>
          <w:i/>
          <w:lang w:val="de-DE"/>
        </w:rPr>
        <w:t xml:space="preserve"> </w:t>
      </w:r>
      <w:proofErr w:type="spellStart"/>
      <w:r w:rsidR="00D350F7" w:rsidRPr="009544AD">
        <w:rPr>
          <w:i/>
          <w:lang w:val="de-DE"/>
        </w:rPr>
        <w:t>Microbiol</w:t>
      </w:r>
      <w:proofErr w:type="spellEnd"/>
      <w:r w:rsidR="00AD789A" w:rsidRPr="009544AD">
        <w:rPr>
          <w:i/>
          <w:lang w:val="de-DE"/>
        </w:rPr>
        <w:t>.</w:t>
      </w:r>
      <w:r w:rsidR="00D350F7" w:rsidRPr="009544AD">
        <w:rPr>
          <w:lang w:val="de-DE"/>
        </w:rPr>
        <w:t xml:space="preserve">, </w:t>
      </w:r>
      <w:r w:rsidR="00D350F7" w:rsidRPr="009544AD">
        <w:rPr>
          <w:b/>
          <w:bCs/>
          <w:lang w:val="de-DE"/>
        </w:rPr>
        <w:t>49</w:t>
      </w:r>
      <w:r w:rsidR="00D350F7" w:rsidRPr="009544AD">
        <w:rPr>
          <w:lang w:val="de-DE"/>
        </w:rPr>
        <w:t>, 135</w:t>
      </w:r>
      <w:r w:rsidR="00993A40" w:rsidRPr="009544AD">
        <w:rPr>
          <w:lang w:val="de-DE"/>
        </w:rPr>
        <w:t>–</w:t>
      </w:r>
      <w:r w:rsidR="00D350F7" w:rsidRPr="009544AD">
        <w:rPr>
          <w:lang w:val="de-DE"/>
        </w:rPr>
        <w:t>146.</w:t>
      </w:r>
      <w:bookmarkEnd w:id="14"/>
      <w:r w:rsidR="00033DAE" w:rsidRPr="009544AD">
        <w:rPr>
          <w:lang w:val="de-DE"/>
        </w:rPr>
        <w:t xml:space="preserve"> </w:t>
      </w:r>
    </w:p>
    <w:p w14:paraId="47D70F73" w14:textId="77777777" w:rsidR="00D350F7" w:rsidRPr="009544AD" w:rsidRDefault="00E12548" w:rsidP="00EA5642">
      <w:pPr>
        <w:pStyle w:val="Ref"/>
        <w:ind w:left="0" w:firstLine="0"/>
      </w:pPr>
      <w:bookmarkStart w:id="15" w:name="_Ref331583021"/>
      <w:r w:rsidRPr="009544AD">
        <w:rPr>
          <w:smallCaps/>
          <w:lang w:val="de-DE"/>
        </w:rPr>
        <w:t xml:space="preserve">Pfeffer M., Neubauer H., </w:t>
      </w:r>
      <w:proofErr w:type="spellStart"/>
      <w:r w:rsidRPr="009544AD">
        <w:rPr>
          <w:smallCaps/>
          <w:lang w:val="de-DE"/>
        </w:rPr>
        <w:t>Wernery</w:t>
      </w:r>
      <w:proofErr w:type="spellEnd"/>
      <w:r w:rsidRPr="009544AD">
        <w:rPr>
          <w:smallCaps/>
          <w:lang w:val="de-DE"/>
        </w:rPr>
        <w:t xml:space="preserve"> U., </w:t>
      </w:r>
      <w:proofErr w:type="spellStart"/>
      <w:r w:rsidRPr="009544AD">
        <w:rPr>
          <w:smallCaps/>
          <w:lang w:val="de-DE"/>
        </w:rPr>
        <w:t>Kaaden</w:t>
      </w:r>
      <w:proofErr w:type="spellEnd"/>
      <w:r w:rsidRPr="009544AD">
        <w:rPr>
          <w:smallCaps/>
          <w:lang w:val="de-DE"/>
        </w:rPr>
        <w:t xml:space="preserve"> O.-R. &amp; Meyer H.</w:t>
      </w:r>
      <w:r w:rsidRPr="009544AD">
        <w:rPr>
          <w:lang w:val="de-DE"/>
        </w:rPr>
        <w:t xml:space="preserve"> </w:t>
      </w:r>
      <w:r w:rsidR="00D350F7" w:rsidRPr="009544AD">
        <w:rPr>
          <w:lang w:val="de-DE"/>
        </w:rPr>
        <w:t>(1998</w:t>
      </w:r>
      <w:r w:rsidR="00FB0BA9" w:rsidRPr="009544AD">
        <w:rPr>
          <w:lang w:val="de-DE"/>
        </w:rPr>
        <w:t>a</w:t>
      </w:r>
      <w:r w:rsidR="00D350F7" w:rsidRPr="009544AD">
        <w:rPr>
          <w:lang w:val="de-DE"/>
        </w:rPr>
        <w:t xml:space="preserve">). </w:t>
      </w:r>
      <w:r w:rsidR="00D350F7" w:rsidRPr="009544AD">
        <w:t xml:space="preserve">Fatal form of </w:t>
      </w:r>
      <w:proofErr w:type="spellStart"/>
      <w:r w:rsidR="00D350F7" w:rsidRPr="009544AD">
        <w:t>camelpox</w:t>
      </w:r>
      <w:proofErr w:type="spellEnd"/>
      <w:r w:rsidR="00D350F7" w:rsidRPr="009544AD">
        <w:t xml:space="preserve"> virus infection. </w:t>
      </w:r>
      <w:r w:rsidR="00D350F7" w:rsidRPr="009544AD">
        <w:rPr>
          <w:i/>
        </w:rPr>
        <w:t>Vet</w:t>
      </w:r>
      <w:r w:rsidR="00AD789A" w:rsidRPr="009544AD">
        <w:rPr>
          <w:i/>
        </w:rPr>
        <w:t>.</w:t>
      </w:r>
      <w:r w:rsidR="00D350F7" w:rsidRPr="009544AD">
        <w:rPr>
          <w:i/>
        </w:rPr>
        <w:t xml:space="preserve"> J</w:t>
      </w:r>
      <w:r w:rsidR="00AD789A" w:rsidRPr="009544AD">
        <w:rPr>
          <w:i/>
        </w:rPr>
        <w:t>.</w:t>
      </w:r>
      <w:r w:rsidR="00D350F7" w:rsidRPr="009544AD">
        <w:t xml:space="preserve">, </w:t>
      </w:r>
      <w:r w:rsidR="00D350F7" w:rsidRPr="009544AD">
        <w:rPr>
          <w:b/>
          <w:bCs/>
        </w:rPr>
        <w:t>155</w:t>
      </w:r>
      <w:r w:rsidR="00D350F7" w:rsidRPr="009544AD">
        <w:t>, 107</w:t>
      </w:r>
      <w:r w:rsidR="00993A40" w:rsidRPr="009544AD">
        <w:t>–</w:t>
      </w:r>
      <w:r w:rsidR="00D350F7" w:rsidRPr="009544AD">
        <w:t>109.</w:t>
      </w:r>
      <w:bookmarkEnd w:id="15"/>
    </w:p>
    <w:p w14:paraId="207878A9" w14:textId="36A40383" w:rsidR="00D350F7" w:rsidRPr="009544AD" w:rsidRDefault="00E12548" w:rsidP="00EA5642">
      <w:pPr>
        <w:pStyle w:val="Ref"/>
        <w:ind w:left="0" w:firstLine="0"/>
      </w:pPr>
      <w:bookmarkStart w:id="16" w:name="_Ref331583583"/>
      <w:r w:rsidRPr="009544AD">
        <w:rPr>
          <w:smallCaps/>
          <w:lang w:val="de-DE"/>
        </w:rPr>
        <w:t>Pfeffer</w:t>
      </w:r>
      <w:r w:rsidRPr="009544AD">
        <w:rPr>
          <w:lang w:val="de-DE"/>
        </w:rPr>
        <w:t xml:space="preserve"> </w:t>
      </w:r>
      <w:r w:rsidRPr="009544AD">
        <w:rPr>
          <w:smallCaps/>
          <w:lang w:val="de-DE"/>
        </w:rPr>
        <w:t xml:space="preserve">M., </w:t>
      </w:r>
      <w:proofErr w:type="spellStart"/>
      <w:r w:rsidRPr="009544AD">
        <w:rPr>
          <w:smallCaps/>
          <w:lang w:val="de-DE"/>
        </w:rPr>
        <w:t>Wernery</w:t>
      </w:r>
      <w:proofErr w:type="spellEnd"/>
      <w:r w:rsidRPr="009544AD">
        <w:rPr>
          <w:smallCaps/>
          <w:lang w:val="de-DE"/>
        </w:rPr>
        <w:t xml:space="preserve"> U., </w:t>
      </w:r>
      <w:proofErr w:type="spellStart"/>
      <w:r w:rsidRPr="009544AD">
        <w:rPr>
          <w:smallCaps/>
          <w:lang w:val="de-DE"/>
        </w:rPr>
        <w:t>Kaaden</w:t>
      </w:r>
      <w:proofErr w:type="spellEnd"/>
      <w:r w:rsidRPr="009544AD">
        <w:rPr>
          <w:smallCaps/>
          <w:lang w:val="de-DE"/>
        </w:rPr>
        <w:t xml:space="preserve"> O.-R. &amp; Meyer H. </w:t>
      </w:r>
      <w:r w:rsidR="00D350F7" w:rsidRPr="009544AD">
        <w:rPr>
          <w:lang w:val="de-DE"/>
        </w:rPr>
        <w:t>(1998</w:t>
      </w:r>
      <w:r w:rsidR="00FB0BA9" w:rsidRPr="009544AD">
        <w:rPr>
          <w:lang w:val="de-DE"/>
        </w:rPr>
        <w:t>b</w:t>
      </w:r>
      <w:r w:rsidR="00D350F7" w:rsidRPr="009544AD">
        <w:rPr>
          <w:lang w:val="de-DE"/>
        </w:rPr>
        <w:t xml:space="preserve">). </w:t>
      </w:r>
      <w:r w:rsidR="00D350F7" w:rsidRPr="009544AD">
        <w:t xml:space="preserve">Diagnostic procedures for poxvirus infections in camelids. </w:t>
      </w:r>
      <w:r w:rsidR="00AD789A" w:rsidRPr="009544AD">
        <w:rPr>
          <w:i/>
        </w:rPr>
        <w:t xml:space="preserve">J. Camel </w:t>
      </w:r>
      <w:proofErr w:type="spellStart"/>
      <w:r w:rsidR="00AD789A" w:rsidRPr="009544AD">
        <w:rPr>
          <w:i/>
        </w:rPr>
        <w:t>Pract</w:t>
      </w:r>
      <w:proofErr w:type="spellEnd"/>
      <w:r w:rsidR="00AD789A" w:rsidRPr="009544AD">
        <w:rPr>
          <w:i/>
        </w:rPr>
        <w:t>. Res.</w:t>
      </w:r>
      <w:r w:rsidR="00AD789A" w:rsidRPr="009544AD">
        <w:t xml:space="preserve">, </w:t>
      </w:r>
      <w:r w:rsidR="00D350F7" w:rsidRPr="009544AD">
        <w:rPr>
          <w:b/>
          <w:bCs/>
        </w:rPr>
        <w:t>5</w:t>
      </w:r>
      <w:r w:rsidR="00AD789A" w:rsidRPr="009544AD">
        <w:t>,</w:t>
      </w:r>
      <w:r w:rsidR="00D350F7" w:rsidRPr="009544AD">
        <w:t xml:space="preserve"> 189</w:t>
      </w:r>
      <w:r w:rsidR="00993A40" w:rsidRPr="009544AD">
        <w:t>–</w:t>
      </w:r>
      <w:r w:rsidR="00D350F7" w:rsidRPr="009544AD">
        <w:t>195.</w:t>
      </w:r>
      <w:bookmarkEnd w:id="16"/>
    </w:p>
    <w:p w14:paraId="1877BF6E" w14:textId="03B4D3B5" w:rsidR="004247AA" w:rsidRPr="00434D31" w:rsidRDefault="000738C1" w:rsidP="00EA5642">
      <w:pPr>
        <w:pStyle w:val="Ref"/>
        <w:ind w:left="0" w:firstLine="0"/>
        <w:rPr>
          <w:lang w:val="es-SV"/>
        </w:rPr>
      </w:pPr>
      <w:proofErr w:type="spellStart"/>
      <w:r w:rsidRPr="009544AD">
        <w:rPr>
          <w:smallCaps/>
        </w:rPr>
        <w:t>Ropp</w:t>
      </w:r>
      <w:proofErr w:type="spellEnd"/>
      <w:r w:rsidRPr="009544AD">
        <w:rPr>
          <w:smallCaps/>
        </w:rPr>
        <w:t xml:space="preserve"> S.L., </w:t>
      </w:r>
      <w:proofErr w:type="spellStart"/>
      <w:r w:rsidRPr="009544AD">
        <w:rPr>
          <w:smallCaps/>
        </w:rPr>
        <w:t>Jin</w:t>
      </w:r>
      <w:proofErr w:type="spellEnd"/>
      <w:r w:rsidRPr="009544AD">
        <w:rPr>
          <w:smallCaps/>
        </w:rPr>
        <w:t xml:space="preserve"> </w:t>
      </w:r>
      <w:r w:rsidR="00B113BE" w:rsidRPr="009544AD">
        <w:rPr>
          <w:smallCaps/>
        </w:rPr>
        <w:t xml:space="preserve">Q., Knight J.C. </w:t>
      </w:r>
      <w:proofErr w:type="spellStart"/>
      <w:r w:rsidR="00B113BE" w:rsidRPr="009544AD">
        <w:rPr>
          <w:smallCaps/>
        </w:rPr>
        <w:t>Massung</w:t>
      </w:r>
      <w:proofErr w:type="spellEnd"/>
      <w:r w:rsidR="00B113BE" w:rsidRPr="009544AD">
        <w:rPr>
          <w:smallCaps/>
        </w:rPr>
        <w:t xml:space="preserve"> R.F. &amp; </w:t>
      </w:r>
      <w:r w:rsidRPr="009544AD">
        <w:rPr>
          <w:smallCaps/>
        </w:rPr>
        <w:t>Esposito J.J.</w:t>
      </w:r>
      <w:r w:rsidRPr="009544AD">
        <w:t xml:space="preserve"> </w:t>
      </w:r>
      <w:r w:rsidR="004247AA" w:rsidRPr="009544AD">
        <w:t>(19</w:t>
      </w:r>
      <w:r w:rsidR="0036407C" w:rsidRPr="009544AD">
        <w:t>95)</w:t>
      </w:r>
      <w:r w:rsidRPr="009544AD">
        <w:t>.</w:t>
      </w:r>
      <w:r w:rsidR="0036407C" w:rsidRPr="009544AD">
        <w:t xml:space="preserve"> PCR strategy for identification and differentiation of smallpox and other </w:t>
      </w:r>
      <w:proofErr w:type="spellStart"/>
      <w:r w:rsidR="0036407C" w:rsidRPr="009544AD">
        <w:t>orthopoxviruses</w:t>
      </w:r>
      <w:proofErr w:type="spellEnd"/>
      <w:r w:rsidR="0036407C" w:rsidRPr="009544AD">
        <w:t xml:space="preserve">. </w:t>
      </w:r>
      <w:r w:rsidR="0036407C" w:rsidRPr="00434D31">
        <w:rPr>
          <w:i/>
          <w:lang w:val="es-SV"/>
        </w:rPr>
        <w:t xml:space="preserve">J. Clin. </w:t>
      </w:r>
      <w:proofErr w:type="spellStart"/>
      <w:r w:rsidR="0036407C" w:rsidRPr="00434D31">
        <w:rPr>
          <w:i/>
          <w:lang w:val="es-SV"/>
        </w:rPr>
        <w:t>Microbiol</w:t>
      </w:r>
      <w:proofErr w:type="spellEnd"/>
      <w:r w:rsidR="0036407C" w:rsidRPr="00434D31">
        <w:rPr>
          <w:lang w:val="es-SV"/>
        </w:rPr>
        <w:t>.</w:t>
      </w:r>
      <w:r w:rsidRPr="00434D31">
        <w:rPr>
          <w:lang w:val="es-SV"/>
        </w:rPr>
        <w:t>,</w:t>
      </w:r>
      <w:r w:rsidR="0036407C" w:rsidRPr="00434D31">
        <w:rPr>
          <w:lang w:val="es-SV"/>
        </w:rPr>
        <w:t xml:space="preserve"> </w:t>
      </w:r>
      <w:r w:rsidR="0036407C" w:rsidRPr="00434D31">
        <w:rPr>
          <w:b/>
          <w:lang w:val="es-SV"/>
        </w:rPr>
        <w:t>33</w:t>
      </w:r>
      <w:r w:rsidR="0036407C" w:rsidRPr="00434D31">
        <w:rPr>
          <w:lang w:val="es-SV"/>
        </w:rPr>
        <w:t>, 2069</w:t>
      </w:r>
      <w:r w:rsidRPr="00434D31">
        <w:rPr>
          <w:lang w:val="es-SV"/>
        </w:rPr>
        <w:t>–</w:t>
      </w:r>
      <w:r w:rsidR="0036407C" w:rsidRPr="00434D31">
        <w:rPr>
          <w:lang w:val="es-SV"/>
        </w:rPr>
        <w:t xml:space="preserve">2076. </w:t>
      </w:r>
    </w:p>
    <w:p w14:paraId="48B9A29E" w14:textId="1FE1289D" w:rsidR="00D350F7" w:rsidRPr="009544AD" w:rsidRDefault="00E12548" w:rsidP="00EA5642">
      <w:pPr>
        <w:pStyle w:val="Ref"/>
        <w:ind w:left="0" w:firstLine="0"/>
      </w:pPr>
      <w:bookmarkStart w:id="17" w:name="_Ref331582776"/>
      <w:proofErr w:type="spellStart"/>
      <w:r w:rsidRPr="00434D31">
        <w:rPr>
          <w:smallCaps/>
          <w:lang w:val="es-SV"/>
        </w:rPr>
        <w:t>Tantawi</w:t>
      </w:r>
      <w:proofErr w:type="spellEnd"/>
      <w:r w:rsidRPr="00434D31">
        <w:rPr>
          <w:smallCaps/>
          <w:lang w:val="es-SV"/>
        </w:rPr>
        <w:t xml:space="preserve"> H.H., </w:t>
      </w:r>
      <w:proofErr w:type="spellStart"/>
      <w:r w:rsidRPr="00434D31">
        <w:rPr>
          <w:smallCaps/>
          <w:lang w:val="es-SV"/>
        </w:rPr>
        <w:t>Saban</w:t>
      </w:r>
      <w:proofErr w:type="spellEnd"/>
      <w:r w:rsidRPr="00434D31">
        <w:rPr>
          <w:smallCaps/>
          <w:lang w:val="es-SV"/>
        </w:rPr>
        <w:t xml:space="preserve"> M.S., Reda I.M. &amp; El-</w:t>
      </w:r>
      <w:proofErr w:type="spellStart"/>
      <w:r w:rsidRPr="00434D31">
        <w:rPr>
          <w:smallCaps/>
          <w:lang w:val="es-SV"/>
        </w:rPr>
        <w:t>Dahaby</w:t>
      </w:r>
      <w:proofErr w:type="spellEnd"/>
      <w:r w:rsidRPr="00434D31">
        <w:rPr>
          <w:smallCaps/>
          <w:lang w:val="es-SV"/>
        </w:rPr>
        <w:t xml:space="preserve"> H </w:t>
      </w:r>
      <w:r w:rsidR="00D350F7" w:rsidRPr="00434D31">
        <w:rPr>
          <w:smallCaps/>
          <w:lang w:val="es-SV"/>
        </w:rPr>
        <w:t>(</w:t>
      </w:r>
      <w:r w:rsidR="00D350F7" w:rsidRPr="00434D31">
        <w:rPr>
          <w:lang w:val="es-SV"/>
        </w:rPr>
        <w:t xml:space="preserve">1974). </w:t>
      </w:r>
      <w:proofErr w:type="spellStart"/>
      <w:r w:rsidR="00D350F7" w:rsidRPr="009544AD">
        <w:t>Camelpox</w:t>
      </w:r>
      <w:proofErr w:type="spellEnd"/>
      <w:r w:rsidR="00D350F7" w:rsidRPr="009544AD">
        <w:t xml:space="preserve"> virus in Egypt I – Isolation and Characterization. </w:t>
      </w:r>
      <w:r w:rsidR="00D350F7" w:rsidRPr="009544AD">
        <w:rPr>
          <w:i/>
        </w:rPr>
        <w:t>Bull</w:t>
      </w:r>
      <w:r w:rsidR="00AD789A" w:rsidRPr="009544AD">
        <w:rPr>
          <w:i/>
        </w:rPr>
        <w:t>.</w:t>
      </w:r>
      <w:r w:rsidR="00D350F7" w:rsidRPr="009544AD">
        <w:rPr>
          <w:i/>
        </w:rPr>
        <w:t xml:space="preserve"> </w:t>
      </w:r>
      <w:proofErr w:type="spellStart"/>
      <w:r w:rsidR="00D350F7" w:rsidRPr="009544AD">
        <w:rPr>
          <w:i/>
        </w:rPr>
        <w:t>Epizoot</w:t>
      </w:r>
      <w:proofErr w:type="spellEnd"/>
      <w:r w:rsidR="00AD789A" w:rsidRPr="009544AD">
        <w:rPr>
          <w:i/>
        </w:rPr>
        <w:t>.</w:t>
      </w:r>
      <w:r w:rsidR="00D350F7" w:rsidRPr="009544AD">
        <w:rPr>
          <w:i/>
        </w:rPr>
        <w:t xml:space="preserve"> Dis</w:t>
      </w:r>
      <w:r w:rsidR="00AD789A" w:rsidRPr="009544AD">
        <w:rPr>
          <w:i/>
        </w:rPr>
        <w:t>.</w:t>
      </w:r>
      <w:r w:rsidR="00D350F7" w:rsidRPr="009544AD">
        <w:rPr>
          <w:i/>
        </w:rPr>
        <w:t xml:space="preserve"> Africa</w:t>
      </w:r>
      <w:r w:rsidR="00D350F7" w:rsidRPr="009544AD">
        <w:t xml:space="preserve">, </w:t>
      </w:r>
      <w:r w:rsidR="00D350F7" w:rsidRPr="009544AD">
        <w:rPr>
          <w:b/>
          <w:bCs/>
        </w:rPr>
        <w:t>22</w:t>
      </w:r>
      <w:r w:rsidR="00AD789A" w:rsidRPr="009544AD">
        <w:t>,</w:t>
      </w:r>
      <w:r w:rsidR="00D350F7" w:rsidRPr="009544AD">
        <w:t xml:space="preserve"> 315</w:t>
      </w:r>
      <w:r w:rsidR="00993A40" w:rsidRPr="009544AD">
        <w:t>–</w:t>
      </w:r>
      <w:r w:rsidR="00D350F7" w:rsidRPr="009544AD">
        <w:t>319.</w:t>
      </w:r>
      <w:bookmarkEnd w:id="17"/>
      <w:r w:rsidR="00033DAE" w:rsidRPr="009544AD">
        <w:t xml:space="preserve"> </w:t>
      </w:r>
    </w:p>
    <w:p w14:paraId="14A05C38" w14:textId="26867EB3" w:rsidR="00CB68AA" w:rsidRPr="009544AD" w:rsidRDefault="00CB68AA" w:rsidP="00CB68AA">
      <w:pPr>
        <w:pStyle w:val="Ref"/>
        <w:ind w:left="0" w:firstLine="0"/>
      </w:pPr>
      <w:bookmarkStart w:id="18" w:name="_Ref331582860"/>
      <w:proofErr w:type="spellStart"/>
      <w:r w:rsidRPr="009544AD">
        <w:rPr>
          <w:smallCaps/>
          <w:lang w:val="de-DE"/>
        </w:rPr>
        <w:t>Wernery</w:t>
      </w:r>
      <w:proofErr w:type="spellEnd"/>
      <w:r w:rsidRPr="009544AD">
        <w:rPr>
          <w:smallCaps/>
          <w:lang w:val="de-DE"/>
        </w:rPr>
        <w:t xml:space="preserve"> U. </w:t>
      </w:r>
      <w:r w:rsidRPr="009544AD">
        <w:rPr>
          <w:lang w:val="de-DE"/>
        </w:rPr>
        <w:t>(2000).</w:t>
      </w:r>
      <w:r w:rsidRPr="009544AD">
        <w:t xml:space="preserve"> </w:t>
      </w:r>
      <w:r w:rsidR="00F0383B" w:rsidRPr="009544AD">
        <w:rPr>
          <w:color w:val="3C3C3E"/>
        </w:rPr>
        <w:t xml:space="preserve">Production of an attenuated </w:t>
      </w:r>
      <w:proofErr w:type="spellStart"/>
      <w:r w:rsidR="00F0383B" w:rsidRPr="009544AD">
        <w:rPr>
          <w:color w:val="3C3C3E"/>
        </w:rPr>
        <w:t>camelpox</w:t>
      </w:r>
      <w:proofErr w:type="spellEnd"/>
      <w:r w:rsidR="00F0383B" w:rsidRPr="009544AD">
        <w:rPr>
          <w:color w:val="3C3C3E"/>
        </w:rPr>
        <w:t xml:space="preserve"> vaccine (</w:t>
      </w:r>
      <w:proofErr w:type="spellStart"/>
      <w:r w:rsidR="00F0383B" w:rsidRPr="009544AD">
        <w:rPr>
          <w:color w:val="3C3C3E"/>
        </w:rPr>
        <w:t>Ducapox</w:t>
      </w:r>
      <w:proofErr w:type="spellEnd"/>
      <w:r w:rsidR="00F0383B" w:rsidRPr="009544AD">
        <w:rPr>
          <w:color w:val="3C3C3E"/>
        </w:rPr>
        <w:t xml:space="preserve">). </w:t>
      </w:r>
      <w:r w:rsidR="00F0383B" w:rsidRPr="009544AD">
        <w:rPr>
          <w:i/>
          <w:color w:val="3C3C3E"/>
        </w:rPr>
        <w:t xml:space="preserve">J. Camel </w:t>
      </w:r>
      <w:proofErr w:type="spellStart"/>
      <w:r w:rsidR="00F0383B" w:rsidRPr="009544AD">
        <w:rPr>
          <w:i/>
          <w:color w:val="3C3C3E"/>
        </w:rPr>
        <w:t>Pract</w:t>
      </w:r>
      <w:proofErr w:type="spellEnd"/>
      <w:r w:rsidR="00F0383B" w:rsidRPr="009544AD">
        <w:rPr>
          <w:i/>
          <w:color w:val="3C3C3E"/>
        </w:rPr>
        <w:t>. Res</w:t>
      </w:r>
      <w:r w:rsidR="00F0383B" w:rsidRPr="009544AD">
        <w:rPr>
          <w:color w:val="3C3C3E"/>
        </w:rPr>
        <w:t xml:space="preserve">., </w:t>
      </w:r>
      <w:r w:rsidR="00F0383B" w:rsidRPr="009544AD">
        <w:rPr>
          <w:b/>
          <w:color w:val="3C3C3E"/>
        </w:rPr>
        <w:t>7</w:t>
      </w:r>
      <w:r w:rsidR="00F0383B" w:rsidRPr="009544AD">
        <w:rPr>
          <w:color w:val="3C3C3E"/>
        </w:rPr>
        <w:t>, 117–119.</w:t>
      </w:r>
    </w:p>
    <w:p w14:paraId="66FE9B7F" w14:textId="75DBAE92" w:rsidR="00D350F7" w:rsidRPr="007C27B8" w:rsidRDefault="00E12548" w:rsidP="00EA5642">
      <w:pPr>
        <w:pStyle w:val="Ref"/>
        <w:ind w:left="0" w:firstLine="0"/>
        <w:rPr>
          <w:strike/>
        </w:rPr>
      </w:pPr>
      <w:proofErr w:type="spellStart"/>
      <w:r w:rsidRPr="007C27B8">
        <w:rPr>
          <w:smallCaps/>
          <w:strike/>
          <w:lang w:val="de-DE"/>
        </w:rPr>
        <w:t>Wernery</w:t>
      </w:r>
      <w:proofErr w:type="spellEnd"/>
      <w:r w:rsidRPr="007C27B8">
        <w:rPr>
          <w:smallCaps/>
          <w:strike/>
          <w:lang w:val="de-DE"/>
        </w:rPr>
        <w:t xml:space="preserve"> U. &amp; </w:t>
      </w:r>
      <w:proofErr w:type="spellStart"/>
      <w:r w:rsidRPr="007C27B8">
        <w:rPr>
          <w:smallCaps/>
          <w:strike/>
          <w:lang w:val="de-DE"/>
        </w:rPr>
        <w:t>Kaaden</w:t>
      </w:r>
      <w:proofErr w:type="spellEnd"/>
      <w:r w:rsidRPr="007C27B8">
        <w:rPr>
          <w:smallCaps/>
          <w:strike/>
          <w:lang w:val="de-DE"/>
        </w:rPr>
        <w:t xml:space="preserve"> O.-R.</w:t>
      </w:r>
      <w:r w:rsidRPr="007C27B8">
        <w:rPr>
          <w:strike/>
          <w:lang w:val="de-DE"/>
        </w:rPr>
        <w:t xml:space="preserve"> </w:t>
      </w:r>
      <w:r w:rsidR="00D350F7" w:rsidRPr="007C27B8">
        <w:rPr>
          <w:strike/>
          <w:lang w:val="de-DE"/>
        </w:rPr>
        <w:t>(2002)</w:t>
      </w:r>
      <w:r w:rsidR="007C27B8" w:rsidRPr="007C27B8">
        <w:rPr>
          <w:strike/>
          <w:lang w:val="de-DE"/>
        </w:rPr>
        <w:t xml:space="preserve"> </w:t>
      </w:r>
      <w:r w:rsidR="00D350F7" w:rsidRPr="007C27B8">
        <w:rPr>
          <w:strike/>
        </w:rPr>
        <w:t xml:space="preserve">Camel pox. </w:t>
      </w:r>
      <w:r w:rsidR="00D350F7" w:rsidRPr="007C27B8">
        <w:rPr>
          <w:i/>
          <w:strike/>
        </w:rPr>
        <w:t>In</w:t>
      </w:r>
      <w:r w:rsidR="00D350F7" w:rsidRPr="007C27B8">
        <w:rPr>
          <w:strike/>
        </w:rPr>
        <w:t xml:space="preserve">: Infectious Diseases in Camelids, </w:t>
      </w:r>
      <w:r w:rsidR="00383DDA" w:rsidRPr="007C27B8">
        <w:rPr>
          <w:strike/>
        </w:rPr>
        <w:t>Second</w:t>
      </w:r>
      <w:r w:rsidR="00AD789A" w:rsidRPr="007C27B8">
        <w:rPr>
          <w:strike/>
        </w:rPr>
        <w:t xml:space="preserve"> </w:t>
      </w:r>
      <w:r w:rsidR="00D350F7" w:rsidRPr="007C27B8">
        <w:rPr>
          <w:strike/>
        </w:rPr>
        <w:t xml:space="preserve">Edition, </w:t>
      </w:r>
      <w:proofErr w:type="spellStart"/>
      <w:r w:rsidR="00D350F7" w:rsidRPr="007C27B8">
        <w:rPr>
          <w:strike/>
        </w:rPr>
        <w:t>Wernery</w:t>
      </w:r>
      <w:proofErr w:type="spellEnd"/>
      <w:r w:rsidR="00D350F7" w:rsidRPr="007C27B8">
        <w:rPr>
          <w:strike/>
        </w:rPr>
        <w:t xml:space="preserve"> U. &amp; </w:t>
      </w:r>
      <w:proofErr w:type="spellStart"/>
      <w:r w:rsidR="00D350F7" w:rsidRPr="007C27B8">
        <w:rPr>
          <w:strike/>
        </w:rPr>
        <w:t>Kaaden</w:t>
      </w:r>
      <w:proofErr w:type="spellEnd"/>
      <w:r w:rsidR="00D350F7" w:rsidRPr="007C27B8">
        <w:rPr>
          <w:strike/>
        </w:rPr>
        <w:t xml:space="preserve"> </w:t>
      </w:r>
      <w:r w:rsidR="00AD789A" w:rsidRPr="007C27B8">
        <w:rPr>
          <w:strike/>
        </w:rPr>
        <w:t>O.-R., eds.</w:t>
      </w:r>
      <w:r w:rsidR="00D350F7" w:rsidRPr="007C27B8">
        <w:rPr>
          <w:strike/>
        </w:rPr>
        <w:t xml:space="preserve"> Blackwell Science Berlin, </w:t>
      </w:r>
      <w:r w:rsidR="00CB68AA" w:rsidRPr="007C27B8">
        <w:rPr>
          <w:strike/>
        </w:rPr>
        <w:t>Germany</w:t>
      </w:r>
      <w:r w:rsidR="00D350F7" w:rsidRPr="007C27B8">
        <w:rPr>
          <w:strike/>
        </w:rPr>
        <w:t>, 176</w:t>
      </w:r>
      <w:r w:rsidR="00993A40" w:rsidRPr="007C27B8">
        <w:rPr>
          <w:strike/>
        </w:rPr>
        <w:t>–</w:t>
      </w:r>
      <w:r w:rsidR="00D350F7" w:rsidRPr="007C27B8">
        <w:rPr>
          <w:strike/>
        </w:rPr>
        <w:t>185.</w:t>
      </w:r>
      <w:bookmarkEnd w:id="18"/>
      <w:r w:rsidR="00D350F7" w:rsidRPr="007C27B8">
        <w:rPr>
          <w:strike/>
        </w:rPr>
        <w:t xml:space="preserve"> </w:t>
      </w:r>
    </w:p>
    <w:p w14:paraId="7E720CC5" w14:textId="5785B1C1" w:rsidR="007C27B8" w:rsidRPr="007C27B8" w:rsidRDefault="007C27B8" w:rsidP="00EA5642">
      <w:pPr>
        <w:pStyle w:val="Ref"/>
        <w:ind w:left="0" w:firstLine="0"/>
        <w:rPr>
          <w:u w:val="double"/>
        </w:rPr>
      </w:pPr>
      <w:proofErr w:type="spellStart"/>
      <w:r w:rsidRPr="007C27B8">
        <w:rPr>
          <w:smallCaps/>
          <w:u w:val="double"/>
          <w:lang w:val="de-DE"/>
        </w:rPr>
        <w:t>Wernery</w:t>
      </w:r>
      <w:proofErr w:type="spellEnd"/>
      <w:r w:rsidRPr="007C27B8">
        <w:rPr>
          <w:smallCaps/>
          <w:u w:val="double"/>
          <w:lang w:val="de-DE"/>
        </w:rPr>
        <w:t xml:space="preserve"> U., Kinne J. &amp; Schuster R.K.</w:t>
      </w:r>
      <w:r w:rsidR="00894FF3">
        <w:rPr>
          <w:smallCaps/>
          <w:u w:val="double"/>
          <w:lang w:val="de-DE"/>
        </w:rPr>
        <w:t xml:space="preserve"> (</w:t>
      </w:r>
      <w:proofErr w:type="spellStart"/>
      <w:r w:rsidR="00894FF3">
        <w:rPr>
          <w:smallCaps/>
          <w:u w:val="double"/>
          <w:lang w:val="de-DE"/>
        </w:rPr>
        <w:t>eds</w:t>
      </w:r>
      <w:proofErr w:type="spellEnd"/>
      <w:r w:rsidR="00894FF3">
        <w:rPr>
          <w:smallCaps/>
          <w:u w:val="double"/>
          <w:lang w:val="de-DE"/>
        </w:rPr>
        <w:t>)</w:t>
      </w:r>
      <w:r w:rsidRPr="007C27B8">
        <w:rPr>
          <w:smallCaps/>
          <w:u w:val="double"/>
          <w:lang w:val="de-DE"/>
        </w:rPr>
        <w:t xml:space="preserve"> (2014)</w:t>
      </w:r>
      <w:r w:rsidRPr="007C27B8">
        <w:rPr>
          <w:u w:val="double"/>
          <w:lang w:val="de-DE"/>
        </w:rPr>
        <w:t>.</w:t>
      </w:r>
      <w:r w:rsidRPr="007C27B8">
        <w:rPr>
          <w:u w:val="double"/>
        </w:rPr>
        <w:t xml:space="preserve"> Camelid Infectious Disorders</w:t>
      </w:r>
      <w:r w:rsidR="00894FF3">
        <w:rPr>
          <w:u w:val="double"/>
        </w:rPr>
        <w:t>, Third Edition. OIE, World Organisation for Animal Health, Paris, France,</w:t>
      </w:r>
      <w:r w:rsidRPr="007C27B8">
        <w:rPr>
          <w:u w:val="double"/>
        </w:rPr>
        <w:t xml:space="preserve"> pp. xii + 500.</w:t>
      </w:r>
    </w:p>
    <w:p w14:paraId="50A03818" w14:textId="3BBA409F" w:rsidR="00D350F7" w:rsidRPr="009544AD" w:rsidRDefault="00E12548" w:rsidP="00EA5642">
      <w:pPr>
        <w:pStyle w:val="Ref"/>
        <w:ind w:left="0" w:firstLine="0"/>
      </w:pPr>
      <w:bookmarkStart w:id="19" w:name="_Ref331583058"/>
      <w:proofErr w:type="spellStart"/>
      <w:r w:rsidRPr="009544AD">
        <w:rPr>
          <w:smallCaps/>
          <w:lang w:val="de-DE"/>
        </w:rPr>
        <w:t>Wernery</w:t>
      </w:r>
      <w:proofErr w:type="spellEnd"/>
      <w:r w:rsidRPr="009544AD">
        <w:rPr>
          <w:smallCaps/>
          <w:lang w:val="de-DE"/>
        </w:rPr>
        <w:t xml:space="preserve"> U., </w:t>
      </w:r>
      <w:proofErr w:type="spellStart"/>
      <w:r w:rsidRPr="009544AD">
        <w:rPr>
          <w:smallCaps/>
          <w:lang w:val="de-DE"/>
        </w:rPr>
        <w:t>Kaaden</w:t>
      </w:r>
      <w:proofErr w:type="spellEnd"/>
      <w:r w:rsidRPr="009544AD">
        <w:rPr>
          <w:smallCaps/>
          <w:lang w:val="de-DE"/>
        </w:rPr>
        <w:t xml:space="preserve"> O.-R. &amp; Ali M.</w:t>
      </w:r>
      <w:r w:rsidRPr="009544AD">
        <w:rPr>
          <w:lang w:val="de-DE"/>
        </w:rPr>
        <w:t xml:space="preserve"> </w:t>
      </w:r>
      <w:r w:rsidR="00D350F7" w:rsidRPr="009544AD">
        <w:rPr>
          <w:lang w:val="de-DE"/>
        </w:rPr>
        <w:t>(1997</w:t>
      </w:r>
      <w:r w:rsidR="00FB0BA9" w:rsidRPr="009544AD">
        <w:rPr>
          <w:lang w:val="de-DE"/>
        </w:rPr>
        <w:t>a</w:t>
      </w:r>
      <w:r w:rsidR="00D350F7" w:rsidRPr="009544AD">
        <w:rPr>
          <w:lang w:val="de-DE"/>
        </w:rPr>
        <w:t xml:space="preserve">). </w:t>
      </w:r>
      <w:proofErr w:type="spellStart"/>
      <w:r w:rsidR="00D350F7" w:rsidRPr="009544AD">
        <w:t>Orthopox</w:t>
      </w:r>
      <w:proofErr w:type="spellEnd"/>
      <w:r w:rsidR="00D350F7" w:rsidRPr="009544AD">
        <w:t xml:space="preserve"> virus infections in dromedary camels in United Arab Emirates (U.A.E.) during winter season. </w:t>
      </w:r>
      <w:r w:rsidR="00AD789A" w:rsidRPr="009544AD">
        <w:rPr>
          <w:i/>
        </w:rPr>
        <w:t xml:space="preserve">J. Camel </w:t>
      </w:r>
      <w:proofErr w:type="spellStart"/>
      <w:r w:rsidR="00AD789A" w:rsidRPr="009544AD">
        <w:rPr>
          <w:i/>
        </w:rPr>
        <w:t>Pract</w:t>
      </w:r>
      <w:proofErr w:type="spellEnd"/>
      <w:r w:rsidR="00AD789A" w:rsidRPr="009544AD">
        <w:rPr>
          <w:i/>
        </w:rPr>
        <w:t>. Res.</w:t>
      </w:r>
      <w:r w:rsidR="00AD789A" w:rsidRPr="009544AD">
        <w:t>,</w:t>
      </w:r>
      <w:r w:rsidR="00D350F7" w:rsidRPr="009544AD">
        <w:t xml:space="preserve"> </w:t>
      </w:r>
      <w:r w:rsidR="00D350F7" w:rsidRPr="009544AD">
        <w:rPr>
          <w:b/>
          <w:bCs/>
        </w:rPr>
        <w:t>4</w:t>
      </w:r>
      <w:r w:rsidR="00AD789A" w:rsidRPr="009544AD">
        <w:t>,</w:t>
      </w:r>
      <w:r w:rsidR="00D350F7" w:rsidRPr="009544AD">
        <w:t xml:space="preserve"> 51</w:t>
      </w:r>
      <w:r w:rsidR="00993A40" w:rsidRPr="009544AD">
        <w:t>–</w:t>
      </w:r>
      <w:r w:rsidR="00D350F7" w:rsidRPr="009544AD">
        <w:t>55.</w:t>
      </w:r>
      <w:bookmarkEnd w:id="19"/>
    </w:p>
    <w:p w14:paraId="2D94CC35" w14:textId="615C32DE" w:rsidR="00D350F7" w:rsidRPr="009544AD" w:rsidRDefault="00E12548" w:rsidP="00EA5642">
      <w:pPr>
        <w:pStyle w:val="Ref"/>
        <w:ind w:left="0" w:firstLine="0"/>
      </w:pPr>
      <w:bookmarkStart w:id="20" w:name="_Ref331582648"/>
      <w:proofErr w:type="spellStart"/>
      <w:r w:rsidRPr="009544AD">
        <w:rPr>
          <w:smallCaps/>
        </w:rPr>
        <w:t>Wernery</w:t>
      </w:r>
      <w:proofErr w:type="spellEnd"/>
      <w:r w:rsidRPr="009544AD">
        <w:rPr>
          <w:smallCaps/>
        </w:rPr>
        <w:t xml:space="preserve"> U., Meyer H. &amp; Pfeffer M</w:t>
      </w:r>
      <w:r w:rsidRPr="009544AD">
        <w:t xml:space="preserve">. </w:t>
      </w:r>
      <w:r w:rsidR="00D350F7" w:rsidRPr="009544AD">
        <w:t>(1997</w:t>
      </w:r>
      <w:r w:rsidR="00FB0BA9" w:rsidRPr="009544AD">
        <w:t>b</w:t>
      </w:r>
      <w:r w:rsidR="00D350F7" w:rsidRPr="009544AD">
        <w:t xml:space="preserve">). Camel pox in the United Arab Emirates and its prevention. </w:t>
      </w:r>
      <w:r w:rsidR="00AD789A" w:rsidRPr="009544AD">
        <w:rPr>
          <w:i/>
        </w:rPr>
        <w:t xml:space="preserve">J. Camel </w:t>
      </w:r>
      <w:proofErr w:type="spellStart"/>
      <w:r w:rsidR="00AD789A" w:rsidRPr="009544AD">
        <w:rPr>
          <w:i/>
        </w:rPr>
        <w:t>Pract</w:t>
      </w:r>
      <w:proofErr w:type="spellEnd"/>
      <w:r w:rsidR="00AD789A" w:rsidRPr="009544AD">
        <w:rPr>
          <w:i/>
        </w:rPr>
        <w:t>. Res.</w:t>
      </w:r>
      <w:r w:rsidR="00AD789A" w:rsidRPr="009544AD">
        <w:t xml:space="preserve">, </w:t>
      </w:r>
      <w:r w:rsidR="00D350F7" w:rsidRPr="009544AD">
        <w:rPr>
          <w:b/>
          <w:bCs/>
        </w:rPr>
        <w:t>4</w:t>
      </w:r>
      <w:r w:rsidR="00AD789A" w:rsidRPr="009544AD">
        <w:t>,</w:t>
      </w:r>
      <w:r w:rsidR="00D350F7" w:rsidRPr="009544AD">
        <w:t xml:space="preserve"> 135</w:t>
      </w:r>
      <w:r w:rsidR="00993A40" w:rsidRPr="009544AD">
        <w:t>–</w:t>
      </w:r>
      <w:r w:rsidR="00D350F7" w:rsidRPr="009544AD">
        <w:t>139.</w:t>
      </w:r>
      <w:bookmarkEnd w:id="20"/>
    </w:p>
    <w:p w14:paraId="406ADEC7" w14:textId="0076DFA6" w:rsidR="00D350F7" w:rsidRPr="009544AD" w:rsidRDefault="00E12548" w:rsidP="00EA5642">
      <w:pPr>
        <w:pStyle w:val="Ref"/>
        <w:ind w:left="0" w:firstLine="0"/>
      </w:pPr>
      <w:bookmarkStart w:id="21" w:name="_Ref331583319"/>
      <w:proofErr w:type="spellStart"/>
      <w:r w:rsidRPr="009544AD">
        <w:rPr>
          <w:smallCaps/>
        </w:rPr>
        <w:t>Wernery</w:t>
      </w:r>
      <w:proofErr w:type="spellEnd"/>
      <w:r w:rsidRPr="009544AD">
        <w:rPr>
          <w:smallCaps/>
        </w:rPr>
        <w:t xml:space="preserve"> U. &amp; Zachariah R.</w:t>
      </w:r>
      <w:r w:rsidRPr="009544AD">
        <w:t xml:space="preserve"> </w:t>
      </w:r>
      <w:r w:rsidR="00D350F7" w:rsidRPr="009544AD">
        <w:t xml:space="preserve">(1999). Experimental camel pox infection in vaccinated and unvaccinated dromedaries. </w:t>
      </w:r>
      <w:r w:rsidR="00033DAE" w:rsidRPr="009544AD">
        <w:rPr>
          <w:i/>
        </w:rPr>
        <w:t>J.</w:t>
      </w:r>
      <w:r w:rsidR="00D350F7" w:rsidRPr="009544AD">
        <w:rPr>
          <w:i/>
        </w:rPr>
        <w:t xml:space="preserve"> Vet</w:t>
      </w:r>
      <w:r w:rsidR="00AD789A" w:rsidRPr="009544AD">
        <w:rPr>
          <w:i/>
        </w:rPr>
        <w:t>.</w:t>
      </w:r>
      <w:r w:rsidR="00D350F7" w:rsidRPr="009544AD">
        <w:rPr>
          <w:i/>
        </w:rPr>
        <w:t xml:space="preserve"> Med</w:t>
      </w:r>
      <w:r w:rsidR="00AD789A" w:rsidRPr="009544AD">
        <w:rPr>
          <w:i/>
        </w:rPr>
        <w:t>.</w:t>
      </w:r>
      <w:r w:rsidR="00D350F7" w:rsidRPr="009544AD">
        <w:rPr>
          <w:i/>
        </w:rPr>
        <w:t xml:space="preserve"> </w:t>
      </w:r>
      <w:r w:rsidR="00AD789A" w:rsidRPr="009544AD">
        <w:rPr>
          <w:iCs/>
        </w:rPr>
        <w:t>[</w:t>
      </w:r>
      <w:r w:rsidR="00D350F7" w:rsidRPr="009544AD">
        <w:rPr>
          <w:i/>
        </w:rPr>
        <w:t>B</w:t>
      </w:r>
      <w:r w:rsidR="00AD789A" w:rsidRPr="009544AD">
        <w:rPr>
          <w:iCs/>
        </w:rPr>
        <w:t>]</w:t>
      </w:r>
      <w:r w:rsidR="00D350F7" w:rsidRPr="009544AD">
        <w:rPr>
          <w:i/>
        </w:rPr>
        <w:t xml:space="preserve"> Infect</w:t>
      </w:r>
      <w:r w:rsidR="00AD789A" w:rsidRPr="009544AD">
        <w:rPr>
          <w:i/>
        </w:rPr>
        <w:t>.</w:t>
      </w:r>
      <w:r w:rsidR="00D350F7" w:rsidRPr="009544AD">
        <w:rPr>
          <w:i/>
        </w:rPr>
        <w:t xml:space="preserve"> Dis</w:t>
      </w:r>
      <w:r w:rsidR="00AD789A" w:rsidRPr="009544AD">
        <w:rPr>
          <w:i/>
        </w:rPr>
        <w:t>.</w:t>
      </w:r>
      <w:r w:rsidR="00D350F7" w:rsidRPr="009544AD">
        <w:t xml:space="preserve">, </w:t>
      </w:r>
      <w:r w:rsidR="00D350F7" w:rsidRPr="009544AD">
        <w:rPr>
          <w:b/>
          <w:bCs/>
        </w:rPr>
        <w:t>46</w:t>
      </w:r>
      <w:r w:rsidR="00AD789A" w:rsidRPr="009544AD">
        <w:t>,</w:t>
      </w:r>
      <w:r w:rsidR="00D350F7" w:rsidRPr="009544AD">
        <w:t xml:space="preserve"> 131</w:t>
      </w:r>
      <w:r w:rsidR="00993A40" w:rsidRPr="009544AD">
        <w:t>–</w:t>
      </w:r>
      <w:r w:rsidR="00D350F7" w:rsidRPr="009544AD">
        <w:t>136.</w:t>
      </w:r>
      <w:bookmarkEnd w:id="21"/>
    </w:p>
    <w:p w14:paraId="5EF143BF" w14:textId="77777777" w:rsidR="00755B6A" w:rsidRPr="009544AD" w:rsidRDefault="00E12548" w:rsidP="00EA5642">
      <w:pPr>
        <w:pStyle w:val="Ref"/>
        <w:ind w:left="0" w:firstLine="0"/>
      </w:pPr>
      <w:bookmarkStart w:id="22" w:name="_Ref331582951"/>
      <w:proofErr w:type="spellStart"/>
      <w:r w:rsidRPr="009544AD">
        <w:rPr>
          <w:smallCaps/>
        </w:rPr>
        <w:t>Yager</w:t>
      </w:r>
      <w:proofErr w:type="spellEnd"/>
      <w:r w:rsidRPr="009544AD">
        <w:rPr>
          <w:smallCaps/>
        </w:rPr>
        <w:t xml:space="preserve"> J.A., Scott D.W. &amp; Wilcock B.P.</w:t>
      </w:r>
      <w:r w:rsidRPr="009544AD">
        <w:t xml:space="preserve"> (</w:t>
      </w:r>
      <w:r w:rsidR="00D350F7" w:rsidRPr="009544AD">
        <w:t xml:space="preserve">1991). Viral diseases of the skin. </w:t>
      </w:r>
      <w:r w:rsidR="00D350F7" w:rsidRPr="009544AD">
        <w:rPr>
          <w:i/>
        </w:rPr>
        <w:t>In:</w:t>
      </w:r>
      <w:r w:rsidR="00D350F7" w:rsidRPr="009544AD">
        <w:t xml:space="preserve"> Pathology of Domestic Animals, </w:t>
      </w:r>
      <w:r w:rsidR="00383DDA" w:rsidRPr="009544AD">
        <w:t>Fourth</w:t>
      </w:r>
      <w:r w:rsidR="00D350F7" w:rsidRPr="009544AD">
        <w:t xml:space="preserve"> Edition, </w:t>
      </w:r>
      <w:proofErr w:type="spellStart"/>
      <w:r w:rsidR="00D350F7" w:rsidRPr="009544AD">
        <w:t>Jubb</w:t>
      </w:r>
      <w:proofErr w:type="spellEnd"/>
      <w:r w:rsidR="00D350F7" w:rsidRPr="009544AD">
        <w:t xml:space="preserve"> K.V.F.,</w:t>
      </w:r>
      <w:r w:rsidR="00AD789A" w:rsidRPr="009544AD">
        <w:t xml:space="preserve"> Kennedy P.C. &amp; Palmer N., eds.</w:t>
      </w:r>
      <w:r w:rsidR="00D350F7" w:rsidRPr="009544AD">
        <w:t xml:space="preserve"> Academic Press, San Diego, </w:t>
      </w:r>
      <w:r w:rsidR="00CB68AA" w:rsidRPr="009544AD">
        <w:t xml:space="preserve">California, </w:t>
      </w:r>
      <w:r w:rsidR="00AD789A" w:rsidRPr="009544AD">
        <w:t xml:space="preserve">USA, </w:t>
      </w:r>
      <w:r w:rsidR="00D350F7" w:rsidRPr="009544AD">
        <w:t>629</w:t>
      </w:r>
      <w:r w:rsidR="00993A40" w:rsidRPr="009544AD">
        <w:t>–</w:t>
      </w:r>
      <w:r w:rsidR="00D350F7" w:rsidRPr="009544AD">
        <w:t>644.</w:t>
      </w:r>
      <w:bookmarkEnd w:id="22"/>
      <w:r w:rsidR="00D350F7" w:rsidRPr="009544AD">
        <w:t xml:space="preserve"> </w:t>
      </w:r>
    </w:p>
    <w:p w14:paraId="68C0CCDA" w14:textId="77777777" w:rsidR="00755B6A" w:rsidRPr="009544AD" w:rsidRDefault="00755B6A" w:rsidP="0003177C">
      <w:pPr>
        <w:pStyle w:val="rtoiles"/>
        <w:rPr>
          <w:lang w:val="en-GB"/>
        </w:rPr>
      </w:pPr>
      <w:r w:rsidRPr="009544AD">
        <w:rPr>
          <w:lang w:val="en-GB"/>
        </w:rPr>
        <w:t>*</w:t>
      </w:r>
      <w:r w:rsidRPr="009544AD">
        <w:rPr>
          <w:lang w:val="en-GB"/>
        </w:rPr>
        <w:br/>
        <w:t>*   *</w:t>
      </w:r>
    </w:p>
    <w:p w14:paraId="477FB890" w14:textId="64AC95FF" w:rsidR="004A4C4D" w:rsidRDefault="004A4C4D" w:rsidP="000E4C47">
      <w:pPr>
        <w:pStyle w:val="Reflabnote"/>
        <w:spacing w:after="240"/>
      </w:pPr>
      <w:r w:rsidRPr="009544AD">
        <w:rPr>
          <w:b/>
          <w:bCs/>
          <w:lang w:val="en-IE"/>
        </w:rPr>
        <w:t>NB:</w:t>
      </w:r>
      <w:r w:rsidRPr="009544AD">
        <w:t xml:space="preserve"> There is an OIE Reference Laboratory for </w:t>
      </w:r>
      <w:proofErr w:type="spellStart"/>
      <w:r w:rsidRPr="009544AD">
        <w:t>Camelpox</w:t>
      </w:r>
      <w:proofErr w:type="spellEnd"/>
      <w:r w:rsidRPr="009544AD">
        <w:t xml:space="preserve"> </w:t>
      </w:r>
      <w:r w:rsidRPr="009544AD">
        <w:br/>
        <w:t xml:space="preserve">(see Table in Part </w:t>
      </w:r>
      <w:r w:rsidR="009663FF" w:rsidRPr="009544AD">
        <w:t>4</w:t>
      </w:r>
      <w:r w:rsidRPr="009544AD">
        <w:t xml:space="preserve"> of this </w:t>
      </w:r>
      <w:r w:rsidRPr="009544AD">
        <w:rPr>
          <w:i/>
        </w:rPr>
        <w:t xml:space="preserve">Terrestrial Manual </w:t>
      </w:r>
      <w:r w:rsidRPr="009544AD">
        <w:t xml:space="preserve">or consult the OIE Web site for the most up-to-date list: </w:t>
      </w:r>
      <w:hyperlink r:id="rId13" w:history="1">
        <w:r w:rsidR="00027048" w:rsidRPr="004C67BF">
          <w:rPr>
            <w:rStyle w:val="Lienhypertexte"/>
          </w:rPr>
          <w:t>http://www.oie.int/en/scientific-expertise/reference-laboratories/list-of-laboratories/</w:t>
        </w:r>
      </w:hyperlink>
      <w:r w:rsidRPr="009544AD">
        <w:t xml:space="preserve">). </w:t>
      </w:r>
      <w:r w:rsidRPr="009544AD">
        <w:br/>
        <w:t xml:space="preserve">Please contact the OIE Reference Laboratories for any further information on </w:t>
      </w:r>
      <w:r w:rsidRPr="009544AD">
        <w:br/>
        <w:t xml:space="preserve">diagnostic tests, reagents and vaccines for </w:t>
      </w:r>
      <w:proofErr w:type="spellStart"/>
      <w:r w:rsidRPr="009544AD">
        <w:t>Camelpox</w:t>
      </w:r>
      <w:proofErr w:type="spellEnd"/>
    </w:p>
    <w:p w14:paraId="67134D64" w14:textId="28C978D8" w:rsidR="000E4C47" w:rsidRPr="000E4C47" w:rsidRDefault="000E4C47" w:rsidP="000E4C47">
      <w:pPr>
        <w:spacing w:after="240"/>
        <w:jc w:val="center"/>
        <w:rPr>
          <w:rFonts w:ascii="Arial" w:hAnsi="Arial" w:cs="Arial"/>
          <w:lang w:val="en-IE"/>
        </w:rPr>
      </w:pPr>
      <w:r w:rsidRPr="000E4C47">
        <w:rPr>
          <w:rFonts w:ascii="Arial" w:hAnsi="Arial" w:cs="Arial"/>
          <w:b/>
          <w:smallCaps/>
          <w:sz w:val="18"/>
          <w:szCs w:val="18"/>
        </w:rPr>
        <w:t>NB:</w:t>
      </w:r>
      <w:r w:rsidRPr="000E4C47">
        <w:rPr>
          <w:rFonts w:ascii="Arial" w:hAnsi="Arial" w:cs="Arial"/>
          <w:smallCaps/>
          <w:sz w:val="18"/>
          <w:szCs w:val="18"/>
        </w:rPr>
        <w:t xml:space="preserve"> First adopted in </w:t>
      </w:r>
      <w:r>
        <w:rPr>
          <w:rFonts w:ascii="Arial" w:hAnsi="Arial" w:cs="Arial"/>
          <w:smallCaps/>
          <w:sz w:val="18"/>
          <w:szCs w:val="18"/>
        </w:rPr>
        <w:t>2008</w:t>
      </w:r>
      <w:r w:rsidR="00991347">
        <w:rPr>
          <w:rFonts w:ascii="Arial" w:hAnsi="Arial" w:cs="Arial"/>
          <w:smallCaps/>
          <w:sz w:val="18"/>
          <w:szCs w:val="18"/>
        </w:rPr>
        <w:t>.</w:t>
      </w:r>
      <w:r w:rsidRPr="000E4C47">
        <w:rPr>
          <w:rFonts w:ascii="Arial" w:hAnsi="Arial" w:cs="Arial"/>
          <w:smallCaps/>
          <w:sz w:val="18"/>
          <w:szCs w:val="18"/>
        </w:rPr>
        <w:t xml:space="preserve"> Most recent updates adopted in 2014.</w:t>
      </w:r>
    </w:p>
    <w:p w14:paraId="2E7AA103" w14:textId="77777777" w:rsidR="000E4C47" w:rsidRPr="000E4C47" w:rsidRDefault="000E4C47" w:rsidP="004A4C4D">
      <w:pPr>
        <w:pStyle w:val="Reflabnote"/>
        <w:rPr>
          <w:lang w:val="en-IE"/>
        </w:rPr>
      </w:pPr>
    </w:p>
    <w:sectPr w:rsidR="000E4C47" w:rsidRPr="000E4C47" w:rsidSect="00991347">
      <w:headerReference w:type="even" r:id="rId14"/>
      <w:headerReference w:type="default" r:id="rId15"/>
      <w:footerReference w:type="even" r:id="rId16"/>
      <w:footerReference w:type="default" r:id="rId17"/>
      <w:footerReference w:type="first" r:id="rId18"/>
      <w:type w:val="oddPage"/>
      <w:pgSz w:w="11907" w:h="16840" w:code="9"/>
      <w:pgMar w:top="-1418" w:right="1418" w:bottom="1418" w:left="1418" w:header="567" w:footer="567" w:gutter="0"/>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2D0B4" w14:textId="77777777" w:rsidR="0086775A" w:rsidRDefault="0086775A">
      <w:r>
        <w:separator/>
      </w:r>
    </w:p>
  </w:endnote>
  <w:endnote w:type="continuationSeparator" w:id="0">
    <w:p w14:paraId="00607076" w14:textId="77777777" w:rsidR="0086775A" w:rsidRDefault="0086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4D489" w14:textId="65C8E97B" w:rsidR="0086775A" w:rsidRDefault="0086775A" w:rsidP="000738C1">
    <w:pPr>
      <w:pBdr>
        <w:top w:val="single" w:sz="6" w:space="5" w:color="auto"/>
      </w:pBdr>
      <w:tabs>
        <w:tab w:val="clear" w:pos="-720"/>
        <w:tab w:val="right" w:pos="9072"/>
      </w:tabs>
      <w:spacing w:line="240" w:lineRule="exact"/>
      <w:jc w:val="left"/>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2</w:t>
    </w:r>
    <w:r>
      <w:rPr>
        <w:rFonts w:ascii="Ottawa" w:hAnsi="Ottawa"/>
        <w:sz w:val="22"/>
      </w:rPr>
      <w:fldChar w:fldCharType="end"/>
    </w:r>
    <w:r>
      <w:rPr>
        <w:rFonts w:ascii="Ottawa" w:hAnsi="Ottawa"/>
        <w:sz w:val="22"/>
      </w:rPr>
      <w:tab/>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D9FED" w14:textId="30BA5AB1" w:rsidR="0086775A" w:rsidRDefault="0086775A" w:rsidP="000738C1">
    <w:pPr>
      <w:pBdr>
        <w:top w:val="single" w:sz="6" w:space="5" w:color="auto"/>
      </w:pBdr>
      <w:tabs>
        <w:tab w:val="clear" w:pos="-720"/>
        <w:tab w:val="right" w:pos="9072"/>
      </w:tabs>
      <w:spacing w:line="240" w:lineRule="exact"/>
      <w:jc w:val="left"/>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5B0A4" w14:textId="6EFC75A0" w:rsidR="0086775A" w:rsidRDefault="0086775A" w:rsidP="008A2815">
    <w:pPr>
      <w:pBdr>
        <w:top w:val="single" w:sz="6" w:space="5" w:color="auto"/>
      </w:pBdr>
      <w:tabs>
        <w:tab w:val="clear" w:pos="-720"/>
        <w:tab w:val="right" w:pos="9072"/>
      </w:tabs>
      <w:spacing w:line="240" w:lineRule="exact"/>
      <w:jc w:val="left"/>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72EB7" w14:textId="77777777" w:rsidR="0086775A" w:rsidRDefault="0086775A">
      <w:r>
        <w:separator/>
      </w:r>
    </w:p>
  </w:footnote>
  <w:footnote w:type="continuationSeparator" w:id="0">
    <w:p w14:paraId="2AA202AD" w14:textId="77777777" w:rsidR="0086775A" w:rsidRDefault="0086775A">
      <w:r>
        <w:continuationSeparator/>
      </w:r>
    </w:p>
  </w:footnote>
  <w:footnote w:id="1">
    <w:p w14:paraId="213F6F7A" w14:textId="77777777" w:rsidR="0086775A" w:rsidRPr="00E21ADE" w:rsidRDefault="0086775A" w:rsidP="00AB2851">
      <w:pPr>
        <w:pStyle w:val="Notedebasdepage"/>
        <w:spacing w:line="240" w:lineRule="auto"/>
        <w:ind w:left="426" w:hanging="426"/>
        <w:rPr>
          <w:rFonts w:ascii="Arial" w:hAnsi="Arial" w:cs="Arial"/>
          <w:sz w:val="16"/>
          <w:szCs w:val="16"/>
          <w:u w:val="double"/>
          <w:lang w:val="fr-FR"/>
        </w:rPr>
      </w:pPr>
      <w:r w:rsidRPr="00E21ADE">
        <w:rPr>
          <w:rStyle w:val="Appelnotedebasdep"/>
          <w:rFonts w:ascii="Arial" w:hAnsi="Arial" w:cs="Arial"/>
          <w:sz w:val="16"/>
          <w:szCs w:val="16"/>
          <w:highlight w:val="yellow"/>
          <w:u w:val="double"/>
          <w:vertAlign w:val="baseline"/>
        </w:rPr>
        <w:footnoteRef/>
      </w:r>
      <w:r w:rsidRPr="00E21ADE">
        <w:rPr>
          <w:rFonts w:ascii="Arial" w:hAnsi="Arial" w:cs="Arial"/>
          <w:sz w:val="16"/>
          <w:szCs w:val="16"/>
          <w:highlight w:val="yellow"/>
          <w:u w:val="double"/>
        </w:rPr>
        <w:t xml:space="preserve"> </w:t>
      </w:r>
      <w:r w:rsidRPr="00E21ADE">
        <w:rPr>
          <w:rFonts w:ascii="Arial" w:hAnsi="Arial" w:cs="Arial"/>
          <w:sz w:val="16"/>
          <w:szCs w:val="16"/>
          <w:highlight w:val="yellow"/>
          <w:u w:val="double"/>
          <w:lang w:val="fr-FR"/>
        </w:rPr>
        <w:tab/>
      </w:r>
      <w:hyperlink r:id="rId1" w:history="1">
        <w:r w:rsidRPr="00E21ADE">
          <w:rPr>
            <w:rStyle w:val="Lienhypertexte"/>
            <w:rFonts w:ascii="Arial" w:hAnsi="Arial" w:cs="Arial"/>
            <w:color w:val="auto"/>
            <w:sz w:val="16"/>
            <w:szCs w:val="16"/>
            <w:highlight w:val="yellow"/>
            <w:u w:val="double"/>
            <w:lang w:val="fr-FR"/>
          </w:rPr>
          <w:t>http://www.oie.int/en/animal-health-in-the-world/the-world-animal-health-information-system/the-world-animal-health-information-system/</w:t>
        </w:r>
      </w:hyperlink>
      <w:r w:rsidRPr="00E21ADE">
        <w:rPr>
          <w:rFonts w:ascii="Arial" w:hAnsi="Arial" w:cs="Arial"/>
          <w:sz w:val="16"/>
          <w:szCs w:val="16"/>
          <w:u w:val="double"/>
          <w:lang w:val="fr-FR"/>
        </w:rPr>
        <w:t xml:space="preserve"> </w:t>
      </w:r>
    </w:p>
  </w:footnote>
  <w:footnote w:id="2">
    <w:p w14:paraId="36075C88" w14:textId="4E77C645" w:rsidR="0086775A" w:rsidRPr="003B3EF6" w:rsidRDefault="0086775A" w:rsidP="008E4B69">
      <w:pPr>
        <w:pStyle w:val="Notedebasdepage"/>
        <w:spacing w:line="240" w:lineRule="auto"/>
        <w:ind w:left="425" w:hanging="425"/>
        <w:rPr>
          <w:rFonts w:ascii="Arial" w:hAnsi="Arial" w:cs="Arial"/>
          <w:sz w:val="16"/>
          <w:szCs w:val="16"/>
          <w:lang w:val="en-IE"/>
        </w:rPr>
      </w:pPr>
      <w:r w:rsidRPr="003B3EF6">
        <w:rPr>
          <w:rStyle w:val="Appelnotedebasdep"/>
          <w:rFonts w:ascii="Arial" w:hAnsi="Arial" w:cs="Arial"/>
          <w:sz w:val="16"/>
          <w:szCs w:val="16"/>
          <w:vertAlign w:val="baseline"/>
        </w:rPr>
        <w:footnoteRef/>
      </w:r>
      <w:r w:rsidRPr="003B3EF6">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 w:id="3">
    <w:p w14:paraId="252A41B1" w14:textId="77777777" w:rsidR="0086775A" w:rsidRPr="008660BD" w:rsidRDefault="0086775A" w:rsidP="005B28AB">
      <w:pPr>
        <w:pStyle w:val="Notedebasdepage"/>
        <w:tabs>
          <w:tab w:val="left" w:pos="-1843"/>
        </w:tabs>
        <w:spacing w:line="240" w:lineRule="auto"/>
        <w:ind w:left="425" w:hanging="425"/>
      </w:pPr>
      <w:r w:rsidRPr="008660BD">
        <w:rPr>
          <w:rStyle w:val="Appelnotedebasdep"/>
          <w:rFonts w:ascii="Arial" w:hAnsi="Arial" w:cs="Arial"/>
          <w:sz w:val="16"/>
          <w:szCs w:val="16"/>
          <w:vertAlign w:val="baseline"/>
        </w:rPr>
        <w:footnoteRef/>
      </w:r>
      <w:r w:rsidRPr="008660BD">
        <w:rPr>
          <w:rFonts w:ascii="Arial" w:hAnsi="Arial" w:cs="Arial"/>
          <w:sz w:val="16"/>
          <w:szCs w:val="16"/>
        </w:rPr>
        <w:t xml:space="preserve"> </w:t>
      </w:r>
      <w:r w:rsidRPr="008660BD">
        <w:rPr>
          <w:rFonts w:ascii="Arial" w:hAnsi="Arial" w:cs="Arial"/>
          <w:sz w:val="16"/>
          <w:szCs w:val="16"/>
        </w:rPr>
        <w:tab/>
        <w:t>A combination of agent identification methods applied on the same clinical sample is recommended.</w:t>
      </w:r>
    </w:p>
  </w:footnote>
  <w:footnote w:id="4">
    <w:p w14:paraId="1BACF3F0" w14:textId="77777777" w:rsidR="0086775A" w:rsidRPr="003C764C" w:rsidRDefault="0086775A" w:rsidP="003C764C">
      <w:pPr>
        <w:pStyle w:val="Notedebasdepage"/>
        <w:spacing w:line="240" w:lineRule="auto"/>
        <w:ind w:left="425" w:hanging="425"/>
        <w:rPr>
          <w:rFonts w:ascii="Arial" w:hAnsi="Arial" w:cs="Arial"/>
          <w:sz w:val="16"/>
          <w:szCs w:val="16"/>
        </w:rPr>
      </w:pPr>
      <w:r w:rsidRPr="003C764C">
        <w:rPr>
          <w:rStyle w:val="Appelnotedebasdep"/>
          <w:rFonts w:ascii="Arial" w:hAnsi="Arial" w:cs="Arial"/>
          <w:sz w:val="16"/>
          <w:szCs w:val="16"/>
          <w:vertAlign w:val="baseline"/>
        </w:rPr>
        <w:footnoteRef/>
      </w:r>
      <w:r w:rsidRPr="003C764C">
        <w:rPr>
          <w:rFonts w:ascii="Arial" w:hAnsi="Arial" w:cs="Arial"/>
          <w:sz w:val="16"/>
          <w:szCs w:val="16"/>
        </w:rPr>
        <w:t xml:space="preserve"> </w:t>
      </w:r>
      <w:r w:rsidRPr="003C764C">
        <w:rPr>
          <w:rFonts w:ascii="Arial" w:hAnsi="Arial" w:cs="Arial"/>
          <w:sz w:val="16"/>
          <w:szCs w:val="16"/>
        </w:rPr>
        <w:tab/>
        <w:t xml:space="preserve">Monoclonal antibody 5B4 is available commercially. For further information, please contact the OIE Reference Laboratory (see Table in Part 4 of this </w:t>
      </w:r>
      <w:r w:rsidRPr="003C764C">
        <w:rPr>
          <w:rFonts w:ascii="Arial" w:hAnsi="Arial" w:cs="Arial"/>
          <w:i/>
          <w:sz w:val="16"/>
          <w:szCs w:val="16"/>
        </w:rPr>
        <w:t xml:space="preserve">Terrestrial Manual </w:t>
      </w:r>
      <w:r w:rsidRPr="003C764C">
        <w:rPr>
          <w:rFonts w:ascii="Arial" w:hAnsi="Arial" w:cs="Arial"/>
          <w:sz w:val="16"/>
          <w:szCs w:val="16"/>
        </w:rPr>
        <w:t>or consult the OIE Web site for the most up-to-date list</w:t>
      </w:r>
      <w:r>
        <w:rPr>
          <w:rFonts w:ascii="Arial" w:hAnsi="Arial" w:cs="Arial"/>
          <w:sz w:val="16"/>
          <w:szCs w:val="16"/>
        </w:rPr>
        <w:t>).</w:t>
      </w:r>
    </w:p>
  </w:footnote>
  <w:footnote w:id="5">
    <w:p w14:paraId="55170392" w14:textId="77777777" w:rsidR="0086775A" w:rsidRPr="008660BD" w:rsidRDefault="0086775A" w:rsidP="009A0C4F">
      <w:pPr>
        <w:pStyle w:val="Commentaire"/>
        <w:spacing w:line="240" w:lineRule="auto"/>
        <w:ind w:left="425" w:hanging="425"/>
        <w:rPr>
          <w:rFonts w:ascii="Arial" w:hAnsi="Arial" w:cs="Arial"/>
          <w:sz w:val="16"/>
          <w:szCs w:val="16"/>
        </w:rPr>
      </w:pPr>
      <w:r w:rsidRPr="008660BD">
        <w:rPr>
          <w:rStyle w:val="Appelnotedebasdep"/>
          <w:rFonts w:ascii="Arial" w:hAnsi="Arial" w:cs="Arial"/>
          <w:sz w:val="16"/>
          <w:szCs w:val="16"/>
          <w:vertAlign w:val="baseline"/>
        </w:rPr>
        <w:footnoteRef/>
      </w:r>
      <w:r w:rsidRPr="008660BD">
        <w:rPr>
          <w:rFonts w:ascii="Arial" w:hAnsi="Arial" w:cs="Arial"/>
          <w:sz w:val="16"/>
          <w:szCs w:val="16"/>
        </w:rPr>
        <w:t xml:space="preserve"> </w:t>
      </w:r>
      <w:r w:rsidRPr="008660BD">
        <w:rPr>
          <w:rFonts w:ascii="Arial" w:hAnsi="Arial" w:cs="Arial"/>
          <w:sz w:val="16"/>
          <w:szCs w:val="16"/>
        </w:rPr>
        <w:tab/>
      </w:r>
      <w:r w:rsidRPr="008660BD">
        <w:rPr>
          <w:rFonts w:ascii="Arial" w:hAnsi="Arial" w:cs="Arial"/>
          <w:sz w:val="16"/>
          <w:szCs w:val="16"/>
          <w:lang w:val="en-US"/>
        </w:rPr>
        <w:t>This is a continuous step, i.e. the temperature is increased to 95°C and then lowered to 60°C for 30 seconds and then again increased to 95°C before finishing the cycle.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29BF3" w14:textId="306D906B" w:rsidR="0086775A" w:rsidRPr="000738C1" w:rsidRDefault="0086775A" w:rsidP="000738C1">
    <w:pPr>
      <w:pBdr>
        <w:bottom w:val="single" w:sz="6" w:space="1" w:color="auto"/>
      </w:pBdr>
      <w:spacing w:line="240" w:lineRule="auto"/>
      <w:ind w:right="-1"/>
      <w:jc w:val="center"/>
      <w:rPr>
        <w:rFonts w:ascii="Ottawa" w:hAnsi="Ottawa"/>
        <w:i/>
      </w:rPr>
    </w:pPr>
    <w:r>
      <w:rPr>
        <w:rFonts w:ascii="Ottawa" w:hAnsi="Ottawa"/>
        <w:i/>
      </w:rPr>
      <w:t xml:space="preserve">Chapter 3.9.2. – </w:t>
    </w:r>
    <w:proofErr w:type="spellStart"/>
    <w:r>
      <w:rPr>
        <w:rFonts w:ascii="Ottawa" w:hAnsi="Ottawa"/>
        <w:i/>
      </w:rPr>
      <w:t>Camelpox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74175" w14:textId="1765C358" w:rsidR="0086775A" w:rsidRPr="000738C1" w:rsidRDefault="0086775A" w:rsidP="000738C1">
    <w:pPr>
      <w:pBdr>
        <w:bottom w:val="single" w:sz="6" w:space="1" w:color="auto"/>
      </w:pBdr>
      <w:spacing w:line="240" w:lineRule="auto"/>
      <w:ind w:right="-1"/>
      <w:jc w:val="center"/>
      <w:rPr>
        <w:rFonts w:ascii="Ottawa" w:hAnsi="Ottawa"/>
        <w:i/>
      </w:rPr>
    </w:pPr>
    <w:r>
      <w:rPr>
        <w:rFonts w:ascii="Ottawa" w:hAnsi="Ottawa"/>
        <w:i/>
      </w:rPr>
      <w:t xml:space="preserve">Chapter 3.9.2. – </w:t>
    </w:r>
    <w:proofErr w:type="spellStart"/>
    <w:r>
      <w:rPr>
        <w:rFonts w:ascii="Ottawa" w:hAnsi="Ottawa"/>
        <w:i/>
      </w:rPr>
      <w:t>Camelpox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2A47"/>
    <w:multiLevelType w:val="hybridMultilevel"/>
    <w:tmpl w:val="1E145C78"/>
    <w:lvl w:ilvl="0" w:tplc="5B68047A">
      <w:start w:val="1"/>
      <w:numFmt w:val="lowerRoman"/>
      <w:lvlText w:val="%1)"/>
      <w:lvlJc w:val="left"/>
      <w:pPr>
        <w:tabs>
          <w:tab w:val="num" w:pos="1800"/>
        </w:tabs>
        <w:ind w:left="1800" w:hanging="720"/>
      </w:pPr>
      <w:rPr>
        <w:rFonts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2053563"/>
    <w:multiLevelType w:val="hybridMultilevel"/>
    <w:tmpl w:val="8EBAF098"/>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42D5DED"/>
    <w:multiLevelType w:val="hybridMultilevel"/>
    <w:tmpl w:val="2FA8B214"/>
    <w:lvl w:ilvl="0" w:tplc="5B68047A">
      <w:start w:val="1"/>
      <w:numFmt w:val="lowerRoman"/>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A4D6447"/>
    <w:multiLevelType w:val="hybridMultilevel"/>
    <w:tmpl w:val="8F3207F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50929"/>
    <w:multiLevelType w:val="hybridMultilevel"/>
    <w:tmpl w:val="4356923A"/>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6748C7"/>
    <w:multiLevelType w:val="hybridMultilevel"/>
    <w:tmpl w:val="9A00A1A6"/>
    <w:lvl w:ilvl="0" w:tplc="5B68047A">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41CE39C7"/>
    <w:multiLevelType w:val="hybridMultilevel"/>
    <w:tmpl w:val="98FEC196"/>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A04428A"/>
    <w:multiLevelType w:val="hybridMultilevel"/>
    <w:tmpl w:val="77CC6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C4320F"/>
    <w:multiLevelType w:val="hybridMultilevel"/>
    <w:tmpl w:val="84CE57DE"/>
    <w:lvl w:ilvl="0" w:tplc="08090001">
      <w:start w:val="1"/>
      <w:numFmt w:val="bullet"/>
      <w:lvlText w:val=""/>
      <w:lvlJc w:val="left"/>
      <w:pPr>
        <w:tabs>
          <w:tab w:val="num" w:pos="1080"/>
        </w:tabs>
        <w:ind w:left="108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4F572D0"/>
    <w:multiLevelType w:val="hybridMultilevel"/>
    <w:tmpl w:val="E5AA52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3242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8931DF"/>
    <w:multiLevelType w:val="hybridMultilevel"/>
    <w:tmpl w:val="DE62E0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344662"/>
    <w:multiLevelType w:val="hybridMultilevel"/>
    <w:tmpl w:val="78889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8026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5"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4"/>
  </w:num>
  <w:num w:numId="2">
    <w:abstractNumId w:val="15"/>
  </w:num>
  <w:num w:numId="3">
    <w:abstractNumId w:val="15"/>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10"/>
  </w:num>
  <w:num w:numId="5">
    <w:abstractNumId w:val="13"/>
  </w:num>
  <w:num w:numId="6">
    <w:abstractNumId w:val="11"/>
  </w:num>
  <w:num w:numId="7">
    <w:abstractNumId w:val="1"/>
  </w:num>
  <w:num w:numId="8">
    <w:abstractNumId w:val="6"/>
  </w:num>
  <w:num w:numId="9">
    <w:abstractNumId w:val="4"/>
  </w:num>
  <w:num w:numId="10">
    <w:abstractNumId w:val="0"/>
  </w:num>
  <w:num w:numId="11">
    <w:abstractNumId w:val="8"/>
  </w:num>
  <w:num w:numId="12">
    <w:abstractNumId w:val="9"/>
  </w:num>
  <w:num w:numId="13">
    <w:abstractNumId w:val="5"/>
  </w:num>
  <w:num w:numId="14">
    <w:abstractNumId w:val="2"/>
  </w:num>
  <w:num w:numId="15">
    <w:abstractNumId w:val="3"/>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embedSystemFonts/>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21"/>
    <w:rsid w:val="00000C7C"/>
    <w:rsid w:val="0001005B"/>
    <w:rsid w:val="00012CF1"/>
    <w:rsid w:val="00014157"/>
    <w:rsid w:val="00022389"/>
    <w:rsid w:val="0002482C"/>
    <w:rsid w:val="00027048"/>
    <w:rsid w:val="00030E20"/>
    <w:rsid w:val="0003177C"/>
    <w:rsid w:val="00033DAE"/>
    <w:rsid w:val="0003458D"/>
    <w:rsid w:val="00036126"/>
    <w:rsid w:val="0004027F"/>
    <w:rsid w:val="000417E2"/>
    <w:rsid w:val="00041F16"/>
    <w:rsid w:val="00042507"/>
    <w:rsid w:val="00042E57"/>
    <w:rsid w:val="00056DA9"/>
    <w:rsid w:val="00057392"/>
    <w:rsid w:val="00060B14"/>
    <w:rsid w:val="00060DEF"/>
    <w:rsid w:val="00064FCC"/>
    <w:rsid w:val="00066432"/>
    <w:rsid w:val="000738C1"/>
    <w:rsid w:val="00075399"/>
    <w:rsid w:val="00077A6D"/>
    <w:rsid w:val="00081F19"/>
    <w:rsid w:val="000849F7"/>
    <w:rsid w:val="00085BDB"/>
    <w:rsid w:val="00096A9C"/>
    <w:rsid w:val="000A0348"/>
    <w:rsid w:val="000B312D"/>
    <w:rsid w:val="000B390F"/>
    <w:rsid w:val="000B5318"/>
    <w:rsid w:val="000B7EAE"/>
    <w:rsid w:val="000C22A3"/>
    <w:rsid w:val="000C3AEE"/>
    <w:rsid w:val="000C49FD"/>
    <w:rsid w:val="000D0ADD"/>
    <w:rsid w:val="000D1EE7"/>
    <w:rsid w:val="000D2754"/>
    <w:rsid w:val="000D3360"/>
    <w:rsid w:val="000D693D"/>
    <w:rsid w:val="000E0558"/>
    <w:rsid w:val="000E1A0E"/>
    <w:rsid w:val="000E4C47"/>
    <w:rsid w:val="000E74D0"/>
    <w:rsid w:val="000F1112"/>
    <w:rsid w:val="000F212D"/>
    <w:rsid w:val="000F69D8"/>
    <w:rsid w:val="0010059C"/>
    <w:rsid w:val="001008D8"/>
    <w:rsid w:val="00101242"/>
    <w:rsid w:val="0011333D"/>
    <w:rsid w:val="00113BF5"/>
    <w:rsid w:val="00117FDA"/>
    <w:rsid w:val="00121979"/>
    <w:rsid w:val="00123163"/>
    <w:rsid w:val="00124DE9"/>
    <w:rsid w:val="00130AE5"/>
    <w:rsid w:val="00131B58"/>
    <w:rsid w:val="001347E4"/>
    <w:rsid w:val="0014468E"/>
    <w:rsid w:val="00145399"/>
    <w:rsid w:val="00146FFE"/>
    <w:rsid w:val="001523FB"/>
    <w:rsid w:val="00165F05"/>
    <w:rsid w:val="00173E7C"/>
    <w:rsid w:val="001749C5"/>
    <w:rsid w:val="00182881"/>
    <w:rsid w:val="00193D6B"/>
    <w:rsid w:val="00197C2C"/>
    <w:rsid w:val="001A454C"/>
    <w:rsid w:val="001B355D"/>
    <w:rsid w:val="001B3C8D"/>
    <w:rsid w:val="001B61EC"/>
    <w:rsid w:val="001B78CC"/>
    <w:rsid w:val="001B7964"/>
    <w:rsid w:val="001C3818"/>
    <w:rsid w:val="001C7F22"/>
    <w:rsid w:val="001E494B"/>
    <w:rsid w:val="001E5447"/>
    <w:rsid w:val="001E5B08"/>
    <w:rsid w:val="001E7007"/>
    <w:rsid w:val="001F0921"/>
    <w:rsid w:val="001F669B"/>
    <w:rsid w:val="001F6F1B"/>
    <w:rsid w:val="00204860"/>
    <w:rsid w:val="00205623"/>
    <w:rsid w:val="0021410D"/>
    <w:rsid w:val="00214736"/>
    <w:rsid w:val="00217569"/>
    <w:rsid w:val="00227A4D"/>
    <w:rsid w:val="00245C56"/>
    <w:rsid w:val="002526F0"/>
    <w:rsid w:val="00260481"/>
    <w:rsid w:val="00260C6C"/>
    <w:rsid w:val="00261D1D"/>
    <w:rsid w:val="00263BCB"/>
    <w:rsid w:val="00265B7F"/>
    <w:rsid w:val="0026609C"/>
    <w:rsid w:val="00266492"/>
    <w:rsid w:val="002746AC"/>
    <w:rsid w:val="00275AF8"/>
    <w:rsid w:val="00276A31"/>
    <w:rsid w:val="002804AF"/>
    <w:rsid w:val="00285DF0"/>
    <w:rsid w:val="00296331"/>
    <w:rsid w:val="002A3D16"/>
    <w:rsid w:val="002A4327"/>
    <w:rsid w:val="002B41E2"/>
    <w:rsid w:val="002C2103"/>
    <w:rsid w:val="002C307C"/>
    <w:rsid w:val="002C3F46"/>
    <w:rsid w:val="002D358B"/>
    <w:rsid w:val="002D4688"/>
    <w:rsid w:val="002E1ED2"/>
    <w:rsid w:val="002E47F9"/>
    <w:rsid w:val="002F05A5"/>
    <w:rsid w:val="002F1783"/>
    <w:rsid w:val="002F3442"/>
    <w:rsid w:val="002F6349"/>
    <w:rsid w:val="00307C4F"/>
    <w:rsid w:val="00310475"/>
    <w:rsid w:val="00312080"/>
    <w:rsid w:val="0031530A"/>
    <w:rsid w:val="00316FE3"/>
    <w:rsid w:val="00325013"/>
    <w:rsid w:val="00327EA0"/>
    <w:rsid w:val="003325A6"/>
    <w:rsid w:val="0034149A"/>
    <w:rsid w:val="003530E4"/>
    <w:rsid w:val="00360985"/>
    <w:rsid w:val="00363DC0"/>
    <w:rsid w:val="0036407C"/>
    <w:rsid w:val="00364B27"/>
    <w:rsid w:val="00367329"/>
    <w:rsid w:val="00371180"/>
    <w:rsid w:val="003753D6"/>
    <w:rsid w:val="00383323"/>
    <w:rsid w:val="00383DDA"/>
    <w:rsid w:val="003A152F"/>
    <w:rsid w:val="003C03F3"/>
    <w:rsid w:val="003C764C"/>
    <w:rsid w:val="003D4E79"/>
    <w:rsid w:val="003D50BD"/>
    <w:rsid w:val="003D6B4B"/>
    <w:rsid w:val="003D6F00"/>
    <w:rsid w:val="003E2A96"/>
    <w:rsid w:val="003E34AB"/>
    <w:rsid w:val="003E518D"/>
    <w:rsid w:val="003F0538"/>
    <w:rsid w:val="00404A2D"/>
    <w:rsid w:val="00405F9B"/>
    <w:rsid w:val="0041454F"/>
    <w:rsid w:val="004231B3"/>
    <w:rsid w:val="004247AA"/>
    <w:rsid w:val="00425CB0"/>
    <w:rsid w:val="00431482"/>
    <w:rsid w:val="004327BF"/>
    <w:rsid w:val="0043293A"/>
    <w:rsid w:val="00432F1B"/>
    <w:rsid w:val="00434D31"/>
    <w:rsid w:val="004472B1"/>
    <w:rsid w:val="004516D7"/>
    <w:rsid w:val="004673A9"/>
    <w:rsid w:val="00476E87"/>
    <w:rsid w:val="004848D7"/>
    <w:rsid w:val="004A0322"/>
    <w:rsid w:val="004A0FB3"/>
    <w:rsid w:val="004A277B"/>
    <w:rsid w:val="004A4C4D"/>
    <w:rsid w:val="004C0881"/>
    <w:rsid w:val="004C3DD0"/>
    <w:rsid w:val="004D4EA6"/>
    <w:rsid w:val="004D5707"/>
    <w:rsid w:val="004E25CC"/>
    <w:rsid w:val="004E4D73"/>
    <w:rsid w:val="00501AA2"/>
    <w:rsid w:val="00510B3C"/>
    <w:rsid w:val="0051241D"/>
    <w:rsid w:val="00514FAF"/>
    <w:rsid w:val="00517CE7"/>
    <w:rsid w:val="005218AE"/>
    <w:rsid w:val="0052348E"/>
    <w:rsid w:val="005263AF"/>
    <w:rsid w:val="005360A2"/>
    <w:rsid w:val="00540933"/>
    <w:rsid w:val="00543894"/>
    <w:rsid w:val="005475A7"/>
    <w:rsid w:val="00547B16"/>
    <w:rsid w:val="00555A4A"/>
    <w:rsid w:val="005572D4"/>
    <w:rsid w:val="0056326E"/>
    <w:rsid w:val="0058236B"/>
    <w:rsid w:val="00591DB8"/>
    <w:rsid w:val="005A4B6F"/>
    <w:rsid w:val="005B0E24"/>
    <w:rsid w:val="005B28AB"/>
    <w:rsid w:val="005B60E5"/>
    <w:rsid w:val="005B67BF"/>
    <w:rsid w:val="005B74CD"/>
    <w:rsid w:val="005C654C"/>
    <w:rsid w:val="005D0985"/>
    <w:rsid w:val="005E774A"/>
    <w:rsid w:val="00613C28"/>
    <w:rsid w:val="00616AF7"/>
    <w:rsid w:val="00616CA2"/>
    <w:rsid w:val="00627C53"/>
    <w:rsid w:val="00630894"/>
    <w:rsid w:val="00635BE5"/>
    <w:rsid w:val="00646983"/>
    <w:rsid w:val="006471FC"/>
    <w:rsid w:val="00652A97"/>
    <w:rsid w:val="00655363"/>
    <w:rsid w:val="0066005A"/>
    <w:rsid w:val="006610DD"/>
    <w:rsid w:val="00662C71"/>
    <w:rsid w:val="00664821"/>
    <w:rsid w:val="006744A0"/>
    <w:rsid w:val="006834D4"/>
    <w:rsid w:val="00686E8B"/>
    <w:rsid w:val="00694216"/>
    <w:rsid w:val="006942C9"/>
    <w:rsid w:val="00695544"/>
    <w:rsid w:val="006A21B4"/>
    <w:rsid w:val="006A735D"/>
    <w:rsid w:val="006B372E"/>
    <w:rsid w:val="006B6897"/>
    <w:rsid w:val="006B6EC8"/>
    <w:rsid w:val="006C2906"/>
    <w:rsid w:val="006C2B13"/>
    <w:rsid w:val="006C4223"/>
    <w:rsid w:val="006C6399"/>
    <w:rsid w:val="006D25D1"/>
    <w:rsid w:val="006E1F5B"/>
    <w:rsid w:val="006E70A3"/>
    <w:rsid w:val="006F23FD"/>
    <w:rsid w:val="006F4CD8"/>
    <w:rsid w:val="006F7B3C"/>
    <w:rsid w:val="007038DA"/>
    <w:rsid w:val="00710C72"/>
    <w:rsid w:val="0072332D"/>
    <w:rsid w:val="007325F8"/>
    <w:rsid w:val="00732AC8"/>
    <w:rsid w:val="0074226F"/>
    <w:rsid w:val="00755B6A"/>
    <w:rsid w:val="0076056B"/>
    <w:rsid w:val="007608EF"/>
    <w:rsid w:val="00760A42"/>
    <w:rsid w:val="00771ECF"/>
    <w:rsid w:val="007730B8"/>
    <w:rsid w:val="007822F6"/>
    <w:rsid w:val="007837D9"/>
    <w:rsid w:val="00783D4D"/>
    <w:rsid w:val="00784550"/>
    <w:rsid w:val="00797733"/>
    <w:rsid w:val="007A277E"/>
    <w:rsid w:val="007A42A9"/>
    <w:rsid w:val="007A65A9"/>
    <w:rsid w:val="007A728A"/>
    <w:rsid w:val="007B4B9F"/>
    <w:rsid w:val="007B5B59"/>
    <w:rsid w:val="007B7C82"/>
    <w:rsid w:val="007C1BB4"/>
    <w:rsid w:val="007C1F67"/>
    <w:rsid w:val="007C279D"/>
    <w:rsid w:val="007C27B8"/>
    <w:rsid w:val="007C3E3C"/>
    <w:rsid w:val="007C7BE8"/>
    <w:rsid w:val="007E22C0"/>
    <w:rsid w:val="007E3A14"/>
    <w:rsid w:val="007E483A"/>
    <w:rsid w:val="007F0405"/>
    <w:rsid w:val="007F2041"/>
    <w:rsid w:val="007F603F"/>
    <w:rsid w:val="008012C5"/>
    <w:rsid w:val="00805961"/>
    <w:rsid w:val="00807D55"/>
    <w:rsid w:val="008105F2"/>
    <w:rsid w:val="00810CB2"/>
    <w:rsid w:val="00812607"/>
    <w:rsid w:val="008205F5"/>
    <w:rsid w:val="00820733"/>
    <w:rsid w:val="00825D27"/>
    <w:rsid w:val="0082651E"/>
    <w:rsid w:val="008375D2"/>
    <w:rsid w:val="0083788E"/>
    <w:rsid w:val="00844378"/>
    <w:rsid w:val="00846A1C"/>
    <w:rsid w:val="00851C12"/>
    <w:rsid w:val="0085567D"/>
    <w:rsid w:val="0086002A"/>
    <w:rsid w:val="00862915"/>
    <w:rsid w:val="00863293"/>
    <w:rsid w:val="0086603E"/>
    <w:rsid w:val="008660BD"/>
    <w:rsid w:val="00866F7F"/>
    <w:rsid w:val="0086775A"/>
    <w:rsid w:val="0087512C"/>
    <w:rsid w:val="00880E5A"/>
    <w:rsid w:val="00885F68"/>
    <w:rsid w:val="00894FF3"/>
    <w:rsid w:val="008A0600"/>
    <w:rsid w:val="008A2815"/>
    <w:rsid w:val="008A3315"/>
    <w:rsid w:val="008A414D"/>
    <w:rsid w:val="008A529E"/>
    <w:rsid w:val="008B0D60"/>
    <w:rsid w:val="008C0227"/>
    <w:rsid w:val="008C0502"/>
    <w:rsid w:val="008C5D0C"/>
    <w:rsid w:val="008C7695"/>
    <w:rsid w:val="008D41E5"/>
    <w:rsid w:val="008E2A75"/>
    <w:rsid w:val="008E4B69"/>
    <w:rsid w:val="008E5B27"/>
    <w:rsid w:val="008E6C9A"/>
    <w:rsid w:val="008F60CE"/>
    <w:rsid w:val="00902661"/>
    <w:rsid w:val="00903C49"/>
    <w:rsid w:val="00905D52"/>
    <w:rsid w:val="00925C7B"/>
    <w:rsid w:val="009300CA"/>
    <w:rsid w:val="00932609"/>
    <w:rsid w:val="0093766A"/>
    <w:rsid w:val="009544AD"/>
    <w:rsid w:val="009607AB"/>
    <w:rsid w:val="00961FA4"/>
    <w:rsid w:val="00962187"/>
    <w:rsid w:val="0096219C"/>
    <w:rsid w:val="0096400A"/>
    <w:rsid w:val="009650E5"/>
    <w:rsid w:val="009663FF"/>
    <w:rsid w:val="00970EFF"/>
    <w:rsid w:val="0097616B"/>
    <w:rsid w:val="00983E53"/>
    <w:rsid w:val="009843B6"/>
    <w:rsid w:val="00984B8C"/>
    <w:rsid w:val="00985590"/>
    <w:rsid w:val="00991347"/>
    <w:rsid w:val="00993A40"/>
    <w:rsid w:val="009A0C4F"/>
    <w:rsid w:val="009A0CBE"/>
    <w:rsid w:val="009A2C50"/>
    <w:rsid w:val="009A3021"/>
    <w:rsid w:val="009A3AAA"/>
    <w:rsid w:val="009C23C2"/>
    <w:rsid w:val="009D02C7"/>
    <w:rsid w:val="009D2432"/>
    <w:rsid w:val="009D3EBC"/>
    <w:rsid w:val="009E41A9"/>
    <w:rsid w:val="009E7FC0"/>
    <w:rsid w:val="009F1419"/>
    <w:rsid w:val="009F27DD"/>
    <w:rsid w:val="009F4F67"/>
    <w:rsid w:val="00A10236"/>
    <w:rsid w:val="00A1042A"/>
    <w:rsid w:val="00A127BB"/>
    <w:rsid w:val="00A13B11"/>
    <w:rsid w:val="00A17EF2"/>
    <w:rsid w:val="00A21E85"/>
    <w:rsid w:val="00A44FC5"/>
    <w:rsid w:val="00A47308"/>
    <w:rsid w:val="00A51A61"/>
    <w:rsid w:val="00A6095B"/>
    <w:rsid w:val="00A62F0D"/>
    <w:rsid w:val="00A638FF"/>
    <w:rsid w:val="00A64BAE"/>
    <w:rsid w:val="00A65D7B"/>
    <w:rsid w:val="00A74211"/>
    <w:rsid w:val="00A74316"/>
    <w:rsid w:val="00A748C0"/>
    <w:rsid w:val="00A872F3"/>
    <w:rsid w:val="00A87479"/>
    <w:rsid w:val="00AA7B73"/>
    <w:rsid w:val="00AB2851"/>
    <w:rsid w:val="00AB2A4C"/>
    <w:rsid w:val="00AC3039"/>
    <w:rsid w:val="00AC3EB1"/>
    <w:rsid w:val="00AC4142"/>
    <w:rsid w:val="00AD0642"/>
    <w:rsid w:val="00AD2C9B"/>
    <w:rsid w:val="00AD502F"/>
    <w:rsid w:val="00AD6722"/>
    <w:rsid w:val="00AD789A"/>
    <w:rsid w:val="00AE16A7"/>
    <w:rsid w:val="00AE3DBE"/>
    <w:rsid w:val="00AE56E1"/>
    <w:rsid w:val="00B036D3"/>
    <w:rsid w:val="00B04696"/>
    <w:rsid w:val="00B051EE"/>
    <w:rsid w:val="00B10146"/>
    <w:rsid w:val="00B10549"/>
    <w:rsid w:val="00B113BE"/>
    <w:rsid w:val="00B12FA4"/>
    <w:rsid w:val="00B14178"/>
    <w:rsid w:val="00B16D7D"/>
    <w:rsid w:val="00B311BC"/>
    <w:rsid w:val="00B321DD"/>
    <w:rsid w:val="00B332E0"/>
    <w:rsid w:val="00B35BAA"/>
    <w:rsid w:val="00B37EB6"/>
    <w:rsid w:val="00B42764"/>
    <w:rsid w:val="00B44431"/>
    <w:rsid w:val="00B50AC8"/>
    <w:rsid w:val="00B520A5"/>
    <w:rsid w:val="00B525F2"/>
    <w:rsid w:val="00B52E37"/>
    <w:rsid w:val="00B54043"/>
    <w:rsid w:val="00B61957"/>
    <w:rsid w:val="00B62823"/>
    <w:rsid w:val="00B62BC9"/>
    <w:rsid w:val="00B64647"/>
    <w:rsid w:val="00B662E7"/>
    <w:rsid w:val="00B7684F"/>
    <w:rsid w:val="00B8043C"/>
    <w:rsid w:val="00B824A4"/>
    <w:rsid w:val="00B87A9D"/>
    <w:rsid w:val="00BA2468"/>
    <w:rsid w:val="00BA3B2C"/>
    <w:rsid w:val="00BA73E1"/>
    <w:rsid w:val="00BB03D9"/>
    <w:rsid w:val="00BB1799"/>
    <w:rsid w:val="00BB29D9"/>
    <w:rsid w:val="00BC269F"/>
    <w:rsid w:val="00BC2A7E"/>
    <w:rsid w:val="00BC352F"/>
    <w:rsid w:val="00BE1B7C"/>
    <w:rsid w:val="00BE5AB1"/>
    <w:rsid w:val="00BF7CA7"/>
    <w:rsid w:val="00C01F3E"/>
    <w:rsid w:val="00C072F3"/>
    <w:rsid w:val="00C07BDD"/>
    <w:rsid w:val="00C1386C"/>
    <w:rsid w:val="00C211FE"/>
    <w:rsid w:val="00C24FAF"/>
    <w:rsid w:val="00C31264"/>
    <w:rsid w:val="00C334C4"/>
    <w:rsid w:val="00C33D75"/>
    <w:rsid w:val="00C42BE1"/>
    <w:rsid w:val="00C43B02"/>
    <w:rsid w:val="00C47E37"/>
    <w:rsid w:val="00C573C5"/>
    <w:rsid w:val="00C60511"/>
    <w:rsid w:val="00C65F2F"/>
    <w:rsid w:val="00C803BA"/>
    <w:rsid w:val="00C80BFB"/>
    <w:rsid w:val="00C85097"/>
    <w:rsid w:val="00C9551C"/>
    <w:rsid w:val="00C96594"/>
    <w:rsid w:val="00CA4C52"/>
    <w:rsid w:val="00CB62B0"/>
    <w:rsid w:val="00CB64BF"/>
    <w:rsid w:val="00CB68AA"/>
    <w:rsid w:val="00CD0034"/>
    <w:rsid w:val="00CD6AC2"/>
    <w:rsid w:val="00CE1ACB"/>
    <w:rsid w:val="00CE27DE"/>
    <w:rsid w:val="00CF4F98"/>
    <w:rsid w:val="00CF517D"/>
    <w:rsid w:val="00CF6817"/>
    <w:rsid w:val="00D00B72"/>
    <w:rsid w:val="00D010B6"/>
    <w:rsid w:val="00D17886"/>
    <w:rsid w:val="00D2612C"/>
    <w:rsid w:val="00D350F7"/>
    <w:rsid w:val="00D364B6"/>
    <w:rsid w:val="00D36A4A"/>
    <w:rsid w:val="00D36F7F"/>
    <w:rsid w:val="00D371F5"/>
    <w:rsid w:val="00D378B4"/>
    <w:rsid w:val="00D44747"/>
    <w:rsid w:val="00D4764B"/>
    <w:rsid w:val="00D47794"/>
    <w:rsid w:val="00D52ECA"/>
    <w:rsid w:val="00D57A27"/>
    <w:rsid w:val="00D60C74"/>
    <w:rsid w:val="00D723DB"/>
    <w:rsid w:val="00D86A24"/>
    <w:rsid w:val="00D91864"/>
    <w:rsid w:val="00D91B18"/>
    <w:rsid w:val="00D97B1A"/>
    <w:rsid w:val="00DA323F"/>
    <w:rsid w:val="00DB2B6E"/>
    <w:rsid w:val="00DC3599"/>
    <w:rsid w:val="00DD502E"/>
    <w:rsid w:val="00DD5373"/>
    <w:rsid w:val="00DD6C4D"/>
    <w:rsid w:val="00DE7A01"/>
    <w:rsid w:val="00E0069F"/>
    <w:rsid w:val="00E01F89"/>
    <w:rsid w:val="00E05E33"/>
    <w:rsid w:val="00E12169"/>
    <w:rsid w:val="00E12548"/>
    <w:rsid w:val="00E20412"/>
    <w:rsid w:val="00E21ADE"/>
    <w:rsid w:val="00E23A25"/>
    <w:rsid w:val="00E23CD1"/>
    <w:rsid w:val="00E250A9"/>
    <w:rsid w:val="00E32D1C"/>
    <w:rsid w:val="00E363E8"/>
    <w:rsid w:val="00E414D3"/>
    <w:rsid w:val="00E46B89"/>
    <w:rsid w:val="00E47D7A"/>
    <w:rsid w:val="00E50D1D"/>
    <w:rsid w:val="00E51AA2"/>
    <w:rsid w:val="00E52C66"/>
    <w:rsid w:val="00E56A02"/>
    <w:rsid w:val="00E64FDC"/>
    <w:rsid w:val="00E802F6"/>
    <w:rsid w:val="00E83E76"/>
    <w:rsid w:val="00E95DCD"/>
    <w:rsid w:val="00EA4465"/>
    <w:rsid w:val="00EA5642"/>
    <w:rsid w:val="00EB2B62"/>
    <w:rsid w:val="00EB6981"/>
    <w:rsid w:val="00EB6E1D"/>
    <w:rsid w:val="00EC3FBB"/>
    <w:rsid w:val="00EC53A2"/>
    <w:rsid w:val="00ED6080"/>
    <w:rsid w:val="00ED776E"/>
    <w:rsid w:val="00EF14A8"/>
    <w:rsid w:val="00F00BE7"/>
    <w:rsid w:val="00F0383B"/>
    <w:rsid w:val="00F05F4C"/>
    <w:rsid w:val="00F06A58"/>
    <w:rsid w:val="00F1227B"/>
    <w:rsid w:val="00F1711C"/>
    <w:rsid w:val="00F20FA3"/>
    <w:rsid w:val="00F24C6B"/>
    <w:rsid w:val="00F369A8"/>
    <w:rsid w:val="00F4652E"/>
    <w:rsid w:val="00F63679"/>
    <w:rsid w:val="00F63F0C"/>
    <w:rsid w:val="00F71035"/>
    <w:rsid w:val="00F746A3"/>
    <w:rsid w:val="00F8650F"/>
    <w:rsid w:val="00FB0BA9"/>
    <w:rsid w:val="00FC0AC1"/>
    <w:rsid w:val="00FC44DD"/>
    <w:rsid w:val="00FD1B3C"/>
    <w:rsid w:val="00FD30E2"/>
    <w:rsid w:val="00FE0213"/>
    <w:rsid w:val="00FE0A65"/>
    <w:rsid w:val="00FE2697"/>
    <w:rsid w:val="00FF3002"/>
    <w:rsid w:val="00FF3401"/>
    <w:rsid w:val="00FF6C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DB411AC"/>
  <w15:docId w15:val="{2313C5D7-B15C-4D4A-8DBD-70CC2A0B6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FF3002"/>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link w:val="iCar1"/>
    <w:qFormat/>
    <w:rsid w:val="00A65D7B"/>
    <w:pPr>
      <w:spacing w:after="120" w:line="240" w:lineRule="auto"/>
      <w:ind w:left="1843"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sz w:val="24"/>
      <w:szCs w:val="24"/>
    </w:rPr>
  </w:style>
  <w:style w:type="paragraph" w:customStyle="1" w:styleId="Ref">
    <w:name w:val="Ref."/>
    <w:basedOn w:val="Normal"/>
    <w:pPr>
      <w:spacing w:after="240" w:line="240" w:lineRule="auto"/>
      <w:ind w:left="426" w:hanging="426"/>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link w:val="paraACar"/>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bCs/>
      <w:sz w:val="18"/>
      <w:szCs w:val="18"/>
    </w:rPr>
  </w:style>
  <w:style w:type="paragraph" w:customStyle="1" w:styleId="ipara">
    <w:name w:val="i_para"/>
    <w:basedOn w:val="i"/>
    <w:pPr>
      <w:spacing w:line="200" w:lineRule="exact"/>
      <w:ind w:left="851" w:firstLine="0"/>
    </w:pPr>
  </w:style>
  <w:style w:type="paragraph" w:customStyle="1" w:styleId="iparalast">
    <w:name w:val="i_para_last"/>
    <w:basedOn w:val="i"/>
    <w:link w:val="iparalastCar1"/>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bCs/>
      <w:sz w:val="22"/>
      <w:szCs w:val="22"/>
    </w:r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character" w:customStyle="1" w:styleId="iCar">
    <w:name w:val="i) Car"/>
    <w:rPr>
      <w:rFonts w:ascii="Arial" w:hAnsi="Arial" w:cs="Arial"/>
      <w:noProof w:val="0"/>
      <w:sz w:val="18"/>
      <w:szCs w:val="18"/>
      <w:lang w:val="en-GB" w:eastAsia="fr-FR" w:bidi="ar-SA"/>
    </w:rPr>
  </w:style>
  <w:style w:type="character" w:customStyle="1" w:styleId="iparalastCar">
    <w:name w:val="i_para_last Car"/>
    <w:basedOn w:val="iCar"/>
    <w:rPr>
      <w:rFonts w:ascii="Arial" w:hAnsi="Arial" w:cs="Arial"/>
      <w:noProof w:val="0"/>
      <w:sz w:val="18"/>
      <w:szCs w:val="18"/>
      <w:lang w:val="en-GB" w:eastAsia="fr-FR" w:bidi="ar-SA"/>
    </w:rPr>
  </w:style>
  <w:style w:type="paragraph" w:styleId="Textedebulles">
    <w:name w:val="Balloon Text"/>
    <w:basedOn w:val="Normal"/>
    <w:semiHidden/>
    <w:rPr>
      <w:rFonts w:ascii="Tahoma" w:hAnsi="Tahoma" w:cs="Tahoma"/>
      <w:sz w:val="16"/>
      <w:szCs w:val="16"/>
    </w:rPr>
  </w:style>
  <w:style w:type="character" w:styleId="Lienhypertexte">
    <w:name w:val="Hyperlink"/>
    <w:uiPriority w:val="99"/>
    <w:rPr>
      <w:color w:val="0000FF"/>
      <w:u w:val="single"/>
    </w:rPr>
  </w:style>
  <w:style w:type="character" w:customStyle="1" w:styleId="iCar1">
    <w:name w:val="i) Car1"/>
    <w:link w:val="i"/>
    <w:rsid w:val="00A65D7B"/>
    <w:rPr>
      <w:rFonts w:ascii="Arial" w:hAnsi="Arial" w:cs="Arial"/>
      <w:sz w:val="18"/>
      <w:szCs w:val="18"/>
      <w:lang w:eastAsia="fr-FR"/>
    </w:rPr>
  </w:style>
  <w:style w:type="character" w:customStyle="1" w:styleId="iparalastCar1">
    <w:name w:val="i_para_last Car1"/>
    <w:basedOn w:val="iCar1"/>
    <w:link w:val="iparalast"/>
    <w:rsid w:val="00E05E33"/>
    <w:rPr>
      <w:rFonts w:ascii="Arial" w:hAnsi="Arial" w:cs="Arial"/>
      <w:sz w:val="18"/>
      <w:szCs w:val="18"/>
      <w:lang w:val="en-GB" w:eastAsia="fr-FR" w:bidi="ar-SA"/>
    </w:rPr>
  </w:style>
  <w:style w:type="character" w:customStyle="1" w:styleId="paraACar">
    <w:name w:val="paraA Car"/>
    <w:link w:val="paraA0"/>
    <w:rsid w:val="00D350F7"/>
    <w:rPr>
      <w:rFonts w:ascii="Arial" w:hAnsi="Arial" w:cs="Arial"/>
      <w:sz w:val="18"/>
      <w:szCs w:val="18"/>
      <w:lang w:val="en-GB" w:eastAsia="fr-FR" w:bidi="ar-SA"/>
    </w:rPr>
  </w:style>
  <w:style w:type="character" w:styleId="Marquedecommentaire">
    <w:name w:val="annotation reference"/>
    <w:semiHidden/>
    <w:rsid w:val="00905D52"/>
    <w:rPr>
      <w:sz w:val="16"/>
      <w:szCs w:val="16"/>
    </w:rPr>
  </w:style>
  <w:style w:type="paragraph" w:styleId="Commentaire">
    <w:name w:val="annotation text"/>
    <w:basedOn w:val="Normal"/>
    <w:semiHidden/>
    <w:rsid w:val="00905D52"/>
  </w:style>
  <w:style w:type="paragraph" w:styleId="Objetducommentaire">
    <w:name w:val="annotation subject"/>
    <w:basedOn w:val="Commentaire"/>
    <w:next w:val="Commentaire"/>
    <w:semiHidden/>
    <w:rsid w:val="00905D52"/>
    <w:rPr>
      <w:b/>
      <w:bCs/>
    </w:rPr>
  </w:style>
  <w:style w:type="character" w:styleId="Accentuation">
    <w:name w:val="Emphasis"/>
    <w:qFormat/>
    <w:rsid w:val="00866F7F"/>
    <w:rPr>
      <w:i/>
      <w:iCs/>
    </w:rPr>
  </w:style>
  <w:style w:type="paragraph" w:styleId="Corpsdetexte2">
    <w:name w:val="Body Text 2"/>
    <w:basedOn w:val="Normal"/>
    <w:rsid w:val="00C43B02"/>
    <w:pPr>
      <w:tabs>
        <w:tab w:val="clear" w:pos="-720"/>
        <w:tab w:val="left" w:pos="8364"/>
      </w:tabs>
      <w:spacing w:line="360" w:lineRule="auto"/>
      <w:ind w:right="144"/>
    </w:pPr>
    <w:rPr>
      <w:rFonts w:ascii="Tahoma" w:hAnsi="Tahoma" w:cs="Tahoma"/>
      <w:sz w:val="24"/>
      <w:szCs w:val="24"/>
      <w:lang w:eastAsia="en-US"/>
    </w:rPr>
  </w:style>
  <w:style w:type="character" w:customStyle="1" w:styleId="En-tteCar">
    <w:name w:val="En-tête Car"/>
    <w:link w:val="En-tte"/>
    <w:rsid w:val="008A2815"/>
    <w:rPr>
      <w:lang w:eastAsia="fr-FR"/>
    </w:rPr>
  </w:style>
  <w:style w:type="paragraph" w:customStyle="1" w:styleId="Summarytitle">
    <w:name w:val="Summary_title"/>
    <w:basedOn w:val="A0"/>
    <w:rsid w:val="00D4764B"/>
    <w:pPr>
      <w:spacing w:before="1200"/>
    </w:pPr>
    <w:rPr>
      <w:caps/>
    </w:rPr>
  </w:style>
  <w:style w:type="paragraph" w:customStyle="1" w:styleId="Reflabnote">
    <w:name w:val="Ref_lab_note"/>
    <w:basedOn w:val="Normal"/>
    <w:link w:val="ReflabnoteCar"/>
    <w:rsid w:val="004A4C4D"/>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link w:val="Reflabnote"/>
    <w:rsid w:val="004A4C4D"/>
    <w:rPr>
      <w:rFonts w:ascii="Arial" w:hAnsi="Arial" w:cs="Arial"/>
      <w:sz w:val="18"/>
      <w:szCs w:val="18"/>
      <w:lang w:eastAsia="fr-FR"/>
    </w:rPr>
  </w:style>
  <w:style w:type="table" w:styleId="Grilledutableau">
    <w:name w:val="Table Grid"/>
    <w:basedOn w:val="TableauNormal"/>
    <w:uiPriority w:val="59"/>
    <w:rsid w:val="009300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link w:val="TextebrutCar"/>
    <w:uiPriority w:val="99"/>
    <w:unhideWhenUsed/>
    <w:rsid w:val="00C60511"/>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C60511"/>
    <w:rPr>
      <w:rFonts w:ascii="Calibri" w:eastAsiaTheme="minorHAnsi" w:hAnsi="Calibri" w:cstheme="minorBidi"/>
      <w:sz w:val="22"/>
      <w:szCs w:val="21"/>
      <w:lang w:eastAsia="en-US"/>
    </w:rPr>
  </w:style>
  <w:style w:type="paragraph" w:customStyle="1" w:styleId="11">
    <w:name w:val="1.1"/>
    <w:basedOn w:val="Normal"/>
    <w:qFormat/>
    <w:rsid w:val="00A65D7B"/>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A65D7B"/>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613C28"/>
    <w:pPr>
      <w:tabs>
        <w:tab w:val="clear" w:pos="-720"/>
      </w:tabs>
      <w:spacing w:after="120" w:line="240" w:lineRule="auto"/>
      <w:ind w:left="1418" w:hanging="567"/>
    </w:pPr>
    <w:rPr>
      <w:rFonts w:ascii="Ottawa" w:eastAsiaTheme="minorHAnsi" w:hAnsi="Ottawa" w:cs="Arial"/>
      <w:b/>
      <w:sz w:val="19"/>
      <w:lang w:eastAsia="en-US"/>
    </w:rPr>
  </w:style>
  <w:style w:type="paragraph" w:customStyle="1" w:styleId="111Para">
    <w:name w:val="1.1.1_Para"/>
    <w:basedOn w:val="Normal"/>
    <w:qFormat/>
    <w:rsid w:val="00A65D7B"/>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A65D7B"/>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A65D7B"/>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A65D7B"/>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A65D7B"/>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A65D7B"/>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A65D7B"/>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A65D7B"/>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A65D7B"/>
    <w:pPr>
      <w:spacing w:after="120"/>
      <w:ind w:hanging="425"/>
    </w:pPr>
  </w:style>
  <w:style w:type="character" w:customStyle="1" w:styleId="apple-converted-space">
    <w:name w:val="apple-converted-space"/>
    <w:basedOn w:val="Policepardfaut"/>
    <w:rsid w:val="00F0383B"/>
  </w:style>
  <w:style w:type="paragraph" w:styleId="Paragraphedeliste">
    <w:name w:val="List Paragraph"/>
    <w:basedOn w:val="Normal"/>
    <w:uiPriority w:val="34"/>
    <w:qFormat/>
    <w:rsid w:val="00A62F0D"/>
    <w:pPr>
      <w:tabs>
        <w:tab w:val="clear" w:pos="-720"/>
      </w:tabs>
      <w:spacing w:after="200" w:line="252" w:lineRule="auto"/>
      <w:ind w:left="720"/>
      <w:contextualSpacing/>
      <w:jc w:val="left"/>
    </w:pPr>
    <w:rPr>
      <w:rFonts w:ascii="Cambria" w:hAnsi="Cambria"/>
      <w:sz w:val="22"/>
      <w:szCs w:val="22"/>
      <w:lang w:val="fr-FR" w:eastAsia="en-US" w:bidi="en-US"/>
    </w:rPr>
  </w:style>
  <w:style w:type="paragraph" w:styleId="Corpsdetexte">
    <w:name w:val="Body Text"/>
    <w:basedOn w:val="Normal"/>
    <w:link w:val="CorpsdetexteCar"/>
    <w:unhideWhenUsed/>
    <w:rsid w:val="00B525F2"/>
    <w:pPr>
      <w:spacing w:after="120"/>
    </w:pPr>
  </w:style>
  <w:style w:type="character" w:customStyle="1" w:styleId="CorpsdetexteCar">
    <w:name w:val="Corps de texte Car"/>
    <w:basedOn w:val="Policepardfaut"/>
    <w:link w:val="Corpsdetexte"/>
    <w:rsid w:val="00B525F2"/>
    <w:rPr>
      <w:lang w:eastAsia="fr-FR"/>
    </w:rPr>
  </w:style>
  <w:style w:type="character" w:customStyle="1" w:styleId="Titre1Car">
    <w:name w:val="Titre 1 Car"/>
    <w:basedOn w:val="Policepardfaut"/>
    <w:link w:val="Titre1"/>
    <w:uiPriority w:val="99"/>
    <w:rsid w:val="00B525F2"/>
    <w:rPr>
      <w:rFonts w:ascii="Arial" w:hAnsi="Arial" w:cs="Arial"/>
      <w:b/>
      <w:bCs/>
      <w:sz w:val="24"/>
      <w:szCs w:val="24"/>
      <w:u w:val="single"/>
      <w:lang w:eastAsia="fr-FR"/>
    </w:rPr>
  </w:style>
  <w:style w:type="character" w:customStyle="1" w:styleId="NotedebasdepageCar">
    <w:name w:val="Note de bas de page Car"/>
    <w:basedOn w:val="Policepardfaut"/>
    <w:link w:val="Notedebasdepage"/>
    <w:rsid w:val="008E4B69"/>
    <w:rPr>
      <w:lang w:eastAsia="fr-FR"/>
    </w:rPr>
  </w:style>
  <w:style w:type="paragraph" w:customStyle="1" w:styleId="Chatperno">
    <w:name w:val="Chatper_no"/>
    <w:basedOn w:val="Normal"/>
    <w:rsid w:val="00FE2697"/>
    <w:pPr>
      <w:spacing w:after="240" w:line="240" w:lineRule="auto"/>
      <w:jc w:val="center"/>
    </w:pPr>
    <w:rPr>
      <w:rFonts w:ascii="Ottawa" w:hAnsi="Ottawa"/>
      <w:caps/>
      <w:spacing w:val="6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85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Loutfi%20C%5BAuthor%5D&amp;cauthor=true&amp;cauthor_uid=2042910" TargetMode="External"/><Relationship Id="rId13" Type="http://schemas.openxmlformats.org/officeDocument/2006/relationships/hyperlink" Target="http://www.oie.int/en/scientific-expertise/reference-laboratories/list-of-laboratories/"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bi.nlm.nih.gov/pubmed/204291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Bertin%20F%5BAuthor%5D&amp;cauthor=true&amp;cauthor_uid=204291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ncbi.nlm.nih.gov/pubmed?term=Loutfi%20C%5BAuthor%5D&amp;cauthor=true&amp;cauthor_uid=204291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pubmed?term=el%20Harrak%20M%5BAuthor%5D&amp;cauthor=true&amp;cauthor_uid=2042910"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ie.int/en/animal-health-in-the-world/the-world-animal-health-information-system/the-world-animal-health-information-sys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CCE67-01E3-475C-B403-28E01516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24</TotalTime>
  <Pages>14</Pages>
  <Words>7798</Words>
  <Characters>43093</Characters>
  <Application>Microsoft Office Word</Application>
  <DocSecurity>0</DocSecurity>
  <Lines>359</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AH</Company>
  <LinksUpToDate>false</LinksUpToDate>
  <CharactersWithSpaces>50790</CharactersWithSpaces>
  <SharedDoc>false</SharedDoc>
  <HLinks>
    <vt:vector size="12" baseType="variant">
      <vt:variant>
        <vt:i4>3932281</vt:i4>
      </vt:variant>
      <vt:variant>
        <vt:i4>3</vt:i4>
      </vt:variant>
      <vt:variant>
        <vt:i4>0</vt:i4>
      </vt:variant>
      <vt:variant>
        <vt:i4>5</vt:i4>
      </vt:variant>
      <vt:variant>
        <vt:lpwstr>http://www.oie.int/</vt:lpwstr>
      </vt:variant>
      <vt:variant>
        <vt:lpwstr/>
      </vt:variant>
      <vt:variant>
        <vt:i4>2752563</vt:i4>
      </vt:variant>
      <vt:variant>
        <vt:i4>0</vt:i4>
      </vt:variant>
      <vt:variant>
        <vt:i4>0</vt:i4>
      </vt:variant>
      <vt:variant>
        <vt:i4>5</vt:i4>
      </vt:variant>
      <vt:variant>
        <vt:lpwstr>http://www.oie.int/en/our-scientific-expertise/reference-laboratories/list-of-laboratories/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7</cp:revision>
  <cp:lastPrinted>2019-04-11T08:50:00Z</cp:lastPrinted>
  <dcterms:created xsi:type="dcterms:W3CDTF">2020-02-17T17:49:00Z</dcterms:created>
  <dcterms:modified xsi:type="dcterms:W3CDTF">2020-03-13T09:05:00Z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