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2A0C0" w14:textId="4EA6E3C1" w:rsidR="00330D15" w:rsidRPr="00934626" w:rsidRDefault="00B40962" w:rsidP="00B40962">
      <w:pPr>
        <w:pStyle w:val="Chatperno"/>
        <w:outlineLvl w:val="0"/>
        <w:rPr>
          <w:lang w:val="fr-FR"/>
        </w:rPr>
      </w:pPr>
      <w:r w:rsidRPr="00B40962">
        <w:rPr>
          <w:lang w:val="fr-FR"/>
        </w:rPr>
        <w:t xml:space="preserve">Chapter </w:t>
      </w:r>
      <w:r w:rsidR="006C4CBE" w:rsidRPr="00934626">
        <w:rPr>
          <w:lang w:val="fr-FR"/>
        </w:rPr>
        <w:t>3</w:t>
      </w:r>
      <w:r w:rsidR="00330D15" w:rsidRPr="00934626">
        <w:rPr>
          <w:lang w:val="fr-FR"/>
        </w:rPr>
        <w:t>.7.</w:t>
      </w:r>
      <w:r w:rsidR="006C4CBE" w:rsidRPr="00934626">
        <w:rPr>
          <w:lang w:val="fr-FR"/>
        </w:rPr>
        <w:t>9</w:t>
      </w:r>
      <w:r w:rsidR="00330D15" w:rsidRPr="00934626">
        <w:rPr>
          <w:lang w:val="fr-FR"/>
        </w:rPr>
        <w:t>.</w:t>
      </w:r>
    </w:p>
    <w:p w14:paraId="005DCE21" w14:textId="77777777" w:rsidR="00330D15" w:rsidRPr="00934626" w:rsidRDefault="00330D15" w:rsidP="00330D15">
      <w:pPr>
        <w:pStyle w:val="Chaptertitle"/>
        <w:rPr>
          <w:szCs w:val="32"/>
          <w:lang w:val="fr-FR"/>
        </w:rPr>
      </w:pPr>
      <w:r w:rsidRPr="00934626">
        <w:rPr>
          <w:lang w:val="fr-FR"/>
        </w:rPr>
        <w:t>peste des petits ruminants</w:t>
      </w:r>
      <w:r w:rsidR="00ED47BC" w:rsidRPr="00934626">
        <w:rPr>
          <w:lang w:val="fr-FR"/>
        </w:rPr>
        <w:t xml:space="preserve"> </w:t>
      </w:r>
      <w:r w:rsidR="00ED47BC" w:rsidRPr="00934626">
        <w:rPr>
          <w:szCs w:val="32"/>
          <w:lang w:val="fr-FR"/>
        </w:rPr>
        <w:t>(</w:t>
      </w:r>
      <w:r w:rsidR="00ED47BC" w:rsidRPr="00934626">
        <w:rPr>
          <w:rFonts w:cs="Arial"/>
          <w:szCs w:val="32"/>
          <w:lang w:val="fr-FR" w:eastAsia="en-IE"/>
        </w:rPr>
        <w:t>infection with peste des petits ruminants virus)</w:t>
      </w:r>
    </w:p>
    <w:p w14:paraId="29B97C84" w14:textId="77777777" w:rsidR="00330D15" w:rsidRPr="00934626" w:rsidRDefault="00330D15" w:rsidP="00330D15">
      <w:pPr>
        <w:pStyle w:val="Summarytitle"/>
        <w:rPr>
          <w:lang w:val="en-IE"/>
        </w:rPr>
      </w:pPr>
      <w:r w:rsidRPr="00934626">
        <w:rPr>
          <w:lang w:val="en-IE"/>
        </w:rPr>
        <w:t>SUMMARY</w:t>
      </w:r>
    </w:p>
    <w:p w14:paraId="4BEA9418" w14:textId="536EC05E" w:rsidR="009B6CD9" w:rsidRPr="00934626" w:rsidRDefault="00766276" w:rsidP="0082393C">
      <w:pPr>
        <w:pStyle w:val="sumtexte"/>
        <w:spacing w:after="140"/>
      </w:pPr>
      <w:r w:rsidRPr="00934626">
        <w:rPr>
          <w:b/>
          <w:bCs/>
          <w:lang w:val="en-IE"/>
        </w:rPr>
        <w:t>Description of the disease</w:t>
      </w:r>
      <w:r w:rsidR="002E4F72" w:rsidRPr="00934626">
        <w:rPr>
          <w:b/>
          <w:bCs/>
          <w:lang w:val="en-IE"/>
        </w:rPr>
        <w:t>:</w:t>
      </w:r>
      <w:r w:rsidRPr="00934626">
        <w:t xml:space="preserve"> </w:t>
      </w:r>
      <w:r w:rsidR="009B6CD9" w:rsidRPr="00934626">
        <w:t xml:space="preserve">Peste des petits ruminants </w:t>
      </w:r>
      <w:r w:rsidR="009B6CD9" w:rsidRPr="00934626">
        <w:rPr>
          <w:i w:val="0"/>
          <w:iCs w:val="0"/>
        </w:rPr>
        <w:t>(</w:t>
      </w:r>
      <w:r w:rsidR="009B6CD9" w:rsidRPr="00934626">
        <w:t>PPR</w:t>
      </w:r>
      <w:r w:rsidR="009B6CD9" w:rsidRPr="00934626">
        <w:rPr>
          <w:i w:val="0"/>
          <w:iCs w:val="0"/>
        </w:rPr>
        <w:t>),</w:t>
      </w:r>
      <w:r w:rsidR="009B6CD9" w:rsidRPr="00934626">
        <w:t xml:space="preserve"> is an acute contagious disease caused by a </w:t>
      </w:r>
      <w:r w:rsidR="009B6CD9" w:rsidRPr="00934626">
        <w:rPr>
          <w:i w:val="0"/>
        </w:rPr>
        <w:t>Morbillivirus</w:t>
      </w:r>
      <w:r w:rsidR="009B6CD9" w:rsidRPr="00934626">
        <w:t xml:space="preserve"> in the family </w:t>
      </w:r>
      <w:proofErr w:type="spellStart"/>
      <w:r w:rsidR="009B6CD9" w:rsidRPr="00934626">
        <w:rPr>
          <w:i w:val="0"/>
        </w:rPr>
        <w:t>Paramyxoviridae</w:t>
      </w:r>
      <w:proofErr w:type="spellEnd"/>
      <w:r w:rsidR="009B6CD9" w:rsidRPr="00934626">
        <w:t xml:space="preserve">. It affects mainly sheep and goats and occasionally </w:t>
      </w:r>
      <w:r w:rsidR="00330D15" w:rsidRPr="00934626">
        <w:t xml:space="preserve">wild </w:t>
      </w:r>
      <w:r w:rsidR="009B6CD9" w:rsidRPr="00934626">
        <w:t xml:space="preserve">small ruminants. Based on the fact that PPR has been reported </w:t>
      </w:r>
      <w:r w:rsidR="00330D15" w:rsidRPr="00934626">
        <w:t>on a</w:t>
      </w:r>
      <w:r w:rsidR="009B6CD9" w:rsidRPr="00934626">
        <w:t xml:space="preserve"> few occasions in </w:t>
      </w:r>
      <w:r w:rsidR="00E34614" w:rsidRPr="00934626">
        <w:t>c</w:t>
      </w:r>
      <w:r w:rsidR="009B6CD9" w:rsidRPr="00934626">
        <w:t xml:space="preserve">amels, cattle and buffaloes, those animal species are considered </w:t>
      </w:r>
      <w:r w:rsidR="00330D15" w:rsidRPr="00934626">
        <w:t>to be</w:t>
      </w:r>
      <w:r w:rsidR="009B6CD9" w:rsidRPr="00934626">
        <w:t xml:space="preserve"> susceptible although their potential role in the circulation of</w:t>
      </w:r>
      <w:r w:rsidR="00330D15" w:rsidRPr="00934626">
        <w:t xml:space="preserve"> PPR virus</w:t>
      </w:r>
      <w:r w:rsidR="009B6CD9" w:rsidRPr="00934626">
        <w:t xml:space="preserve"> </w:t>
      </w:r>
      <w:r w:rsidR="00330D15" w:rsidRPr="00934626">
        <w:rPr>
          <w:i w:val="0"/>
        </w:rPr>
        <w:t>(</w:t>
      </w:r>
      <w:r w:rsidR="009B6CD9" w:rsidRPr="00934626">
        <w:t>PPRV</w:t>
      </w:r>
      <w:r w:rsidR="00330D15" w:rsidRPr="00934626">
        <w:rPr>
          <w:i w:val="0"/>
        </w:rPr>
        <w:t>)</w:t>
      </w:r>
      <w:r w:rsidR="009B6CD9" w:rsidRPr="00934626">
        <w:t xml:space="preserve"> </w:t>
      </w:r>
      <w:r w:rsidR="00330D15" w:rsidRPr="00934626">
        <w:t>has</w:t>
      </w:r>
      <w:r w:rsidR="009B6CD9" w:rsidRPr="00934626">
        <w:t xml:space="preserve"> not </w:t>
      </w:r>
      <w:r w:rsidR="00330D15" w:rsidRPr="00934626">
        <w:t xml:space="preserve">been </w:t>
      </w:r>
      <w:r w:rsidR="00E34614" w:rsidRPr="00934626">
        <w:t xml:space="preserve">formally </w:t>
      </w:r>
      <w:r w:rsidR="009B6CD9" w:rsidRPr="00934626">
        <w:t>established</w:t>
      </w:r>
      <w:r w:rsidR="00E34614" w:rsidRPr="00934626">
        <w:t>.</w:t>
      </w:r>
      <w:r w:rsidR="009B6CD9" w:rsidRPr="00934626">
        <w:t xml:space="preserve"> PPR occurs in Africa except Southern Africa, in the Arabian Peninsula, throughout most of the Near East and Middle East, and in Central and South-</w:t>
      </w:r>
      <w:r w:rsidR="000D3DC9" w:rsidRPr="00934626">
        <w:t xml:space="preserve">East </w:t>
      </w:r>
      <w:r w:rsidR="009B6CD9" w:rsidRPr="00934626">
        <w:t>Asia.</w:t>
      </w:r>
    </w:p>
    <w:p w14:paraId="0140312B" w14:textId="77777777" w:rsidR="00431B81" w:rsidRPr="00934626" w:rsidRDefault="00431B81" w:rsidP="0082393C">
      <w:pPr>
        <w:pStyle w:val="sumtexte"/>
        <w:spacing w:after="140"/>
      </w:pPr>
      <w:r w:rsidRPr="00934626">
        <w:t xml:space="preserve">The clinical disease resembles rinderpest in cattle. It is usually acute and characterised by </w:t>
      </w:r>
      <w:r w:rsidR="002E33FD" w:rsidRPr="00934626">
        <w:t xml:space="preserve">pyrexia, </w:t>
      </w:r>
      <w:r w:rsidRPr="00934626">
        <w:t>serous ocular and nasal discharges</w:t>
      </w:r>
      <w:r w:rsidRPr="00934626">
        <w:rPr>
          <w:i w:val="0"/>
        </w:rPr>
        <w:t>,</w:t>
      </w:r>
      <w:r w:rsidRPr="00934626">
        <w:t xml:space="preserve"> </w:t>
      </w:r>
      <w:r w:rsidR="000D3CCC" w:rsidRPr="00934626">
        <w:t xml:space="preserve">diarrhoea and pneumonia, and </w:t>
      </w:r>
      <w:r w:rsidRPr="00934626">
        <w:t>erosive lesions</w:t>
      </w:r>
      <w:r w:rsidR="00380A01" w:rsidRPr="00934626">
        <w:t xml:space="preserve"> on different mucous membranes particularly in the mouth</w:t>
      </w:r>
      <w:r w:rsidRPr="00934626">
        <w:t>. At necropsy,</w:t>
      </w:r>
      <w:r w:rsidR="002E33FD" w:rsidRPr="00934626">
        <w:t xml:space="preserve"> erosions may be noted in the gastrointestinal and urogenital tracts.</w:t>
      </w:r>
      <w:r w:rsidRPr="00934626">
        <w:t xml:space="preserve"> </w:t>
      </w:r>
      <w:r w:rsidR="002E33FD" w:rsidRPr="00934626">
        <w:t xml:space="preserve">The </w:t>
      </w:r>
      <w:r w:rsidRPr="00934626">
        <w:t xml:space="preserve">lungs </w:t>
      </w:r>
      <w:r w:rsidR="002E33FD" w:rsidRPr="00934626">
        <w:t xml:space="preserve">may </w:t>
      </w:r>
      <w:r w:rsidRPr="00934626">
        <w:t>show</w:t>
      </w:r>
      <w:r w:rsidR="006E3BC1" w:rsidRPr="00934626">
        <w:t xml:space="preserve"> </w:t>
      </w:r>
      <w:r w:rsidR="002E33FD" w:rsidRPr="00934626">
        <w:t>interstitial</w:t>
      </w:r>
      <w:r w:rsidRPr="00934626">
        <w:t xml:space="preserve"> bronchopneumonia </w:t>
      </w:r>
      <w:r w:rsidR="00365499" w:rsidRPr="00934626">
        <w:t xml:space="preserve">and often secondary </w:t>
      </w:r>
      <w:r w:rsidRPr="00934626">
        <w:t>bacterial</w:t>
      </w:r>
      <w:r w:rsidR="00365499" w:rsidRPr="00934626">
        <w:t xml:space="preserve"> pneumonia</w:t>
      </w:r>
      <w:r w:rsidRPr="00934626">
        <w:t>.</w:t>
      </w:r>
      <w:r w:rsidR="00465FF2" w:rsidRPr="00934626">
        <w:t xml:space="preserve"> PPR can also occur in subclinical form.</w:t>
      </w:r>
    </w:p>
    <w:p w14:paraId="16AAE6EF" w14:textId="5E52794B" w:rsidR="00431B81" w:rsidRPr="00934626" w:rsidRDefault="000D3CCC" w:rsidP="0082393C">
      <w:pPr>
        <w:pStyle w:val="sumtexte"/>
        <w:spacing w:after="140"/>
      </w:pPr>
      <w:r w:rsidRPr="00934626">
        <w:t>PPR</w:t>
      </w:r>
      <w:r w:rsidR="00431B81" w:rsidRPr="00934626">
        <w:t xml:space="preserve"> must be </w:t>
      </w:r>
      <w:r w:rsidRPr="00934626">
        <w:t>confirmed by laboratory methods,</w:t>
      </w:r>
      <w:r w:rsidR="004C37F3" w:rsidRPr="00934626">
        <w:t xml:space="preserve"> </w:t>
      </w:r>
      <w:r w:rsidRPr="00934626">
        <w:t xml:space="preserve">as </w:t>
      </w:r>
      <w:r w:rsidR="00431B81" w:rsidRPr="00934626">
        <w:t xml:space="preserve">bluetongue, foot and mouth disease and other </w:t>
      </w:r>
      <w:r w:rsidR="005E79BC" w:rsidRPr="00934626">
        <w:t xml:space="preserve">erosive or vesicular </w:t>
      </w:r>
      <w:r w:rsidR="00431B81" w:rsidRPr="00934626">
        <w:t>conditions</w:t>
      </w:r>
      <w:r w:rsidR="00BC404F" w:rsidRPr="00934626">
        <w:t>,</w:t>
      </w:r>
      <w:r w:rsidR="00E21667" w:rsidRPr="00934626">
        <w:t xml:space="preserve"> as well as contagious caprine pleuropneumonia</w:t>
      </w:r>
      <w:r w:rsidRPr="00934626">
        <w:t>, can cause clinically similar disease</w:t>
      </w:r>
      <w:r w:rsidR="00431B81" w:rsidRPr="00934626">
        <w:t>.</w:t>
      </w:r>
      <w:r w:rsidR="00E21667" w:rsidRPr="00934626">
        <w:t xml:space="preserve"> </w:t>
      </w:r>
    </w:p>
    <w:p w14:paraId="356A2E07" w14:textId="77777777" w:rsidR="00431B81" w:rsidRPr="00934626" w:rsidRDefault="00431B81" w:rsidP="0082393C">
      <w:pPr>
        <w:pStyle w:val="sumtexte"/>
        <w:spacing w:after="140"/>
      </w:pPr>
      <w:r w:rsidRPr="00934626">
        <w:rPr>
          <w:b/>
          <w:bCs/>
        </w:rPr>
        <w:t>Identification of the agent:</w:t>
      </w:r>
      <w:r w:rsidRPr="00934626">
        <w:t xml:space="preserve"> The collection of </w:t>
      </w:r>
      <w:r w:rsidR="00687343" w:rsidRPr="00934626">
        <w:t>specimens</w:t>
      </w:r>
      <w:r w:rsidRPr="00934626">
        <w:t xml:space="preserve"> at the correct time is important to achieve diagnosis by virus isolation</w:t>
      </w:r>
      <w:r w:rsidR="00687343" w:rsidRPr="00934626">
        <w:t xml:space="preserve"> and they</w:t>
      </w:r>
      <w:r w:rsidRPr="00934626">
        <w:t xml:space="preserve"> should be obtained in the acute phase of the disease when clinical signs are apparent. </w:t>
      </w:r>
      <w:r w:rsidR="00687343" w:rsidRPr="00934626">
        <w:t xml:space="preserve">The </w:t>
      </w:r>
      <w:r w:rsidR="000D3CCC" w:rsidRPr="00934626">
        <w:t xml:space="preserve">recommended </w:t>
      </w:r>
      <w:r w:rsidR="00687343" w:rsidRPr="00934626">
        <w:t>specimens</w:t>
      </w:r>
      <w:r w:rsidR="000922F0" w:rsidRPr="00934626">
        <w:t xml:space="preserve"> from live animals</w:t>
      </w:r>
      <w:r w:rsidR="00687343" w:rsidRPr="00934626">
        <w:t xml:space="preserve"> </w:t>
      </w:r>
      <w:r w:rsidR="000D3CCC" w:rsidRPr="00934626">
        <w:t>are</w:t>
      </w:r>
      <w:r w:rsidR="00687343" w:rsidRPr="00934626">
        <w:t xml:space="preserve"> s</w:t>
      </w:r>
      <w:r w:rsidRPr="00934626">
        <w:t xml:space="preserve">wabs of conjunctival </w:t>
      </w:r>
      <w:r w:rsidR="00687343" w:rsidRPr="00934626">
        <w:t>discharges</w:t>
      </w:r>
      <w:r w:rsidRPr="00934626">
        <w:t>, nasal secretions, buccal and rectal mucosae</w:t>
      </w:r>
      <w:r w:rsidR="00687343" w:rsidRPr="00934626">
        <w:t xml:space="preserve">, and </w:t>
      </w:r>
      <w:r w:rsidR="000922F0" w:rsidRPr="00934626">
        <w:t xml:space="preserve">anticoagulant-treated </w:t>
      </w:r>
      <w:r w:rsidRPr="00934626">
        <w:t>blood.</w:t>
      </w:r>
    </w:p>
    <w:p w14:paraId="4574814C" w14:textId="1AD47EFB" w:rsidR="00431B81" w:rsidRPr="00934626" w:rsidRDefault="001643CE" w:rsidP="0082393C">
      <w:pPr>
        <w:pStyle w:val="sumtexte"/>
        <w:spacing w:after="140"/>
      </w:pPr>
      <w:r w:rsidRPr="00934626">
        <w:t xml:space="preserve">Laboratory </w:t>
      </w:r>
      <w:r w:rsidR="00431B81" w:rsidRPr="00934626">
        <w:t xml:space="preserve">diagnosis </w:t>
      </w:r>
      <w:r w:rsidR="00687343" w:rsidRPr="00934626">
        <w:t>is done</w:t>
      </w:r>
      <w:r w:rsidR="00431B81" w:rsidRPr="00934626">
        <w:t xml:space="preserve"> by immunocapture enzyme-linked immunosorbent assay </w:t>
      </w:r>
      <w:r w:rsidR="00431B81" w:rsidRPr="00934626">
        <w:rPr>
          <w:i w:val="0"/>
          <w:iCs w:val="0"/>
        </w:rPr>
        <w:t>(</w:t>
      </w:r>
      <w:r w:rsidR="00431B81" w:rsidRPr="00934626">
        <w:t>ELISA</w:t>
      </w:r>
      <w:r w:rsidR="00431B81" w:rsidRPr="00934626">
        <w:rPr>
          <w:i w:val="0"/>
          <w:iCs w:val="0"/>
        </w:rPr>
        <w:t>)</w:t>
      </w:r>
      <w:r w:rsidRPr="00934626">
        <w:rPr>
          <w:iCs w:val="0"/>
        </w:rPr>
        <w:t xml:space="preserve"> or polymerase chain reaction</w:t>
      </w:r>
      <w:r w:rsidR="00431B81" w:rsidRPr="00934626">
        <w:t xml:space="preserve">. </w:t>
      </w:r>
      <w:r w:rsidRPr="00934626">
        <w:t xml:space="preserve">Counter </w:t>
      </w:r>
      <w:proofErr w:type="spellStart"/>
      <w:r w:rsidRPr="00934626">
        <w:t>immunoelectrophoresis</w:t>
      </w:r>
      <w:proofErr w:type="spellEnd"/>
      <w:r w:rsidRPr="00934626">
        <w:t xml:space="preserve"> and agar gel immunodiffusion </w:t>
      </w:r>
      <w:r w:rsidR="00430E32" w:rsidRPr="00934626">
        <w:t>may also be used.</w:t>
      </w:r>
      <w:r w:rsidR="00BC404F" w:rsidRPr="00934626">
        <w:t xml:space="preserve"> A </w:t>
      </w:r>
      <w:proofErr w:type="spellStart"/>
      <w:r w:rsidR="00BC404F" w:rsidRPr="00934626">
        <w:t>penside</w:t>
      </w:r>
      <w:proofErr w:type="spellEnd"/>
      <w:r w:rsidR="00BC404F" w:rsidRPr="00934626">
        <w:t xml:space="preserve"> test is avai</w:t>
      </w:r>
      <w:r w:rsidRPr="00934626">
        <w:t>l</w:t>
      </w:r>
      <w:r w:rsidR="00BC404F" w:rsidRPr="00934626">
        <w:t>a</w:t>
      </w:r>
      <w:r w:rsidRPr="00934626">
        <w:t>ble for field use</w:t>
      </w:r>
      <w:r w:rsidR="008E2282" w:rsidRPr="00934626">
        <w:t>.</w:t>
      </w:r>
    </w:p>
    <w:p w14:paraId="21910BFD" w14:textId="4397A864" w:rsidR="00431B81" w:rsidRPr="00934626" w:rsidRDefault="00431B81" w:rsidP="0082393C">
      <w:pPr>
        <w:pStyle w:val="sumtexte"/>
        <w:spacing w:after="140"/>
      </w:pPr>
      <w:r w:rsidRPr="00934626">
        <w:rPr>
          <w:b/>
          <w:bCs/>
        </w:rPr>
        <w:t>Serological tests:</w:t>
      </w:r>
      <w:r w:rsidRPr="00934626">
        <w:t xml:space="preserve"> </w:t>
      </w:r>
      <w:r w:rsidR="00F27789" w:rsidRPr="00934626">
        <w:t xml:space="preserve">The </w:t>
      </w:r>
      <w:r w:rsidR="00B030CB" w:rsidRPr="00934626">
        <w:t>s</w:t>
      </w:r>
      <w:r w:rsidRPr="00934626">
        <w:t xml:space="preserve">erological tests </w:t>
      </w:r>
      <w:r w:rsidR="00B030CB" w:rsidRPr="00934626">
        <w:t>that</w:t>
      </w:r>
      <w:r w:rsidR="00F27789" w:rsidRPr="00934626">
        <w:t xml:space="preserve"> are </w:t>
      </w:r>
      <w:r w:rsidRPr="00934626">
        <w:t xml:space="preserve">routinely used </w:t>
      </w:r>
      <w:r w:rsidR="00F27789" w:rsidRPr="00934626">
        <w:t xml:space="preserve">are </w:t>
      </w:r>
      <w:r w:rsidRPr="00934626">
        <w:t>virus neutralisation and competitive ELISA.</w:t>
      </w:r>
    </w:p>
    <w:p w14:paraId="5485B868" w14:textId="06BBBDC7" w:rsidR="00431B81" w:rsidRPr="00934626" w:rsidRDefault="00431B81" w:rsidP="0082393C">
      <w:pPr>
        <w:pStyle w:val="sumtextelastpara"/>
        <w:spacing w:after="520"/>
      </w:pPr>
      <w:r w:rsidRPr="00934626">
        <w:rPr>
          <w:b/>
        </w:rPr>
        <w:t>Requirements for vaccines:</w:t>
      </w:r>
      <w:r w:rsidRPr="00934626">
        <w:rPr>
          <w:bCs/>
        </w:rPr>
        <w:t xml:space="preserve"> </w:t>
      </w:r>
      <w:r w:rsidR="00232075" w:rsidRPr="00934626">
        <w:t>Effective</w:t>
      </w:r>
      <w:r w:rsidR="00ED4966" w:rsidRPr="00934626">
        <w:t xml:space="preserve"> </w:t>
      </w:r>
      <w:r w:rsidR="00023CA5" w:rsidRPr="00934626">
        <w:t xml:space="preserve">live attenuated </w:t>
      </w:r>
      <w:r w:rsidR="00ED4966" w:rsidRPr="00934626">
        <w:t>PPR</w:t>
      </w:r>
      <w:r w:rsidR="00B030CB" w:rsidRPr="00934626">
        <w:t xml:space="preserve"> virus</w:t>
      </w:r>
      <w:r w:rsidR="00023CA5" w:rsidRPr="00934626">
        <w:t xml:space="preserve"> vaccine</w:t>
      </w:r>
      <w:r w:rsidR="00232075" w:rsidRPr="00934626">
        <w:t>s</w:t>
      </w:r>
      <w:r w:rsidR="00023CA5" w:rsidRPr="00934626">
        <w:t xml:space="preserve"> </w:t>
      </w:r>
      <w:r w:rsidR="00232075" w:rsidRPr="00934626">
        <w:t>are</w:t>
      </w:r>
      <w:r w:rsidR="00023CA5" w:rsidRPr="00934626">
        <w:t xml:space="preserve"> widely available.</w:t>
      </w:r>
      <w:r w:rsidR="00232075" w:rsidRPr="00934626">
        <w:t xml:space="preserve"> Since the global eradication of rinderpest,</w:t>
      </w:r>
      <w:r w:rsidR="00346D2E" w:rsidRPr="00934626">
        <w:t xml:space="preserve"> </w:t>
      </w:r>
      <w:r w:rsidR="00BC404F" w:rsidRPr="00934626">
        <w:t>the use of rinderpest vaccines to protect against PPR is forbidden</w:t>
      </w:r>
      <w:r w:rsidR="00232075" w:rsidRPr="00934626">
        <w:t>.</w:t>
      </w:r>
    </w:p>
    <w:p w14:paraId="29006345" w14:textId="77777777" w:rsidR="00431B81" w:rsidRPr="00934626" w:rsidRDefault="00431B81" w:rsidP="0082393C">
      <w:pPr>
        <w:pStyle w:val="A0"/>
        <w:spacing w:after="280"/>
        <w:outlineLvl w:val="0"/>
      </w:pPr>
      <w:r w:rsidRPr="00934626">
        <w:t>A.  introduction</w:t>
      </w:r>
    </w:p>
    <w:p w14:paraId="0EED20B7" w14:textId="77777777" w:rsidR="00431B81" w:rsidRPr="00934626" w:rsidRDefault="00431B81" w:rsidP="0082393C">
      <w:pPr>
        <w:pStyle w:val="paraA0"/>
        <w:spacing w:after="280"/>
      </w:pPr>
      <w:r w:rsidRPr="00934626">
        <w:t>Peste des petits ruminants (PPR) is an acute viral disease of small ruminants characterised by fever, oculo</w:t>
      </w:r>
      <w:r w:rsidR="00232075" w:rsidRPr="00934626">
        <w:t>-</w:t>
      </w:r>
      <w:r w:rsidRPr="00934626">
        <w:t>nasal discharges, stomatitis, diarrhoea and pneumonia</w:t>
      </w:r>
      <w:r w:rsidR="00E77BEF" w:rsidRPr="00934626">
        <w:t xml:space="preserve"> with foul offensive breath</w:t>
      </w:r>
      <w:r w:rsidRPr="00934626">
        <w:t xml:space="preserve">. </w:t>
      </w:r>
      <w:r w:rsidR="00E77BEF" w:rsidRPr="00934626">
        <w:t xml:space="preserve">Because of the respiratory </w:t>
      </w:r>
      <w:r w:rsidR="00483778" w:rsidRPr="00934626">
        <w:t>signs</w:t>
      </w:r>
      <w:r w:rsidR="00E77BEF" w:rsidRPr="00934626">
        <w:t xml:space="preserve">, PPR can be confused with contagious caprine pleuropneumonia (CCPP) or </w:t>
      </w:r>
      <w:proofErr w:type="spellStart"/>
      <w:r w:rsidR="00483778" w:rsidRPr="00934626">
        <w:t>pasteurellosis</w:t>
      </w:r>
      <w:proofErr w:type="spellEnd"/>
      <w:r w:rsidR="00E77BEF" w:rsidRPr="00934626">
        <w:t xml:space="preserve">. </w:t>
      </w:r>
      <w:r w:rsidR="00ED7582" w:rsidRPr="00934626">
        <w:t>I</w:t>
      </w:r>
      <w:r w:rsidR="00E77BEF" w:rsidRPr="00934626">
        <w:t>n many cases</w:t>
      </w:r>
      <w:r w:rsidR="00ED7582" w:rsidRPr="00934626">
        <w:t>,</w:t>
      </w:r>
      <w:r w:rsidR="00E77BEF" w:rsidRPr="00934626">
        <w:t xml:space="preserve"> </w:t>
      </w:r>
      <w:proofErr w:type="spellStart"/>
      <w:r w:rsidR="00ED7582" w:rsidRPr="00934626">
        <w:t>pasteurellosis</w:t>
      </w:r>
      <w:proofErr w:type="spellEnd"/>
      <w:r w:rsidR="00E77BEF" w:rsidRPr="00934626">
        <w:t xml:space="preserve"> is a secondary infection of PPR, </w:t>
      </w:r>
      <w:r w:rsidR="000C6D8F" w:rsidRPr="00934626">
        <w:t xml:space="preserve">a </w:t>
      </w:r>
      <w:r w:rsidR="00E77BEF" w:rsidRPr="00934626">
        <w:t xml:space="preserve">consequence </w:t>
      </w:r>
      <w:r w:rsidR="000C6D8F" w:rsidRPr="00934626">
        <w:t>of the immuno</w:t>
      </w:r>
      <w:r w:rsidR="00D33D21" w:rsidRPr="00934626">
        <w:t>supp</w:t>
      </w:r>
      <w:r w:rsidR="000C6D8F" w:rsidRPr="00934626">
        <w:t xml:space="preserve">ression that is induced by the </w:t>
      </w:r>
      <w:r w:rsidRPr="00934626">
        <w:t>PPR virus</w:t>
      </w:r>
      <w:r w:rsidR="00FC5C7C" w:rsidRPr="00934626">
        <w:t xml:space="preserve"> (PPRV)</w:t>
      </w:r>
      <w:r w:rsidR="000C6D8F" w:rsidRPr="00934626">
        <w:t xml:space="preserve">. </w:t>
      </w:r>
      <w:r w:rsidR="00ED7582" w:rsidRPr="00934626">
        <w:t>PPRV</w:t>
      </w:r>
      <w:r w:rsidR="002777B7" w:rsidRPr="00934626">
        <w:t xml:space="preserve"> </w:t>
      </w:r>
      <w:r w:rsidRPr="00934626">
        <w:t>is transmitted</w:t>
      </w:r>
      <w:r w:rsidR="00C834EB" w:rsidRPr="00934626">
        <w:t xml:space="preserve"> mainly</w:t>
      </w:r>
      <w:r w:rsidR="00D02617" w:rsidRPr="00934626">
        <w:t xml:space="preserve"> </w:t>
      </w:r>
      <w:r w:rsidRPr="00934626">
        <w:t>by aerosols between animals living in close contact (</w:t>
      </w:r>
      <w:r w:rsidR="0091391D" w:rsidRPr="00934626">
        <w:t>Lefevre &amp; Diallo, 1990</w:t>
      </w:r>
      <w:r w:rsidRPr="00934626">
        <w:t>).</w:t>
      </w:r>
      <w:r w:rsidR="00CA750E" w:rsidRPr="00934626">
        <w:t xml:space="preserve"> Infected animals present clinical signs similar to those historically seen with rinderpest in cattle, although the </w:t>
      </w:r>
      <w:r w:rsidR="00212C7B" w:rsidRPr="00934626">
        <w:t xml:space="preserve">two </w:t>
      </w:r>
      <w:r w:rsidR="00CA750E" w:rsidRPr="00934626">
        <w:t>diseases are caused by distinct virus species.</w:t>
      </w:r>
    </w:p>
    <w:p w14:paraId="3A0CCD5E" w14:textId="2C23E07E" w:rsidR="005E79BC" w:rsidRPr="00934626" w:rsidRDefault="00431B81" w:rsidP="0082393C">
      <w:pPr>
        <w:pStyle w:val="paraA0"/>
        <w:spacing w:after="280"/>
      </w:pPr>
      <w:r w:rsidRPr="00934626">
        <w:t>On the basis of its similarities to rinderpest, canine distemper and measles</w:t>
      </w:r>
      <w:r w:rsidR="00365499" w:rsidRPr="00934626">
        <w:t xml:space="preserve"> viruses</w:t>
      </w:r>
      <w:r w:rsidRPr="00934626">
        <w:t xml:space="preserve">, </w:t>
      </w:r>
      <w:r w:rsidR="00FC5C7C" w:rsidRPr="00934626">
        <w:t>PPRV</w:t>
      </w:r>
      <w:r w:rsidRPr="00934626">
        <w:t xml:space="preserve"> has been classified within the genus </w:t>
      </w:r>
      <w:r w:rsidRPr="00934626">
        <w:rPr>
          <w:i/>
        </w:rPr>
        <w:t>Morbillivirus</w:t>
      </w:r>
      <w:r w:rsidRPr="00934626">
        <w:t xml:space="preserve"> in the family </w:t>
      </w:r>
      <w:proofErr w:type="spellStart"/>
      <w:r w:rsidRPr="00934626">
        <w:rPr>
          <w:i/>
        </w:rPr>
        <w:t>Paramyxoviridae</w:t>
      </w:r>
      <w:proofErr w:type="spellEnd"/>
      <w:r w:rsidRPr="00934626">
        <w:t xml:space="preserve"> (</w:t>
      </w:r>
      <w:r w:rsidR="008D4B5A" w:rsidRPr="00934626">
        <w:t xml:space="preserve">Gibbs </w:t>
      </w:r>
      <w:r w:rsidR="00580D9F" w:rsidRPr="00934626">
        <w:rPr>
          <w:i/>
        </w:rPr>
        <w:t>et al.</w:t>
      </w:r>
      <w:r w:rsidR="008D4B5A" w:rsidRPr="00934626">
        <w:t>, 1979</w:t>
      </w:r>
      <w:r w:rsidRPr="00934626">
        <w:t>).</w:t>
      </w:r>
      <w:r w:rsidR="00C82B50" w:rsidRPr="00934626">
        <w:t xml:space="preserve"> </w:t>
      </w:r>
      <w:r w:rsidR="00792D95" w:rsidRPr="00934626">
        <w:t xml:space="preserve">Virus members of this group have six </w:t>
      </w:r>
      <w:r w:rsidR="00792D95" w:rsidRPr="00934626">
        <w:lastRenderedPageBreak/>
        <w:t xml:space="preserve">structural proteins: the nucleocapsid protein (N), which </w:t>
      </w:r>
      <w:proofErr w:type="spellStart"/>
      <w:r w:rsidR="00792D95" w:rsidRPr="00934626">
        <w:t>encaps</w:t>
      </w:r>
      <w:r w:rsidR="00BC404F" w:rsidRPr="00934626">
        <w:t>id</w:t>
      </w:r>
      <w:r w:rsidR="003E1D11" w:rsidRPr="00934626">
        <w:t>at</w:t>
      </w:r>
      <w:r w:rsidR="00792D95" w:rsidRPr="00934626">
        <w:t>es</w:t>
      </w:r>
      <w:proofErr w:type="spellEnd"/>
      <w:r w:rsidR="00792D95" w:rsidRPr="00934626">
        <w:t xml:space="preserve"> the </w:t>
      </w:r>
      <w:r w:rsidR="00393CCA" w:rsidRPr="00934626">
        <w:t>viral</w:t>
      </w:r>
      <w:r w:rsidR="00792D95" w:rsidRPr="00934626">
        <w:t xml:space="preserve"> genomic RNA, the phosphoprotein (P), which associates with the polymerase (L for large protein)</w:t>
      </w:r>
      <w:r w:rsidR="00C834EB" w:rsidRPr="00934626">
        <w:t xml:space="preserve"> protein</w:t>
      </w:r>
      <w:r w:rsidR="00792D95" w:rsidRPr="00934626">
        <w:t>, the matrix (M) protein, the fusion (F)</w:t>
      </w:r>
      <w:r w:rsidR="00C834EB" w:rsidRPr="00934626">
        <w:t xml:space="preserve"> protein</w:t>
      </w:r>
      <w:r w:rsidR="00792D95" w:rsidRPr="00934626">
        <w:t xml:space="preserve"> and the haemagglutinin (H)</w:t>
      </w:r>
      <w:r w:rsidR="00C834EB" w:rsidRPr="00934626">
        <w:t xml:space="preserve"> protein</w:t>
      </w:r>
      <w:r w:rsidR="00792D95" w:rsidRPr="00934626">
        <w:t>. The matrix protein, intimately associated with the internal face of the viral envelope, makes a link between the nucleocapsid and the virus external glycoproteins: H and F, which are responsible</w:t>
      </w:r>
      <w:r w:rsidR="00C33C53" w:rsidRPr="00934626">
        <w:t>,</w:t>
      </w:r>
      <w:r w:rsidR="00792D95" w:rsidRPr="00934626">
        <w:t xml:space="preserve"> </w:t>
      </w:r>
      <w:r w:rsidR="002777B7" w:rsidRPr="00934626">
        <w:t>respectively</w:t>
      </w:r>
      <w:r w:rsidR="00C33C53" w:rsidRPr="00934626">
        <w:t>,</w:t>
      </w:r>
      <w:r w:rsidR="002777B7" w:rsidRPr="00934626">
        <w:t xml:space="preserve"> </w:t>
      </w:r>
      <w:r w:rsidR="00792D95" w:rsidRPr="00934626">
        <w:t xml:space="preserve">for the attachment and the penetration of the virus into the cell to be infected. </w:t>
      </w:r>
      <w:r w:rsidR="005E79BC" w:rsidRPr="00934626">
        <w:t>The PPR</w:t>
      </w:r>
      <w:r w:rsidR="001E2A7F" w:rsidRPr="00934626">
        <w:t>V</w:t>
      </w:r>
      <w:r w:rsidR="005E79BC" w:rsidRPr="00934626">
        <w:t xml:space="preserve"> genome also encod</w:t>
      </w:r>
      <w:r w:rsidR="004C37F3" w:rsidRPr="00934626">
        <w:t xml:space="preserve">es two </w:t>
      </w:r>
      <w:proofErr w:type="spellStart"/>
      <w:r w:rsidR="004C37F3" w:rsidRPr="00934626">
        <w:t>non</w:t>
      </w:r>
      <w:r w:rsidR="005E79BC" w:rsidRPr="00934626">
        <w:t>structural</w:t>
      </w:r>
      <w:proofErr w:type="spellEnd"/>
      <w:r w:rsidR="005E79BC" w:rsidRPr="00934626">
        <w:t xml:space="preserve"> proteins, C and V. </w:t>
      </w:r>
    </w:p>
    <w:p w14:paraId="182F7487" w14:textId="3975654B" w:rsidR="00393CCA" w:rsidRPr="00934626" w:rsidRDefault="00393CCA" w:rsidP="00393CCA">
      <w:pPr>
        <w:pStyle w:val="paraA0"/>
        <w:spacing w:after="280"/>
      </w:pPr>
      <w:r w:rsidRPr="00934626">
        <w:t>PPR was first described in Côte d’Ivoire (</w:t>
      </w:r>
      <w:proofErr w:type="spellStart"/>
      <w:r w:rsidRPr="00934626">
        <w:t>Gargadennec</w:t>
      </w:r>
      <w:proofErr w:type="spellEnd"/>
      <w:r w:rsidRPr="00934626">
        <w:t xml:space="preserve"> &amp; </w:t>
      </w:r>
      <w:proofErr w:type="spellStart"/>
      <w:r w:rsidRPr="00934626">
        <w:t>Lalanne</w:t>
      </w:r>
      <w:proofErr w:type="spellEnd"/>
      <w:r w:rsidRPr="00934626">
        <w:t>, 1942)</w:t>
      </w:r>
      <w:r w:rsidR="00BC404F" w:rsidRPr="00934626">
        <w:t>.</w:t>
      </w:r>
      <w:r w:rsidRPr="00934626">
        <w:t xml:space="preserve"> </w:t>
      </w:r>
      <w:r w:rsidR="002D5062" w:rsidRPr="00934626">
        <w:t>Since the late 1990s</w:t>
      </w:r>
      <w:r w:rsidR="004516BD" w:rsidRPr="00934626">
        <w:t>,</w:t>
      </w:r>
      <w:r w:rsidR="002D5062" w:rsidRPr="00934626">
        <w:t xml:space="preserve"> </w:t>
      </w:r>
      <w:r w:rsidR="00BC404F" w:rsidRPr="00934626">
        <w:t xml:space="preserve">it </w:t>
      </w:r>
      <w:r w:rsidRPr="00934626">
        <w:t>has expanded</w:t>
      </w:r>
      <w:r w:rsidR="00BC404F" w:rsidRPr="00934626">
        <w:t xml:space="preserve"> its range</w:t>
      </w:r>
      <w:r w:rsidRPr="00934626">
        <w:t xml:space="preserve"> to cover large regions of Africa, from North Africa to Tanzania, </w:t>
      </w:r>
      <w:r w:rsidR="00BC404F" w:rsidRPr="00934626">
        <w:t xml:space="preserve">and the </w:t>
      </w:r>
      <w:r w:rsidRPr="00934626">
        <w:t xml:space="preserve">Middle East, and is also widespread in countries from central Asia to South and East Asia (reviewed in </w:t>
      </w:r>
      <w:proofErr w:type="spellStart"/>
      <w:r w:rsidRPr="00934626">
        <w:t>Banyard</w:t>
      </w:r>
      <w:proofErr w:type="spellEnd"/>
      <w:r w:rsidRPr="00934626">
        <w:t xml:space="preserve"> et </w:t>
      </w:r>
      <w:r w:rsidRPr="00934626">
        <w:rPr>
          <w:i/>
        </w:rPr>
        <w:t>al.,</w:t>
      </w:r>
      <w:r w:rsidRPr="00934626">
        <w:t xml:space="preserve"> 2010).</w:t>
      </w:r>
    </w:p>
    <w:p w14:paraId="6F962FAA" w14:textId="67BBD1AD" w:rsidR="00393CCA" w:rsidRPr="00934626" w:rsidRDefault="00393CCA" w:rsidP="00393CCA">
      <w:pPr>
        <w:pStyle w:val="paraA0"/>
        <w:spacing w:after="280"/>
      </w:pPr>
      <w:r w:rsidRPr="00934626">
        <w:t xml:space="preserve">The natural disease affects mainly goats and sheep. It is generally considered that cattle are only naturally infected </w:t>
      </w:r>
      <w:proofErr w:type="spellStart"/>
      <w:r w:rsidRPr="00934626">
        <w:t>subclinically</w:t>
      </w:r>
      <w:proofErr w:type="spellEnd"/>
      <w:r w:rsidRPr="00934626">
        <w:t xml:space="preserve">, although in the 1950s, disease and death were recorded in calves experimentally infected with PPRV-infected tissue and PPRV was isolated from an outbreak of rinderpest-like disease in buffaloes in India in 1995. Antibodies to PPRV as well as PPRV antigen and nucleic acid were detected in some samples from an epizootic disease that affected dromedaries in Ethiopia and Sudan. PPR affects a number of wild species within the order </w:t>
      </w:r>
      <w:proofErr w:type="spellStart"/>
      <w:r w:rsidRPr="00934626">
        <w:rPr>
          <w:i/>
        </w:rPr>
        <w:t>Artiodactyla</w:t>
      </w:r>
      <w:proofErr w:type="spellEnd"/>
      <w:r w:rsidRPr="00934626">
        <w:t xml:space="preserve"> </w:t>
      </w:r>
      <w:r w:rsidR="00BC404F" w:rsidRPr="00934626">
        <w:t>some</w:t>
      </w:r>
      <w:r w:rsidRPr="00934626">
        <w:t xml:space="preserve"> of </w:t>
      </w:r>
      <w:r w:rsidR="00BC404F" w:rsidRPr="00934626">
        <w:t>which</w:t>
      </w:r>
      <w:r w:rsidRPr="00934626">
        <w:t xml:space="preserve"> species are highly endangered</w:t>
      </w:r>
      <w:r w:rsidR="00BC404F" w:rsidRPr="00934626">
        <w:t xml:space="preserve">, </w:t>
      </w:r>
      <w:r w:rsidR="008E2282" w:rsidRPr="00934626">
        <w:t>e.g.</w:t>
      </w:r>
      <w:r w:rsidR="00BC404F" w:rsidRPr="00934626">
        <w:t xml:space="preserve"> the Mongolian saiga antelope</w:t>
      </w:r>
      <w:r w:rsidRPr="00934626">
        <w:t>. The American white-tailed deer (</w:t>
      </w:r>
      <w:r w:rsidRPr="00934626">
        <w:rPr>
          <w:i/>
          <w:iCs/>
        </w:rPr>
        <w:t>Odocoileus virginianus</w:t>
      </w:r>
      <w:r w:rsidRPr="00934626">
        <w:t xml:space="preserve">) can be infected experimentally with PPRV. Dual infections can occur with other viruses such as </w:t>
      </w:r>
      <w:proofErr w:type="spellStart"/>
      <w:r w:rsidRPr="00934626">
        <w:t>pestivirus</w:t>
      </w:r>
      <w:proofErr w:type="spellEnd"/>
      <w:r w:rsidRPr="00934626">
        <w:t xml:space="preserve"> or </w:t>
      </w:r>
      <w:proofErr w:type="spellStart"/>
      <w:r w:rsidRPr="00934626">
        <w:t>goatpox</w:t>
      </w:r>
      <w:proofErr w:type="spellEnd"/>
      <w:r w:rsidRPr="00934626">
        <w:t xml:space="preserve"> virus.</w:t>
      </w:r>
    </w:p>
    <w:p w14:paraId="6FAF77AE" w14:textId="77777777" w:rsidR="00431B81" w:rsidRPr="00934626" w:rsidRDefault="00431B81" w:rsidP="0082393C">
      <w:pPr>
        <w:pStyle w:val="paraA0"/>
        <w:spacing w:after="280"/>
      </w:pPr>
      <w:r w:rsidRPr="00934626">
        <w:t xml:space="preserve">The incubation period is </w:t>
      </w:r>
      <w:r w:rsidR="00BF4CD6" w:rsidRPr="00934626">
        <w:t xml:space="preserve">typically </w:t>
      </w:r>
      <w:r w:rsidRPr="00934626">
        <w:t>4–6</w:t>
      </w:r>
      <w:r w:rsidR="00C33C53" w:rsidRPr="00934626">
        <w:t> </w:t>
      </w:r>
      <w:r w:rsidRPr="00934626">
        <w:t>days, but may range between 3 and 10</w:t>
      </w:r>
      <w:r w:rsidR="00C33C53" w:rsidRPr="00934626">
        <w:t> </w:t>
      </w:r>
      <w:r w:rsidRPr="00934626">
        <w:t xml:space="preserve">days. The clinical disease is acute, with a pyrexia up to 41°C that can last for 3–5 days; the animals become depressed, anorexic and develop a dry muzzle. </w:t>
      </w:r>
      <w:r w:rsidR="00365499" w:rsidRPr="00934626">
        <w:t xml:space="preserve">Serous </w:t>
      </w:r>
      <w:proofErr w:type="spellStart"/>
      <w:r w:rsidRPr="00934626">
        <w:t>oculonasal</w:t>
      </w:r>
      <w:proofErr w:type="spellEnd"/>
      <w:r w:rsidRPr="00934626">
        <w:t xml:space="preserve"> discharges become progressively mucopurulent and, if death does not ensue, persist for around 14 days. Within 4</w:t>
      </w:r>
      <w:r w:rsidR="00C33C53" w:rsidRPr="00934626">
        <w:t> </w:t>
      </w:r>
      <w:r w:rsidRPr="00934626">
        <w:t>days of the onset of fever, the gums become hyperaemic, and erosive lesions develop in the oral cavity with excessive salivation. These lesions may become necrotic. A watery blood</w:t>
      </w:r>
      <w:r w:rsidR="006A4289" w:rsidRPr="00934626">
        <w:t>-</w:t>
      </w:r>
      <w:r w:rsidRPr="00934626">
        <w:t xml:space="preserve">stained diarrhoea is common in the later stage. Pneumonia, coughing, pleural rales and abdominal breathing also occur. The morbidity rate can be up to 100% </w:t>
      </w:r>
      <w:r w:rsidR="00B95D49" w:rsidRPr="00934626">
        <w:t xml:space="preserve">with </w:t>
      </w:r>
      <w:r w:rsidR="00FF739A" w:rsidRPr="00934626">
        <w:t xml:space="preserve">very high case fatality </w:t>
      </w:r>
      <w:r w:rsidR="00B95D49" w:rsidRPr="00934626">
        <w:t xml:space="preserve">in </w:t>
      </w:r>
      <w:r w:rsidRPr="00934626">
        <w:t xml:space="preserve">severe </w:t>
      </w:r>
      <w:r w:rsidR="00B95D49" w:rsidRPr="00934626">
        <w:t xml:space="preserve">cases. However, </w:t>
      </w:r>
      <w:r w:rsidR="001D2149" w:rsidRPr="00934626">
        <w:t xml:space="preserve">morbidity and mortality may be much lower in </w:t>
      </w:r>
      <w:r w:rsidR="00B95D49" w:rsidRPr="00934626">
        <w:t>milder outbreaks</w:t>
      </w:r>
      <w:r w:rsidR="00E33C93" w:rsidRPr="00934626">
        <w:t xml:space="preserve">, and the disease may be </w:t>
      </w:r>
      <w:r w:rsidR="001D2149" w:rsidRPr="00934626">
        <w:t xml:space="preserve">overlooked. </w:t>
      </w:r>
      <w:r w:rsidRPr="00934626">
        <w:t xml:space="preserve">A tentative diagnosis of PPR </w:t>
      </w:r>
      <w:r w:rsidR="00E33C93" w:rsidRPr="00934626">
        <w:t xml:space="preserve">can be </w:t>
      </w:r>
      <w:r w:rsidRPr="00934626">
        <w:t xml:space="preserve">made on clinical signs, but </w:t>
      </w:r>
      <w:r w:rsidR="00E33C93" w:rsidRPr="00934626">
        <w:t xml:space="preserve">this diagnosis is considered provisional until </w:t>
      </w:r>
      <w:r w:rsidRPr="00934626">
        <w:t>laboratory confirmation</w:t>
      </w:r>
      <w:r w:rsidR="00E33C93" w:rsidRPr="00934626">
        <w:t xml:space="preserve"> is made </w:t>
      </w:r>
      <w:r w:rsidR="00EF49D1" w:rsidRPr="00934626">
        <w:t xml:space="preserve">for differential diagnosis with other diseases with similar </w:t>
      </w:r>
      <w:r w:rsidR="00C33C53" w:rsidRPr="00934626">
        <w:t>signs</w:t>
      </w:r>
      <w:r w:rsidRPr="00934626">
        <w:t>.</w:t>
      </w:r>
    </w:p>
    <w:p w14:paraId="398F2FD8" w14:textId="77777777" w:rsidR="00431B81" w:rsidRPr="00934626" w:rsidRDefault="00431B81" w:rsidP="0082393C">
      <w:pPr>
        <w:pStyle w:val="paraA0"/>
        <w:spacing w:after="280"/>
      </w:pPr>
      <w:r w:rsidRPr="00934626">
        <w:t>At necropsy, the lesions are very similar to those observed in cattle affected with rinderpest</w:t>
      </w:r>
      <w:r w:rsidR="00C834EB" w:rsidRPr="00934626">
        <w:t xml:space="preserve">, except </w:t>
      </w:r>
      <w:r w:rsidR="00365499" w:rsidRPr="00934626">
        <w:t xml:space="preserve">that </w:t>
      </w:r>
      <w:r w:rsidR="00C834EB" w:rsidRPr="00934626">
        <w:t>prominent crusty scabs along the outer lips and severe interstitial pneumonia frequently occur with PPR.</w:t>
      </w:r>
      <w:r w:rsidRPr="00934626">
        <w:t xml:space="preserve"> Erosive lesions may extend from the mouth to the </w:t>
      </w:r>
      <w:proofErr w:type="spellStart"/>
      <w:r w:rsidRPr="00934626">
        <w:t>reticulo</w:t>
      </w:r>
      <w:proofErr w:type="spellEnd"/>
      <w:r w:rsidRPr="00934626">
        <w:t xml:space="preserve">–rumen junction. Characteristic linear </w:t>
      </w:r>
      <w:r w:rsidR="00365499" w:rsidRPr="00934626">
        <w:t xml:space="preserve">red areas of congestion or </w:t>
      </w:r>
      <w:r w:rsidRPr="00934626">
        <w:t>haemorrhage</w:t>
      </w:r>
      <w:r w:rsidR="006E3BC1" w:rsidRPr="00934626">
        <w:t xml:space="preserve"> </w:t>
      </w:r>
      <w:r w:rsidR="00365499" w:rsidRPr="00934626">
        <w:t xml:space="preserve">may </w:t>
      </w:r>
      <w:r w:rsidRPr="00934626">
        <w:t>occur</w:t>
      </w:r>
      <w:r w:rsidR="00D17FCA" w:rsidRPr="00934626">
        <w:t xml:space="preserve"> </w:t>
      </w:r>
      <w:r w:rsidR="00365499" w:rsidRPr="00934626">
        <w:t>along the longitudinal mucosal folds of</w:t>
      </w:r>
      <w:r w:rsidRPr="00934626">
        <w:t xml:space="preserve"> the large intestine</w:t>
      </w:r>
      <w:r w:rsidR="00365499" w:rsidRPr="00934626">
        <w:t xml:space="preserve"> and rectum (zebra stripes)</w:t>
      </w:r>
      <w:r w:rsidRPr="00934626">
        <w:t>,</w:t>
      </w:r>
      <w:r w:rsidR="00771A34" w:rsidRPr="00934626">
        <w:t xml:space="preserve"> but they are not a consistent finding</w:t>
      </w:r>
      <w:r w:rsidR="00365499" w:rsidRPr="00934626">
        <w:t>.</w:t>
      </w:r>
      <w:r w:rsidR="00D17FCA" w:rsidRPr="00934626">
        <w:t xml:space="preserve"> </w:t>
      </w:r>
      <w:r w:rsidR="00365499" w:rsidRPr="00934626">
        <w:t>Erosive</w:t>
      </w:r>
      <w:r w:rsidR="00771A34" w:rsidRPr="00934626">
        <w:t xml:space="preserve"> or haemorrhagic enteritis is usually present</w:t>
      </w:r>
      <w:r w:rsidR="00365499" w:rsidRPr="00934626">
        <w:t xml:space="preserve"> and the ileo</w:t>
      </w:r>
      <w:r w:rsidR="00FE5043" w:rsidRPr="00934626">
        <w:t>-</w:t>
      </w:r>
      <w:proofErr w:type="spellStart"/>
      <w:r w:rsidR="00365499" w:rsidRPr="00934626">
        <w:t>caecal</w:t>
      </w:r>
      <w:proofErr w:type="spellEnd"/>
      <w:r w:rsidR="00365499" w:rsidRPr="00934626">
        <w:t xml:space="preserve"> junction is commonly involved</w:t>
      </w:r>
      <w:r w:rsidRPr="00934626">
        <w:t>.</w:t>
      </w:r>
      <w:r w:rsidR="00365499" w:rsidRPr="00934626">
        <w:t xml:space="preserve"> Peyer’s patches may be necrotic.</w:t>
      </w:r>
      <w:r w:rsidRPr="00934626">
        <w:t xml:space="preserve"> Lymph nodes are enlarged,</w:t>
      </w:r>
      <w:r w:rsidR="00365499" w:rsidRPr="00934626">
        <w:t xml:space="preserve"> and</w:t>
      </w:r>
      <w:r w:rsidRPr="00934626">
        <w:t xml:space="preserve"> the spleen</w:t>
      </w:r>
      <w:r w:rsidR="00365499" w:rsidRPr="00934626">
        <w:t xml:space="preserve"> and liver</w:t>
      </w:r>
      <w:r w:rsidRPr="00934626">
        <w:t xml:space="preserve"> may show necrotic lesions.</w:t>
      </w:r>
    </w:p>
    <w:p w14:paraId="452B3F05" w14:textId="77777777" w:rsidR="00431B81" w:rsidRPr="00934626" w:rsidRDefault="00431B81" w:rsidP="0082393C">
      <w:pPr>
        <w:pStyle w:val="paraA0"/>
        <w:spacing w:after="520"/>
      </w:pPr>
      <w:r w:rsidRPr="00934626">
        <w:t xml:space="preserve">There are no known health risks to humans working with </w:t>
      </w:r>
      <w:r w:rsidR="00FC5C7C" w:rsidRPr="00934626">
        <w:t>PPRV</w:t>
      </w:r>
      <w:r w:rsidRPr="00934626">
        <w:t xml:space="preserve"> as no report of human infection with the virus exists.</w:t>
      </w:r>
      <w:r w:rsidR="00FE5043" w:rsidRPr="00934626">
        <w:rPr>
          <w:lang w:val="en-IE"/>
        </w:rPr>
        <w:t xml:space="preserve"> Laboratory manipulations should be carried out at an appropriate containment level determined by </w:t>
      </w:r>
      <w:proofErr w:type="spellStart"/>
      <w:r w:rsidR="00FE5043" w:rsidRPr="00934626">
        <w:rPr>
          <w:lang w:val="en-IE"/>
        </w:rPr>
        <w:t>biorisk</w:t>
      </w:r>
      <w:proofErr w:type="spellEnd"/>
      <w:r w:rsidR="00FE5043" w:rsidRPr="00934626">
        <w:rPr>
          <w:lang w:val="en-IE"/>
        </w:rPr>
        <w:t xml:space="preserve"> analysis (see Chapter 1.1.</w:t>
      </w:r>
      <w:r w:rsidR="00ED47BC" w:rsidRPr="00934626">
        <w:rPr>
          <w:lang w:val="en-IE"/>
        </w:rPr>
        <w:t>4</w:t>
      </w:r>
      <w:r w:rsidR="00FE5043" w:rsidRPr="00934626">
        <w:rPr>
          <w:lang w:val="en-IE"/>
        </w:rPr>
        <w:t xml:space="preserve"> </w:t>
      </w:r>
      <w:r w:rsidR="00ED47BC" w:rsidRPr="00934626">
        <w:rPr>
          <w:i/>
          <w:lang w:val="en-IE"/>
        </w:rPr>
        <w:t xml:space="preserve">Biosafety and biosecurity: </w:t>
      </w:r>
      <w:r w:rsidR="00ED47BC" w:rsidRPr="00934626">
        <w:rPr>
          <w:i/>
          <w:iCs/>
        </w:rPr>
        <w:t>Standard for managing biological risk in the veterinary laboratory and animal facilities</w:t>
      </w:r>
      <w:r w:rsidR="00FE5043" w:rsidRPr="00934626">
        <w:rPr>
          <w:lang w:val="en-IE"/>
        </w:rPr>
        <w:t>).</w:t>
      </w:r>
    </w:p>
    <w:p w14:paraId="271D7C95" w14:textId="77777777" w:rsidR="00431B81" w:rsidRPr="00934626" w:rsidRDefault="00431B81" w:rsidP="0082393C">
      <w:pPr>
        <w:pStyle w:val="A0"/>
        <w:spacing w:after="280"/>
        <w:outlineLvl w:val="0"/>
      </w:pPr>
      <w:r w:rsidRPr="00934626">
        <w:t>b.  DIAGNOSTIC TECHNIQUES</w:t>
      </w:r>
    </w:p>
    <w:p w14:paraId="31412AD5" w14:textId="7C4B830B" w:rsidR="00B4535F" w:rsidRPr="00934626" w:rsidRDefault="00060297" w:rsidP="00D65CF0">
      <w:pPr>
        <w:pStyle w:val="paraA0"/>
      </w:pPr>
      <w:r w:rsidRPr="00934626">
        <w:t>A</w:t>
      </w:r>
      <w:r w:rsidR="00690146" w:rsidRPr="00934626">
        <w:t xml:space="preserve"> list including all the types of tests available for </w:t>
      </w:r>
      <w:r w:rsidR="00C27544" w:rsidRPr="00934626">
        <w:t>PPR</w:t>
      </w:r>
      <w:r w:rsidR="00346D2E" w:rsidRPr="00934626">
        <w:t xml:space="preserve"> </w:t>
      </w:r>
      <w:r w:rsidRPr="00934626">
        <w:t>i</w:t>
      </w:r>
      <w:r w:rsidR="0016712F" w:rsidRPr="00934626">
        <w:t>s given</w:t>
      </w:r>
      <w:r w:rsidR="00690146" w:rsidRPr="00934626">
        <w:t xml:space="preserve"> in Table 1. Assays applied to </w:t>
      </w:r>
      <w:r w:rsidR="0016712F" w:rsidRPr="00934626">
        <w:t xml:space="preserve">individuals or populations </w:t>
      </w:r>
      <w:r w:rsidR="00690146" w:rsidRPr="00934626">
        <w:t>may have different purposes</w:t>
      </w:r>
      <w:r w:rsidR="005A0D74" w:rsidRPr="00934626">
        <w:t>,</w:t>
      </w:r>
      <w:r w:rsidR="00690146" w:rsidRPr="00934626">
        <w:t xml:space="preserve"> </w:t>
      </w:r>
      <w:r w:rsidRPr="00934626">
        <w:t xml:space="preserve">such </w:t>
      </w:r>
      <w:r w:rsidR="005A0D74" w:rsidRPr="00934626">
        <w:t xml:space="preserve">as </w:t>
      </w:r>
      <w:r w:rsidRPr="00934626">
        <w:t xml:space="preserve">confirming diagnosis of clinical cases, </w:t>
      </w:r>
      <w:r w:rsidR="005A0D74" w:rsidRPr="00934626">
        <w:t xml:space="preserve">determining </w:t>
      </w:r>
      <w:r w:rsidRPr="00934626">
        <w:t>infection status</w:t>
      </w:r>
      <w:r w:rsidR="00690146" w:rsidRPr="00934626">
        <w:t xml:space="preserve"> for trade and/or movement</w:t>
      </w:r>
      <w:r w:rsidRPr="00934626">
        <w:t xml:space="preserve">, </w:t>
      </w:r>
      <w:r w:rsidR="0016712F" w:rsidRPr="00934626">
        <w:t>estimates of infection or exposure prevalence (</w:t>
      </w:r>
      <w:r w:rsidRPr="00934626">
        <w:t>surveillance</w:t>
      </w:r>
      <w:r w:rsidR="0016712F" w:rsidRPr="00934626">
        <w:t>)</w:t>
      </w:r>
      <w:r w:rsidRPr="00934626">
        <w:t xml:space="preserve"> or </w:t>
      </w:r>
      <w:r w:rsidR="005A0D74" w:rsidRPr="00934626">
        <w:t xml:space="preserve">checking </w:t>
      </w:r>
      <w:r w:rsidR="0016712F" w:rsidRPr="00934626">
        <w:t>post-vaccination immune status (</w:t>
      </w:r>
      <w:r w:rsidRPr="00934626">
        <w:t>monitoring</w:t>
      </w:r>
      <w:r w:rsidR="0016712F" w:rsidRPr="00934626">
        <w:t>)</w:t>
      </w:r>
      <w:r w:rsidRPr="00934626">
        <w:t xml:space="preserve">. </w:t>
      </w:r>
    </w:p>
    <w:p w14:paraId="2C150AE4" w14:textId="77777777" w:rsidR="00ED47BC" w:rsidRPr="00934626" w:rsidRDefault="00ED47BC">
      <w:pPr>
        <w:tabs>
          <w:tab w:val="clear" w:pos="-720"/>
        </w:tabs>
        <w:spacing w:line="240" w:lineRule="auto"/>
        <w:jc w:val="left"/>
        <w:rPr>
          <w:rFonts w:ascii="Ottawa" w:hAnsi="Ottawa" w:cs="Calibri"/>
          <w:b/>
          <w:bCs/>
          <w:i/>
          <w:sz w:val="18"/>
          <w:szCs w:val="22"/>
          <w:lang w:eastAsia="en-US"/>
        </w:rPr>
      </w:pPr>
      <w:r w:rsidRPr="00934626">
        <w:br w:type="page"/>
      </w:r>
    </w:p>
    <w:p w14:paraId="3E4F9AAE" w14:textId="77777777" w:rsidR="00D65CF0" w:rsidRPr="00934626" w:rsidRDefault="00D65CF0" w:rsidP="00D65CF0">
      <w:pPr>
        <w:pStyle w:val="Tabletitle"/>
        <w:rPr>
          <w:b w:val="0"/>
        </w:rPr>
      </w:pPr>
      <w:r w:rsidRPr="00934626">
        <w:lastRenderedPageBreak/>
        <w:t xml:space="preserve">Table </w:t>
      </w:r>
      <w:r w:rsidRPr="00934626">
        <w:rPr>
          <w:noProof/>
        </w:rPr>
        <w:t>1</w:t>
      </w:r>
      <w:r w:rsidRPr="00934626">
        <w:t xml:space="preserve">. </w:t>
      </w:r>
      <w:r w:rsidRPr="00934626">
        <w:rPr>
          <w:b w:val="0"/>
        </w:rPr>
        <w:t xml:space="preserve">Test methods available </w:t>
      </w:r>
      <w:r w:rsidR="00505084" w:rsidRPr="00934626">
        <w:rPr>
          <w:b w:val="0"/>
        </w:rPr>
        <w:t xml:space="preserve">for the diagnosis of </w:t>
      </w:r>
      <w:proofErr w:type="spellStart"/>
      <w:r w:rsidRPr="00934626">
        <w:rPr>
          <w:b w:val="0"/>
        </w:rPr>
        <w:t>peste</w:t>
      </w:r>
      <w:proofErr w:type="spellEnd"/>
      <w:r w:rsidRPr="00934626">
        <w:rPr>
          <w:b w:val="0"/>
        </w:rPr>
        <w:t xml:space="preserve"> des petits ruminants and their purpose</w:t>
      </w:r>
    </w:p>
    <w:tbl>
      <w:tblPr>
        <w:tblW w:w="9409" w:type="dxa"/>
        <w:jc w:val="center"/>
        <w:tblLayout w:type="fixed"/>
        <w:tblCellMar>
          <w:left w:w="96" w:type="dxa"/>
          <w:right w:w="96" w:type="dxa"/>
        </w:tblCellMar>
        <w:tblLook w:val="0000" w:firstRow="0" w:lastRow="0" w:firstColumn="0" w:lastColumn="0" w:noHBand="0" w:noVBand="0"/>
      </w:tblPr>
      <w:tblGrid>
        <w:gridCol w:w="1897"/>
        <w:gridCol w:w="992"/>
        <w:gridCol w:w="1391"/>
        <w:gridCol w:w="1134"/>
        <w:gridCol w:w="1160"/>
        <w:gridCol w:w="1134"/>
        <w:gridCol w:w="1701"/>
      </w:tblGrid>
      <w:tr w:rsidR="00392491" w:rsidRPr="00934626" w14:paraId="1B2FF480" w14:textId="77777777" w:rsidTr="008C060E">
        <w:trPr>
          <w:trHeight w:val="402"/>
          <w:tblHeader/>
          <w:jc w:val="center"/>
        </w:trPr>
        <w:tc>
          <w:tcPr>
            <w:tcW w:w="1897" w:type="dxa"/>
            <w:vMerge w:val="restart"/>
            <w:tcBorders>
              <w:top w:val="single" w:sz="6" w:space="0" w:color="auto"/>
              <w:left w:val="single" w:sz="6" w:space="0" w:color="auto"/>
            </w:tcBorders>
            <w:vAlign w:val="center"/>
          </w:tcPr>
          <w:p w14:paraId="0EEDD47D" w14:textId="77777777" w:rsidR="00392491" w:rsidRPr="00934626" w:rsidRDefault="00392491" w:rsidP="00D65CF0">
            <w:pPr>
              <w:pStyle w:val="TableHead"/>
              <w:rPr>
                <w:rFonts w:ascii="Arial" w:hAnsi="Arial" w:cs="Arial"/>
                <w:sz w:val="16"/>
                <w:szCs w:val="16"/>
                <w:lang w:val="en-GB"/>
              </w:rPr>
            </w:pPr>
            <w:r w:rsidRPr="00934626">
              <w:rPr>
                <w:rFonts w:ascii="Arial" w:hAnsi="Arial" w:cs="Arial"/>
                <w:sz w:val="16"/>
                <w:szCs w:val="16"/>
                <w:lang w:val="en-GB"/>
              </w:rPr>
              <w:t>Method</w:t>
            </w:r>
          </w:p>
        </w:tc>
        <w:tc>
          <w:tcPr>
            <w:tcW w:w="7512" w:type="dxa"/>
            <w:gridSpan w:val="6"/>
            <w:tcBorders>
              <w:top w:val="single" w:sz="6" w:space="0" w:color="auto"/>
              <w:left w:val="single" w:sz="6" w:space="0" w:color="auto"/>
              <w:right w:val="single" w:sz="6" w:space="0" w:color="auto"/>
            </w:tcBorders>
          </w:tcPr>
          <w:p w14:paraId="54FD79A1" w14:textId="5C97C713" w:rsidR="00392491" w:rsidRPr="00934626" w:rsidRDefault="00392491" w:rsidP="00D65CF0">
            <w:pPr>
              <w:pStyle w:val="Tabletext"/>
              <w:rPr>
                <w:b/>
                <w:sz w:val="16"/>
                <w:szCs w:val="16"/>
                <w:lang w:val="en-GB"/>
              </w:rPr>
            </w:pPr>
            <w:r w:rsidRPr="00934626">
              <w:rPr>
                <w:b/>
                <w:sz w:val="16"/>
                <w:szCs w:val="16"/>
                <w:lang w:val="en-GB"/>
              </w:rPr>
              <w:t>Purpose</w:t>
            </w:r>
          </w:p>
        </w:tc>
      </w:tr>
      <w:tr w:rsidR="00B519CC" w:rsidRPr="00934626" w14:paraId="3C3FA732" w14:textId="77777777" w:rsidTr="008A75CA">
        <w:trPr>
          <w:trHeight w:val="402"/>
          <w:tblHeader/>
          <w:jc w:val="center"/>
        </w:trPr>
        <w:tc>
          <w:tcPr>
            <w:tcW w:w="1897" w:type="dxa"/>
            <w:vMerge/>
            <w:tcBorders>
              <w:left w:val="single" w:sz="6" w:space="0" w:color="auto"/>
              <w:bottom w:val="single" w:sz="6" w:space="0" w:color="auto"/>
            </w:tcBorders>
            <w:vAlign w:val="center"/>
          </w:tcPr>
          <w:p w14:paraId="19C39244" w14:textId="77777777" w:rsidR="008A75CA" w:rsidRPr="00934626" w:rsidRDefault="008A75CA" w:rsidP="00D65CF0">
            <w:pPr>
              <w:pStyle w:val="TableHead"/>
              <w:jc w:val="both"/>
              <w:rPr>
                <w:rFonts w:ascii="Arial" w:hAnsi="Arial" w:cs="Arial"/>
                <w:sz w:val="16"/>
                <w:szCs w:val="16"/>
                <w:lang w:val="en-GB"/>
              </w:rPr>
            </w:pPr>
          </w:p>
        </w:tc>
        <w:tc>
          <w:tcPr>
            <w:tcW w:w="992" w:type="dxa"/>
            <w:tcBorders>
              <w:top w:val="single" w:sz="6" w:space="0" w:color="auto"/>
              <w:left w:val="single" w:sz="6" w:space="0" w:color="auto"/>
              <w:bottom w:val="single" w:sz="6" w:space="0" w:color="auto"/>
            </w:tcBorders>
            <w:vAlign w:val="center"/>
          </w:tcPr>
          <w:p w14:paraId="7ECF0447" w14:textId="77777777" w:rsidR="008A75CA" w:rsidRPr="00934626" w:rsidRDefault="008A75CA" w:rsidP="008A75CA">
            <w:pPr>
              <w:pStyle w:val="Tabletext"/>
              <w:rPr>
                <w:sz w:val="16"/>
                <w:szCs w:val="16"/>
                <w:lang w:val="en-GB"/>
              </w:rPr>
            </w:pPr>
            <w:r w:rsidRPr="00934626">
              <w:rPr>
                <w:sz w:val="16"/>
                <w:szCs w:val="16"/>
                <w:lang w:val="en-GB"/>
              </w:rPr>
              <w:t>Population freedom from infection</w:t>
            </w:r>
          </w:p>
        </w:tc>
        <w:tc>
          <w:tcPr>
            <w:tcW w:w="1391" w:type="dxa"/>
            <w:tcBorders>
              <w:top w:val="single" w:sz="6" w:space="0" w:color="auto"/>
              <w:left w:val="single" w:sz="6" w:space="0" w:color="auto"/>
              <w:bottom w:val="single" w:sz="6" w:space="0" w:color="auto"/>
            </w:tcBorders>
            <w:vAlign w:val="center"/>
          </w:tcPr>
          <w:p w14:paraId="66E4263B" w14:textId="4843D4BE" w:rsidR="008A75CA" w:rsidRPr="00934626" w:rsidRDefault="008A75CA" w:rsidP="008A75CA">
            <w:pPr>
              <w:pStyle w:val="Tabletext"/>
              <w:rPr>
                <w:sz w:val="16"/>
                <w:szCs w:val="16"/>
                <w:lang w:val="en-GB"/>
              </w:rPr>
            </w:pPr>
            <w:r w:rsidRPr="00934626">
              <w:rPr>
                <w:sz w:val="16"/>
                <w:szCs w:val="16"/>
                <w:lang w:val="en-GB"/>
              </w:rPr>
              <w:t>Individual animal freedom from infection prior to movement</w:t>
            </w:r>
          </w:p>
        </w:tc>
        <w:tc>
          <w:tcPr>
            <w:tcW w:w="1134" w:type="dxa"/>
            <w:tcBorders>
              <w:top w:val="single" w:sz="6" w:space="0" w:color="auto"/>
              <w:left w:val="single" w:sz="6" w:space="0" w:color="auto"/>
              <w:bottom w:val="single" w:sz="6" w:space="0" w:color="auto"/>
              <w:right w:val="single" w:sz="6" w:space="0" w:color="auto"/>
            </w:tcBorders>
            <w:vAlign w:val="center"/>
          </w:tcPr>
          <w:p w14:paraId="73739E6C" w14:textId="353EEF60" w:rsidR="008A75CA" w:rsidRPr="00934626" w:rsidRDefault="008A75CA" w:rsidP="00A25546">
            <w:pPr>
              <w:pStyle w:val="Tabletext"/>
              <w:rPr>
                <w:sz w:val="16"/>
                <w:szCs w:val="16"/>
                <w:lang w:val="en-GB"/>
              </w:rPr>
            </w:pPr>
            <w:r w:rsidRPr="00934626">
              <w:rPr>
                <w:sz w:val="16"/>
                <w:szCs w:val="16"/>
                <w:lang w:val="en-GB"/>
              </w:rPr>
              <w:t>Contribute to eradication</w:t>
            </w:r>
            <w:r w:rsidR="00A25546" w:rsidRPr="00934626">
              <w:rPr>
                <w:sz w:val="16"/>
                <w:szCs w:val="16"/>
                <w:lang w:val="en-GB"/>
              </w:rPr>
              <w:t xml:space="preserve"> policies</w:t>
            </w:r>
          </w:p>
        </w:tc>
        <w:tc>
          <w:tcPr>
            <w:tcW w:w="1160" w:type="dxa"/>
            <w:tcBorders>
              <w:top w:val="single" w:sz="6" w:space="0" w:color="auto"/>
              <w:left w:val="single" w:sz="6" w:space="0" w:color="auto"/>
              <w:bottom w:val="single" w:sz="6" w:space="0" w:color="auto"/>
            </w:tcBorders>
            <w:vAlign w:val="center"/>
          </w:tcPr>
          <w:p w14:paraId="599B8ACF" w14:textId="75971DF9" w:rsidR="008A75CA" w:rsidRPr="00934626" w:rsidRDefault="008A75CA" w:rsidP="008A75CA">
            <w:pPr>
              <w:pStyle w:val="Tabletext"/>
              <w:rPr>
                <w:sz w:val="16"/>
                <w:szCs w:val="16"/>
                <w:lang w:val="en-GB"/>
              </w:rPr>
            </w:pPr>
            <w:r w:rsidRPr="00934626">
              <w:rPr>
                <w:sz w:val="16"/>
                <w:szCs w:val="16"/>
                <w:lang w:val="en-GB"/>
              </w:rPr>
              <w:t>Confirmation of clinical cases</w:t>
            </w:r>
          </w:p>
        </w:tc>
        <w:tc>
          <w:tcPr>
            <w:tcW w:w="1134" w:type="dxa"/>
            <w:tcBorders>
              <w:top w:val="single" w:sz="6" w:space="0" w:color="auto"/>
              <w:left w:val="single" w:sz="6" w:space="0" w:color="auto"/>
              <w:bottom w:val="single" w:sz="6" w:space="0" w:color="auto"/>
            </w:tcBorders>
            <w:vAlign w:val="center"/>
          </w:tcPr>
          <w:p w14:paraId="3F291E30" w14:textId="77777777" w:rsidR="008A75CA" w:rsidRPr="00934626" w:rsidRDefault="008A75CA" w:rsidP="008A75CA">
            <w:pPr>
              <w:pStyle w:val="Tabletext"/>
              <w:rPr>
                <w:sz w:val="16"/>
                <w:szCs w:val="16"/>
                <w:lang w:val="en-GB"/>
              </w:rPr>
            </w:pPr>
            <w:r w:rsidRPr="00934626">
              <w:rPr>
                <w:sz w:val="16"/>
                <w:szCs w:val="16"/>
                <w:lang w:val="en-GB"/>
              </w:rPr>
              <w:t>Prevalence of infection – surveillance</w:t>
            </w:r>
          </w:p>
        </w:tc>
        <w:tc>
          <w:tcPr>
            <w:tcW w:w="1701" w:type="dxa"/>
            <w:tcBorders>
              <w:top w:val="single" w:sz="6" w:space="0" w:color="auto"/>
              <w:left w:val="single" w:sz="6" w:space="0" w:color="auto"/>
              <w:bottom w:val="single" w:sz="6" w:space="0" w:color="auto"/>
              <w:right w:val="single" w:sz="6" w:space="0" w:color="auto"/>
            </w:tcBorders>
            <w:vAlign w:val="center"/>
          </w:tcPr>
          <w:p w14:paraId="2777DC00" w14:textId="77777777" w:rsidR="008A75CA" w:rsidRPr="00934626" w:rsidRDefault="008A75CA" w:rsidP="008A75CA">
            <w:pPr>
              <w:pStyle w:val="Tabletext"/>
              <w:rPr>
                <w:sz w:val="16"/>
                <w:szCs w:val="16"/>
                <w:lang w:val="en-GB"/>
              </w:rPr>
            </w:pPr>
            <w:r w:rsidRPr="00934626">
              <w:rPr>
                <w:sz w:val="16"/>
                <w:szCs w:val="16"/>
                <w:lang w:val="en-GB"/>
              </w:rPr>
              <w:t>Immune status in individual animals or populations post-vaccination</w:t>
            </w:r>
          </w:p>
        </w:tc>
      </w:tr>
      <w:tr w:rsidR="00B519CC" w:rsidRPr="00934626" w14:paraId="58E07066" w14:textId="77777777" w:rsidTr="00A25546">
        <w:trPr>
          <w:trHeight w:val="402"/>
          <w:jc w:val="center"/>
        </w:trPr>
        <w:tc>
          <w:tcPr>
            <w:tcW w:w="9409" w:type="dxa"/>
            <w:gridSpan w:val="7"/>
            <w:tcBorders>
              <w:top w:val="single" w:sz="6" w:space="0" w:color="auto"/>
              <w:left w:val="single" w:sz="6" w:space="0" w:color="auto"/>
              <w:bottom w:val="single" w:sz="6" w:space="0" w:color="auto"/>
              <w:right w:val="single" w:sz="6" w:space="0" w:color="auto"/>
            </w:tcBorders>
            <w:shd w:val="pct10" w:color="auto" w:fill="auto"/>
          </w:tcPr>
          <w:p w14:paraId="70FDEFAB" w14:textId="3591943E" w:rsidR="00075EE9" w:rsidRPr="007B1ED3" w:rsidRDefault="00075EE9" w:rsidP="00D65CF0">
            <w:pPr>
              <w:pStyle w:val="Tabletext"/>
              <w:rPr>
                <w:i/>
                <w:sz w:val="16"/>
                <w:szCs w:val="16"/>
                <w:lang w:val="en-GB"/>
              </w:rPr>
            </w:pPr>
            <w:r w:rsidRPr="007B1ED3">
              <w:rPr>
                <w:b/>
                <w:sz w:val="16"/>
                <w:szCs w:val="16"/>
              </w:rPr>
              <w:t>Agent identification</w:t>
            </w:r>
            <w:r w:rsidRPr="007B1ED3">
              <w:rPr>
                <w:rStyle w:val="Appelnotedebasdep"/>
                <w:b/>
                <w:sz w:val="16"/>
                <w:szCs w:val="16"/>
              </w:rPr>
              <w:footnoteReference w:id="1"/>
            </w:r>
          </w:p>
        </w:tc>
      </w:tr>
      <w:tr w:rsidR="00B519CC" w:rsidRPr="00934626" w14:paraId="6D0CE836" w14:textId="77777777" w:rsidTr="00326180">
        <w:trPr>
          <w:trHeight w:val="402"/>
          <w:jc w:val="center"/>
        </w:trPr>
        <w:tc>
          <w:tcPr>
            <w:tcW w:w="1897" w:type="dxa"/>
            <w:tcBorders>
              <w:top w:val="single" w:sz="4" w:space="0" w:color="auto"/>
              <w:left w:val="single" w:sz="6" w:space="0" w:color="auto"/>
            </w:tcBorders>
            <w:vAlign w:val="center"/>
          </w:tcPr>
          <w:p w14:paraId="3544EDDE" w14:textId="77777777" w:rsidR="008A75CA" w:rsidRPr="00934626" w:rsidRDefault="008A75CA" w:rsidP="00EE2745">
            <w:pPr>
              <w:spacing w:before="100" w:after="100" w:line="240" w:lineRule="auto"/>
              <w:jc w:val="center"/>
              <w:rPr>
                <w:rFonts w:ascii="Arial" w:hAnsi="Arial" w:cs="Arial"/>
                <w:b/>
                <w:sz w:val="16"/>
                <w:szCs w:val="16"/>
              </w:rPr>
            </w:pPr>
            <w:r w:rsidRPr="00934626">
              <w:rPr>
                <w:rFonts w:ascii="Arial" w:hAnsi="Arial" w:cs="Arial"/>
                <w:b/>
                <w:sz w:val="16"/>
              </w:rPr>
              <w:t>RT-PCR</w:t>
            </w:r>
          </w:p>
        </w:tc>
        <w:tc>
          <w:tcPr>
            <w:tcW w:w="992" w:type="dxa"/>
            <w:tcBorders>
              <w:top w:val="single" w:sz="4" w:space="0" w:color="auto"/>
              <w:left w:val="single" w:sz="6" w:space="0" w:color="auto"/>
            </w:tcBorders>
            <w:vAlign w:val="center"/>
          </w:tcPr>
          <w:p w14:paraId="30663E4F" w14:textId="77777777" w:rsidR="008A75CA" w:rsidRPr="00934626" w:rsidRDefault="008A75CA" w:rsidP="00915358">
            <w:pPr>
              <w:pStyle w:val="Tabletext"/>
              <w:spacing w:before="100" w:after="100"/>
              <w:rPr>
                <w:sz w:val="16"/>
                <w:szCs w:val="16"/>
                <w:lang w:val="en-GB"/>
              </w:rPr>
            </w:pPr>
            <w:r w:rsidRPr="00934626">
              <w:rPr>
                <w:sz w:val="16"/>
                <w:szCs w:val="16"/>
                <w:lang w:val="en-GB"/>
              </w:rPr>
              <w:t>–</w:t>
            </w:r>
          </w:p>
        </w:tc>
        <w:tc>
          <w:tcPr>
            <w:tcW w:w="1391" w:type="dxa"/>
            <w:tcBorders>
              <w:top w:val="single" w:sz="4" w:space="0" w:color="auto"/>
              <w:left w:val="single" w:sz="6" w:space="0" w:color="auto"/>
            </w:tcBorders>
            <w:vAlign w:val="center"/>
          </w:tcPr>
          <w:p w14:paraId="5D711C50" w14:textId="7C7427D0" w:rsidR="008A75CA" w:rsidRPr="00934626" w:rsidRDefault="00946AEB" w:rsidP="00EE2745">
            <w:pPr>
              <w:pStyle w:val="Tabletext"/>
              <w:spacing w:before="100" w:after="100"/>
              <w:rPr>
                <w:sz w:val="16"/>
                <w:szCs w:val="16"/>
                <w:lang w:val="en-GB"/>
              </w:rPr>
            </w:pPr>
            <w:r w:rsidRPr="00934626">
              <w:rPr>
                <w:i/>
                <w:sz w:val="16"/>
                <w:szCs w:val="16"/>
                <w:lang w:val="en-US"/>
              </w:rPr>
              <w:t>++</w:t>
            </w:r>
          </w:p>
        </w:tc>
        <w:tc>
          <w:tcPr>
            <w:tcW w:w="1134" w:type="dxa"/>
            <w:tcBorders>
              <w:top w:val="single" w:sz="4" w:space="0" w:color="auto"/>
              <w:left w:val="single" w:sz="6" w:space="0" w:color="auto"/>
              <w:right w:val="single" w:sz="6" w:space="0" w:color="auto"/>
            </w:tcBorders>
            <w:vAlign w:val="center"/>
          </w:tcPr>
          <w:p w14:paraId="13C09FFB" w14:textId="0EBB107A" w:rsidR="008A75CA" w:rsidRPr="00934626" w:rsidRDefault="00326180" w:rsidP="00326180">
            <w:pPr>
              <w:pStyle w:val="Tabletext"/>
              <w:spacing w:before="100" w:after="100"/>
              <w:rPr>
                <w:i/>
                <w:sz w:val="16"/>
                <w:szCs w:val="16"/>
                <w:lang w:val="en-US"/>
              </w:rPr>
            </w:pPr>
            <w:r w:rsidRPr="00934626">
              <w:rPr>
                <w:i/>
                <w:sz w:val="16"/>
                <w:szCs w:val="16"/>
                <w:lang w:val="en-US"/>
              </w:rPr>
              <w:t>++</w:t>
            </w:r>
          </w:p>
        </w:tc>
        <w:tc>
          <w:tcPr>
            <w:tcW w:w="1160" w:type="dxa"/>
            <w:tcBorders>
              <w:top w:val="single" w:sz="4" w:space="0" w:color="auto"/>
              <w:left w:val="single" w:sz="6" w:space="0" w:color="auto"/>
            </w:tcBorders>
            <w:vAlign w:val="center"/>
          </w:tcPr>
          <w:p w14:paraId="57580B11" w14:textId="2E126BDC" w:rsidR="008A75CA" w:rsidRPr="00934626" w:rsidRDefault="008A75CA" w:rsidP="00EE2745">
            <w:pPr>
              <w:pStyle w:val="Tabletext"/>
              <w:spacing w:before="100" w:after="100"/>
              <w:rPr>
                <w:sz w:val="16"/>
                <w:szCs w:val="16"/>
                <w:lang w:val="en-GB"/>
              </w:rPr>
            </w:pPr>
            <w:r w:rsidRPr="00934626">
              <w:rPr>
                <w:i/>
                <w:sz w:val="16"/>
                <w:szCs w:val="16"/>
                <w:lang w:val="en-US"/>
              </w:rPr>
              <w:t>+++</w:t>
            </w:r>
          </w:p>
        </w:tc>
        <w:tc>
          <w:tcPr>
            <w:tcW w:w="1134" w:type="dxa"/>
            <w:tcBorders>
              <w:top w:val="single" w:sz="4" w:space="0" w:color="auto"/>
              <w:left w:val="single" w:sz="6" w:space="0" w:color="auto"/>
            </w:tcBorders>
            <w:vAlign w:val="center"/>
          </w:tcPr>
          <w:p w14:paraId="67AD7B7E" w14:textId="2B67B51D" w:rsidR="008A75CA" w:rsidRPr="00934626" w:rsidRDefault="006F1CC8" w:rsidP="00EE2745">
            <w:pPr>
              <w:pStyle w:val="Tabletext"/>
              <w:spacing w:before="100" w:after="100"/>
              <w:rPr>
                <w:sz w:val="16"/>
                <w:szCs w:val="16"/>
                <w:lang w:val="en-GB"/>
              </w:rPr>
            </w:pPr>
            <w:r w:rsidRPr="00934626">
              <w:rPr>
                <w:sz w:val="16"/>
                <w:szCs w:val="16"/>
                <w:lang w:val="en-GB"/>
              </w:rPr>
              <w:t>+</w:t>
            </w:r>
          </w:p>
        </w:tc>
        <w:tc>
          <w:tcPr>
            <w:tcW w:w="1701" w:type="dxa"/>
            <w:tcBorders>
              <w:top w:val="single" w:sz="6" w:space="0" w:color="auto"/>
              <w:left w:val="single" w:sz="6" w:space="0" w:color="auto"/>
              <w:bottom w:val="single" w:sz="6" w:space="0" w:color="auto"/>
              <w:right w:val="single" w:sz="6" w:space="0" w:color="auto"/>
            </w:tcBorders>
            <w:vAlign w:val="center"/>
          </w:tcPr>
          <w:p w14:paraId="05677555" w14:textId="77777777" w:rsidR="008A75CA" w:rsidRPr="00934626" w:rsidRDefault="008A75CA" w:rsidP="00EE2745">
            <w:pPr>
              <w:pStyle w:val="Tabletext"/>
              <w:spacing w:before="100" w:after="100"/>
              <w:rPr>
                <w:sz w:val="16"/>
                <w:szCs w:val="16"/>
                <w:lang w:val="en-GB"/>
              </w:rPr>
            </w:pPr>
            <w:r w:rsidRPr="00934626">
              <w:rPr>
                <w:sz w:val="16"/>
                <w:szCs w:val="16"/>
                <w:lang w:val="en-GB"/>
              </w:rPr>
              <w:t>–</w:t>
            </w:r>
          </w:p>
        </w:tc>
      </w:tr>
      <w:tr w:rsidR="00B519CC" w:rsidRPr="00934626" w14:paraId="4582A654" w14:textId="77777777" w:rsidTr="00326180">
        <w:trPr>
          <w:trHeight w:val="402"/>
          <w:jc w:val="center"/>
        </w:trPr>
        <w:tc>
          <w:tcPr>
            <w:tcW w:w="1897" w:type="dxa"/>
            <w:tcBorders>
              <w:top w:val="single" w:sz="6" w:space="0" w:color="auto"/>
              <w:left w:val="single" w:sz="6" w:space="0" w:color="auto"/>
            </w:tcBorders>
          </w:tcPr>
          <w:p w14:paraId="23355183" w14:textId="0F284203" w:rsidR="008A75CA" w:rsidRPr="00934626" w:rsidRDefault="008A75CA" w:rsidP="00EE2745">
            <w:pPr>
              <w:spacing w:before="100" w:after="100" w:line="240" w:lineRule="auto"/>
              <w:jc w:val="center"/>
              <w:rPr>
                <w:rFonts w:ascii="Arial" w:hAnsi="Arial" w:cs="Arial"/>
                <w:b/>
                <w:sz w:val="16"/>
                <w:szCs w:val="16"/>
              </w:rPr>
            </w:pPr>
            <w:r w:rsidRPr="00934626">
              <w:rPr>
                <w:rFonts w:ascii="Arial" w:hAnsi="Arial" w:cs="Arial"/>
                <w:b/>
                <w:sz w:val="16"/>
              </w:rPr>
              <w:t xml:space="preserve">Real-time RT-PCR </w:t>
            </w:r>
          </w:p>
        </w:tc>
        <w:tc>
          <w:tcPr>
            <w:tcW w:w="992" w:type="dxa"/>
            <w:tcBorders>
              <w:top w:val="single" w:sz="6" w:space="0" w:color="auto"/>
              <w:left w:val="single" w:sz="6" w:space="0" w:color="auto"/>
            </w:tcBorders>
            <w:vAlign w:val="center"/>
          </w:tcPr>
          <w:p w14:paraId="4F84C5A9" w14:textId="77777777" w:rsidR="008A75CA" w:rsidRPr="00934626" w:rsidRDefault="008A75CA" w:rsidP="00915358">
            <w:pPr>
              <w:pStyle w:val="Tabletext"/>
              <w:spacing w:before="100" w:after="100"/>
              <w:rPr>
                <w:sz w:val="16"/>
                <w:szCs w:val="16"/>
                <w:lang w:val="en-GB"/>
              </w:rPr>
            </w:pPr>
            <w:r w:rsidRPr="00934626">
              <w:rPr>
                <w:sz w:val="16"/>
                <w:szCs w:val="16"/>
                <w:lang w:val="en-GB"/>
              </w:rPr>
              <w:t>–</w:t>
            </w:r>
          </w:p>
        </w:tc>
        <w:tc>
          <w:tcPr>
            <w:tcW w:w="1391" w:type="dxa"/>
            <w:tcBorders>
              <w:top w:val="single" w:sz="6" w:space="0" w:color="auto"/>
              <w:left w:val="single" w:sz="6" w:space="0" w:color="auto"/>
            </w:tcBorders>
            <w:vAlign w:val="center"/>
          </w:tcPr>
          <w:p w14:paraId="339FD1A4" w14:textId="2BD2C901" w:rsidR="008A75CA" w:rsidRPr="00934626" w:rsidRDefault="00946AEB" w:rsidP="00EE2745">
            <w:pPr>
              <w:pStyle w:val="Tabletext"/>
              <w:spacing w:before="100" w:after="100"/>
              <w:rPr>
                <w:sz w:val="16"/>
                <w:szCs w:val="16"/>
                <w:lang w:val="en-GB"/>
              </w:rPr>
            </w:pPr>
            <w:r w:rsidRPr="00934626">
              <w:rPr>
                <w:i/>
                <w:sz w:val="16"/>
                <w:szCs w:val="16"/>
                <w:lang w:val="en-US"/>
              </w:rPr>
              <w:t>++</w:t>
            </w:r>
          </w:p>
        </w:tc>
        <w:tc>
          <w:tcPr>
            <w:tcW w:w="1134" w:type="dxa"/>
            <w:tcBorders>
              <w:top w:val="single" w:sz="6" w:space="0" w:color="auto"/>
              <w:left w:val="single" w:sz="6" w:space="0" w:color="auto"/>
              <w:right w:val="single" w:sz="6" w:space="0" w:color="auto"/>
            </w:tcBorders>
            <w:vAlign w:val="center"/>
          </w:tcPr>
          <w:p w14:paraId="4D7FA578" w14:textId="78ECAE1F" w:rsidR="008A75CA" w:rsidRPr="00934626" w:rsidRDefault="00326180" w:rsidP="00326180">
            <w:pPr>
              <w:pStyle w:val="Tabletext"/>
              <w:spacing w:before="100" w:after="100"/>
              <w:rPr>
                <w:i/>
                <w:sz w:val="16"/>
                <w:szCs w:val="16"/>
                <w:lang w:val="en-US"/>
              </w:rPr>
            </w:pPr>
            <w:r w:rsidRPr="00934626">
              <w:rPr>
                <w:i/>
                <w:sz w:val="16"/>
                <w:szCs w:val="16"/>
                <w:lang w:val="en-US"/>
              </w:rPr>
              <w:t>+++</w:t>
            </w:r>
          </w:p>
        </w:tc>
        <w:tc>
          <w:tcPr>
            <w:tcW w:w="1160" w:type="dxa"/>
            <w:tcBorders>
              <w:top w:val="single" w:sz="6" w:space="0" w:color="auto"/>
              <w:left w:val="single" w:sz="6" w:space="0" w:color="auto"/>
            </w:tcBorders>
            <w:vAlign w:val="center"/>
          </w:tcPr>
          <w:p w14:paraId="153A53FA" w14:textId="5FC6177B" w:rsidR="008A75CA" w:rsidRPr="00934626" w:rsidRDefault="008A75CA" w:rsidP="00EE2745">
            <w:pPr>
              <w:pStyle w:val="Tabletext"/>
              <w:spacing w:before="100" w:after="100"/>
              <w:rPr>
                <w:sz w:val="16"/>
                <w:szCs w:val="16"/>
                <w:lang w:val="en-GB"/>
              </w:rPr>
            </w:pPr>
            <w:r w:rsidRPr="00934626">
              <w:rPr>
                <w:i/>
                <w:sz w:val="16"/>
                <w:szCs w:val="16"/>
                <w:lang w:val="en-US"/>
              </w:rPr>
              <w:t>+++</w:t>
            </w:r>
          </w:p>
        </w:tc>
        <w:tc>
          <w:tcPr>
            <w:tcW w:w="1134" w:type="dxa"/>
            <w:tcBorders>
              <w:top w:val="single" w:sz="6" w:space="0" w:color="auto"/>
              <w:left w:val="single" w:sz="6" w:space="0" w:color="auto"/>
            </w:tcBorders>
            <w:vAlign w:val="center"/>
          </w:tcPr>
          <w:p w14:paraId="79B457A9" w14:textId="5075E92E" w:rsidR="008A75CA" w:rsidRPr="00934626" w:rsidRDefault="006F1CC8" w:rsidP="00EE2745">
            <w:pPr>
              <w:pStyle w:val="Tabletext"/>
              <w:spacing w:before="100" w:after="100"/>
              <w:rPr>
                <w:sz w:val="16"/>
                <w:szCs w:val="16"/>
                <w:lang w:val="en-GB"/>
              </w:rPr>
            </w:pPr>
            <w:r w:rsidRPr="00934626">
              <w:rPr>
                <w:sz w:val="16"/>
                <w:szCs w:val="16"/>
                <w:lang w:val="en-GB"/>
              </w:rPr>
              <w:t>+</w:t>
            </w:r>
          </w:p>
        </w:tc>
        <w:tc>
          <w:tcPr>
            <w:tcW w:w="1701" w:type="dxa"/>
            <w:tcBorders>
              <w:top w:val="single" w:sz="6" w:space="0" w:color="auto"/>
              <w:left w:val="single" w:sz="6" w:space="0" w:color="auto"/>
              <w:bottom w:val="single" w:sz="6" w:space="0" w:color="auto"/>
              <w:right w:val="single" w:sz="6" w:space="0" w:color="auto"/>
            </w:tcBorders>
            <w:vAlign w:val="center"/>
          </w:tcPr>
          <w:p w14:paraId="1693F74B" w14:textId="77777777" w:rsidR="008A75CA" w:rsidRPr="00934626" w:rsidRDefault="008A75CA" w:rsidP="00EE2745">
            <w:pPr>
              <w:pStyle w:val="Tabletext"/>
              <w:spacing w:before="100" w:after="100"/>
              <w:rPr>
                <w:sz w:val="16"/>
                <w:szCs w:val="16"/>
                <w:lang w:val="en-GB"/>
              </w:rPr>
            </w:pPr>
            <w:r w:rsidRPr="00934626">
              <w:rPr>
                <w:sz w:val="16"/>
                <w:szCs w:val="16"/>
                <w:lang w:val="en-GB"/>
              </w:rPr>
              <w:t>–</w:t>
            </w:r>
          </w:p>
        </w:tc>
      </w:tr>
      <w:tr w:rsidR="00B519CC" w:rsidRPr="00934626" w14:paraId="41BDB81F" w14:textId="77777777" w:rsidTr="00326180">
        <w:trPr>
          <w:trHeight w:val="402"/>
          <w:jc w:val="center"/>
        </w:trPr>
        <w:tc>
          <w:tcPr>
            <w:tcW w:w="1897" w:type="dxa"/>
            <w:tcBorders>
              <w:top w:val="single" w:sz="6" w:space="0" w:color="auto"/>
              <w:left w:val="single" w:sz="6" w:space="0" w:color="auto"/>
            </w:tcBorders>
          </w:tcPr>
          <w:p w14:paraId="4033B331" w14:textId="77777777" w:rsidR="008A75CA" w:rsidRPr="00934626" w:rsidRDefault="008A75CA" w:rsidP="00EE2745">
            <w:pPr>
              <w:spacing w:before="100" w:after="100" w:line="240" w:lineRule="auto"/>
              <w:jc w:val="center"/>
              <w:rPr>
                <w:rFonts w:ascii="Arial" w:hAnsi="Arial" w:cs="Arial"/>
                <w:b/>
                <w:sz w:val="16"/>
                <w:szCs w:val="16"/>
              </w:rPr>
            </w:pPr>
            <w:r w:rsidRPr="00934626">
              <w:rPr>
                <w:rFonts w:ascii="Arial" w:hAnsi="Arial" w:cs="Arial"/>
                <w:b/>
                <w:sz w:val="16"/>
              </w:rPr>
              <w:t>Virus isolation in cell culture</w:t>
            </w:r>
          </w:p>
        </w:tc>
        <w:tc>
          <w:tcPr>
            <w:tcW w:w="992" w:type="dxa"/>
            <w:tcBorders>
              <w:top w:val="single" w:sz="6" w:space="0" w:color="auto"/>
              <w:left w:val="single" w:sz="6" w:space="0" w:color="auto"/>
            </w:tcBorders>
            <w:vAlign w:val="center"/>
          </w:tcPr>
          <w:p w14:paraId="1A6E2E01" w14:textId="77777777" w:rsidR="008A75CA" w:rsidRPr="00934626" w:rsidRDefault="008A75CA" w:rsidP="00915358">
            <w:pPr>
              <w:pStyle w:val="Tabletext"/>
              <w:spacing w:before="100" w:after="100"/>
              <w:rPr>
                <w:sz w:val="16"/>
                <w:szCs w:val="16"/>
                <w:lang w:val="en-GB"/>
              </w:rPr>
            </w:pPr>
            <w:r w:rsidRPr="00934626">
              <w:rPr>
                <w:sz w:val="16"/>
                <w:szCs w:val="16"/>
                <w:lang w:val="en-GB"/>
              </w:rPr>
              <w:t>–</w:t>
            </w:r>
          </w:p>
        </w:tc>
        <w:tc>
          <w:tcPr>
            <w:tcW w:w="1391" w:type="dxa"/>
            <w:tcBorders>
              <w:top w:val="single" w:sz="6" w:space="0" w:color="auto"/>
              <w:left w:val="single" w:sz="6" w:space="0" w:color="auto"/>
            </w:tcBorders>
            <w:vAlign w:val="center"/>
          </w:tcPr>
          <w:p w14:paraId="0FE78F9E" w14:textId="77777777" w:rsidR="008A75CA" w:rsidRPr="00934626" w:rsidRDefault="008A75CA" w:rsidP="00EE2745">
            <w:pPr>
              <w:pStyle w:val="Tabletext"/>
              <w:spacing w:before="100" w:after="100"/>
              <w:rPr>
                <w:sz w:val="16"/>
                <w:szCs w:val="16"/>
                <w:lang w:val="en-GB"/>
              </w:rPr>
            </w:pPr>
            <w:r w:rsidRPr="00934626">
              <w:rPr>
                <w:sz w:val="16"/>
                <w:szCs w:val="16"/>
                <w:lang w:val="en-GB"/>
              </w:rPr>
              <w:t>–</w:t>
            </w:r>
          </w:p>
        </w:tc>
        <w:tc>
          <w:tcPr>
            <w:tcW w:w="1134" w:type="dxa"/>
            <w:tcBorders>
              <w:top w:val="single" w:sz="6" w:space="0" w:color="auto"/>
              <w:left w:val="single" w:sz="6" w:space="0" w:color="auto"/>
              <w:right w:val="single" w:sz="6" w:space="0" w:color="auto"/>
            </w:tcBorders>
            <w:vAlign w:val="center"/>
          </w:tcPr>
          <w:p w14:paraId="3CE6A03E" w14:textId="0DC94792" w:rsidR="008A75CA" w:rsidRPr="00934626" w:rsidRDefault="00326180" w:rsidP="00326180">
            <w:pPr>
              <w:pStyle w:val="Tabletext"/>
              <w:spacing w:before="100" w:after="100"/>
              <w:rPr>
                <w:i/>
                <w:sz w:val="16"/>
                <w:szCs w:val="16"/>
                <w:lang w:val="en-US"/>
              </w:rPr>
            </w:pPr>
            <w:r w:rsidRPr="00934626">
              <w:rPr>
                <w:i/>
                <w:sz w:val="16"/>
                <w:szCs w:val="16"/>
                <w:lang w:val="en-US"/>
              </w:rPr>
              <w:t>–</w:t>
            </w:r>
          </w:p>
        </w:tc>
        <w:tc>
          <w:tcPr>
            <w:tcW w:w="1160" w:type="dxa"/>
            <w:tcBorders>
              <w:top w:val="single" w:sz="6" w:space="0" w:color="auto"/>
              <w:left w:val="single" w:sz="6" w:space="0" w:color="auto"/>
            </w:tcBorders>
            <w:vAlign w:val="center"/>
          </w:tcPr>
          <w:p w14:paraId="417D5D2A" w14:textId="34FBD9FD" w:rsidR="008A75CA" w:rsidRPr="00934626" w:rsidRDefault="008A75CA" w:rsidP="00EE2745">
            <w:pPr>
              <w:pStyle w:val="Tabletext"/>
              <w:spacing w:before="100" w:after="100"/>
              <w:rPr>
                <w:sz w:val="16"/>
                <w:szCs w:val="16"/>
                <w:lang w:val="en-GB"/>
              </w:rPr>
            </w:pPr>
            <w:r w:rsidRPr="00934626">
              <w:rPr>
                <w:i/>
                <w:sz w:val="16"/>
                <w:szCs w:val="16"/>
                <w:lang w:val="en-US"/>
              </w:rPr>
              <w:t>++</w:t>
            </w:r>
          </w:p>
        </w:tc>
        <w:tc>
          <w:tcPr>
            <w:tcW w:w="1134" w:type="dxa"/>
            <w:tcBorders>
              <w:top w:val="single" w:sz="6" w:space="0" w:color="auto"/>
              <w:left w:val="single" w:sz="6" w:space="0" w:color="auto"/>
            </w:tcBorders>
            <w:vAlign w:val="center"/>
          </w:tcPr>
          <w:p w14:paraId="016BFA04" w14:textId="77777777" w:rsidR="008A75CA" w:rsidRPr="00934626" w:rsidRDefault="008A75CA" w:rsidP="00EE2745">
            <w:pPr>
              <w:pStyle w:val="Tabletext"/>
              <w:spacing w:before="100" w:after="100"/>
              <w:rPr>
                <w:sz w:val="16"/>
                <w:szCs w:val="16"/>
                <w:lang w:val="en-GB"/>
              </w:rPr>
            </w:pPr>
            <w:r w:rsidRPr="00934626">
              <w:rPr>
                <w:sz w:val="16"/>
                <w:szCs w:val="16"/>
                <w:lang w:val="en-GB"/>
              </w:rPr>
              <w:t>–</w:t>
            </w:r>
          </w:p>
        </w:tc>
        <w:tc>
          <w:tcPr>
            <w:tcW w:w="1701" w:type="dxa"/>
            <w:tcBorders>
              <w:top w:val="single" w:sz="6" w:space="0" w:color="auto"/>
              <w:left w:val="single" w:sz="6" w:space="0" w:color="auto"/>
              <w:bottom w:val="single" w:sz="6" w:space="0" w:color="auto"/>
              <w:right w:val="single" w:sz="6" w:space="0" w:color="auto"/>
            </w:tcBorders>
            <w:vAlign w:val="center"/>
          </w:tcPr>
          <w:p w14:paraId="26631231" w14:textId="77777777" w:rsidR="008A75CA" w:rsidRPr="00934626" w:rsidRDefault="008A75CA" w:rsidP="00EE2745">
            <w:pPr>
              <w:pStyle w:val="Tabletext"/>
              <w:spacing w:before="100" w:after="100"/>
              <w:rPr>
                <w:sz w:val="16"/>
                <w:szCs w:val="16"/>
                <w:lang w:val="en-GB"/>
              </w:rPr>
            </w:pPr>
            <w:r w:rsidRPr="00934626">
              <w:rPr>
                <w:sz w:val="16"/>
                <w:szCs w:val="16"/>
                <w:lang w:val="en-GB"/>
              </w:rPr>
              <w:t>–</w:t>
            </w:r>
          </w:p>
        </w:tc>
      </w:tr>
      <w:tr w:rsidR="00B519CC" w:rsidRPr="00934626" w14:paraId="0DF82ED8" w14:textId="77777777" w:rsidTr="00326180">
        <w:trPr>
          <w:trHeight w:val="402"/>
          <w:jc w:val="center"/>
        </w:trPr>
        <w:tc>
          <w:tcPr>
            <w:tcW w:w="1897" w:type="dxa"/>
            <w:tcBorders>
              <w:top w:val="single" w:sz="6" w:space="0" w:color="auto"/>
              <w:left w:val="single" w:sz="6" w:space="0" w:color="auto"/>
              <w:bottom w:val="single" w:sz="6" w:space="0" w:color="auto"/>
            </w:tcBorders>
            <w:vAlign w:val="center"/>
          </w:tcPr>
          <w:p w14:paraId="264D45D5" w14:textId="5B07F4F7" w:rsidR="008A75CA" w:rsidRPr="00934626" w:rsidRDefault="008A75CA" w:rsidP="00393CCA">
            <w:pPr>
              <w:spacing w:before="120" w:after="120" w:line="240" w:lineRule="auto"/>
              <w:jc w:val="center"/>
              <w:rPr>
                <w:rFonts w:ascii="Arial" w:hAnsi="Arial" w:cs="Arial"/>
                <w:b/>
                <w:sz w:val="16"/>
                <w:szCs w:val="16"/>
              </w:rPr>
            </w:pPr>
            <w:r w:rsidRPr="00934626">
              <w:rPr>
                <w:rFonts w:ascii="Arial" w:hAnsi="Arial" w:cs="Arial"/>
                <w:b/>
                <w:sz w:val="16"/>
                <w:szCs w:val="16"/>
              </w:rPr>
              <w:t>Immunocapture ELISA</w:t>
            </w:r>
          </w:p>
        </w:tc>
        <w:tc>
          <w:tcPr>
            <w:tcW w:w="992" w:type="dxa"/>
            <w:tcBorders>
              <w:top w:val="single" w:sz="6" w:space="0" w:color="auto"/>
              <w:left w:val="single" w:sz="6" w:space="0" w:color="auto"/>
              <w:bottom w:val="single" w:sz="6" w:space="0" w:color="auto"/>
            </w:tcBorders>
            <w:vAlign w:val="center"/>
          </w:tcPr>
          <w:p w14:paraId="7D7CBFF6" w14:textId="449BD627" w:rsidR="008A75CA" w:rsidRPr="00934626" w:rsidRDefault="008A75CA" w:rsidP="0047582A">
            <w:pPr>
              <w:pStyle w:val="Tabletext"/>
              <w:rPr>
                <w:strike/>
                <w:sz w:val="16"/>
                <w:szCs w:val="16"/>
                <w:lang w:val="en-GB"/>
              </w:rPr>
            </w:pPr>
          </w:p>
        </w:tc>
        <w:tc>
          <w:tcPr>
            <w:tcW w:w="1391" w:type="dxa"/>
            <w:tcBorders>
              <w:top w:val="single" w:sz="6" w:space="0" w:color="auto"/>
              <w:left w:val="single" w:sz="6" w:space="0" w:color="auto"/>
              <w:bottom w:val="single" w:sz="6" w:space="0" w:color="auto"/>
            </w:tcBorders>
            <w:vAlign w:val="center"/>
          </w:tcPr>
          <w:p w14:paraId="35DD3A6D" w14:textId="3E4BD64C" w:rsidR="008A75CA" w:rsidRPr="00934626" w:rsidRDefault="00946AEB" w:rsidP="00D65CF0">
            <w:pPr>
              <w:pStyle w:val="Tabletext"/>
              <w:rPr>
                <w:strike/>
                <w:sz w:val="16"/>
                <w:szCs w:val="16"/>
                <w:lang w:val="en-GB"/>
              </w:rPr>
            </w:pPr>
            <w:r w:rsidRPr="00934626">
              <w:rPr>
                <w:i/>
                <w:sz w:val="16"/>
                <w:szCs w:val="16"/>
                <w:lang w:val="en-US"/>
              </w:rPr>
              <w:t>+</w:t>
            </w:r>
          </w:p>
        </w:tc>
        <w:tc>
          <w:tcPr>
            <w:tcW w:w="1134" w:type="dxa"/>
            <w:tcBorders>
              <w:top w:val="single" w:sz="6" w:space="0" w:color="auto"/>
              <w:left w:val="single" w:sz="6" w:space="0" w:color="auto"/>
              <w:bottom w:val="single" w:sz="6" w:space="0" w:color="auto"/>
              <w:right w:val="single" w:sz="6" w:space="0" w:color="auto"/>
            </w:tcBorders>
            <w:vAlign w:val="center"/>
          </w:tcPr>
          <w:p w14:paraId="306998B1" w14:textId="6A6E41F1" w:rsidR="008A75CA" w:rsidRPr="00934626" w:rsidRDefault="00326180" w:rsidP="00326180">
            <w:pPr>
              <w:pStyle w:val="Tabletext"/>
              <w:rPr>
                <w:sz w:val="16"/>
                <w:szCs w:val="16"/>
                <w:lang w:val="en-GB"/>
              </w:rPr>
            </w:pPr>
            <w:r w:rsidRPr="00934626">
              <w:rPr>
                <w:sz w:val="16"/>
                <w:szCs w:val="16"/>
                <w:lang w:val="en-GB"/>
              </w:rPr>
              <w:t>++</w:t>
            </w:r>
          </w:p>
        </w:tc>
        <w:tc>
          <w:tcPr>
            <w:tcW w:w="1160" w:type="dxa"/>
            <w:tcBorders>
              <w:top w:val="single" w:sz="6" w:space="0" w:color="auto"/>
              <w:left w:val="single" w:sz="6" w:space="0" w:color="auto"/>
              <w:bottom w:val="single" w:sz="6" w:space="0" w:color="auto"/>
            </w:tcBorders>
            <w:vAlign w:val="center"/>
          </w:tcPr>
          <w:p w14:paraId="03173D65" w14:textId="04EAC9C9" w:rsidR="008A75CA" w:rsidRPr="00934626" w:rsidRDefault="00946AEB" w:rsidP="00D65CF0">
            <w:pPr>
              <w:pStyle w:val="Tabletext"/>
              <w:rPr>
                <w:strike/>
                <w:sz w:val="16"/>
                <w:szCs w:val="16"/>
                <w:lang w:val="en-GB"/>
              </w:rPr>
            </w:pPr>
            <w:r w:rsidRPr="00934626">
              <w:rPr>
                <w:i/>
                <w:sz w:val="16"/>
                <w:szCs w:val="16"/>
                <w:lang w:val="en-US"/>
              </w:rPr>
              <w:t>+++</w:t>
            </w:r>
          </w:p>
        </w:tc>
        <w:tc>
          <w:tcPr>
            <w:tcW w:w="1134" w:type="dxa"/>
            <w:tcBorders>
              <w:top w:val="single" w:sz="6" w:space="0" w:color="auto"/>
              <w:left w:val="single" w:sz="6" w:space="0" w:color="auto"/>
              <w:bottom w:val="single" w:sz="6" w:space="0" w:color="auto"/>
            </w:tcBorders>
            <w:vAlign w:val="center"/>
          </w:tcPr>
          <w:p w14:paraId="2D9AFE58" w14:textId="6F435397" w:rsidR="008A75CA" w:rsidRPr="00934626" w:rsidRDefault="008A75CA" w:rsidP="006F1CC8">
            <w:pPr>
              <w:pStyle w:val="Tabletext"/>
              <w:rPr>
                <w:sz w:val="16"/>
                <w:szCs w:val="16"/>
                <w:lang w:val="en-GB"/>
              </w:rPr>
            </w:pPr>
            <w:r w:rsidRPr="00934626">
              <w:rPr>
                <w:i/>
                <w:sz w:val="16"/>
                <w:szCs w:val="16"/>
                <w:lang w:val="en-US"/>
              </w:rPr>
              <w:t>+</w:t>
            </w:r>
          </w:p>
        </w:tc>
        <w:tc>
          <w:tcPr>
            <w:tcW w:w="1701" w:type="dxa"/>
            <w:tcBorders>
              <w:top w:val="single" w:sz="6" w:space="0" w:color="auto"/>
              <w:left w:val="single" w:sz="6" w:space="0" w:color="auto"/>
              <w:bottom w:val="single" w:sz="6" w:space="0" w:color="auto"/>
              <w:right w:val="single" w:sz="6" w:space="0" w:color="auto"/>
            </w:tcBorders>
            <w:vAlign w:val="center"/>
          </w:tcPr>
          <w:p w14:paraId="2E1C47B8" w14:textId="567F5DEE" w:rsidR="008A75CA" w:rsidRPr="00934626" w:rsidRDefault="00946AEB" w:rsidP="00D65CF0">
            <w:pPr>
              <w:pStyle w:val="Tabletext"/>
              <w:rPr>
                <w:sz w:val="16"/>
                <w:szCs w:val="16"/>
                <w:lang w:val="en-GB"/>
              </w:rPr>
            </w:pPr>
            <w:r w:rsidRPr="00934626">
              <w:rPr>
                <w:sz w:val="16"/>
                <w:szCs w:val="16"/>
                <w:lang w:val="en-US"/>
              </w:rPr>
              <w:t>–</w:t>
            </w:r>
          </w:p>
        </w:tc>
      </w:tr>
      <w:tr w:rsidR="00B519CC" w:rsidRPr="00934626" w14:paraId="5DC20AE9" w14:textId="77777777" w:rsidTr="00326180">
        <w:trPr>
          <w:trHeight w:val="402"/>
          <w:jc w:val="center"/>
        </w:trPr>
        <w:tc>
          <w:tcPr>
            <w:tcW w:w="1897" w:type="dxa"/>
            <w:tcBorders>
              <w:top w:val="single" w:sz="6" w:space="0" w:color="auto"/>
              <w:left w:val="single" w:sz="6" w:space="0" w:color="auto"/>
              <w:bottom w:val="single" w:sz="6" w:space="0" w:color="auto"/>
            </w:tcBorders>
            <w:vAlign w:val="center"/>
          </w:tcPr>
          <w:p w14:paraId="0529D583" w14:textId="77777777" w:rsidR="008A75CA" w:rsidRPr="00934626" w:rsidRDefault="008A75CA" w:rsidP="00D65CF0">
            <w:pPr>
              <w:spacing w:before="120" w:after="120" w:line="240" w:lineRule="auto"/>
              <w:jc w:val="center"/>
              <w:rPr>
                <w:rFonts w:ascii="Arial" w:hAnsi="Arial" w:cs="Arial"/>
                <w:b/>
                <w:sz w:val="16"/>
                <w:szCs w:val="16"/>
              </w:rPr>
            </w:pPr>
            <w:proofErr w:type="spellStart"/>
            <w:r w:rsidRPr="00934626">
              <w:rPr>
                <w:rFonts w:ascii="Arial" w:hAnsi="Arial" w:cs="Arial"/>
                <w:b/>
                <w:sz w:val="16"/>
                <w:szCs w:val="16"/>
              </w:rPr>
              <w:t>Penside</w:t>
            </w:r>
            <w:proofErr w:type="spellEnd"/>
            <w:r w:rsidRPr="00934626">
              <w:rPr>
                <w:rFonts w:ascii="Arial" w:hAnsi="Arial" w:cs="Arial"/>
                <w:b/>
                <w:sz w:val="16"/>
                <w:szCs w:val="16"/>
              </w:rPr>
              <w:t xml:space="preserve"> test (LFD)</w:t>
            </w:r>
          </w:p>
        </w:tc>
        <w:tc>
          <w:tcPr>
            <w:tcW w:w="992" w:type="dxa"/>
            <w:tcBorders>
              <w:top w:val="single" w:sz="6" w:space="0" w:color="auto"/>
              <w:left w:val="single" w:sz="6" w:space="0" w:color="auto"/>
              <w:bottom w:val="single" w:sz="6" w:space="0" w:color="auto"/>
            </w:tcBorders>
            <w:vAlign w:val="center"/>
          </w:tcPr>
          <w:p w14:paraId="30F0A92E" w14:textId="77777777" w:rsidR="008A75CA" w:rsidRPr="00934626" w:rsidRDefault="008A75CA" w:rsidP="00915358">
            <w:pPr>
              <w:pStyle w:val="Tabletext"/>
              <w:rPr>
                <w:sz w:val="16"/>
                <w:szCs w:val="16"/>
                <w:lang w:val="en-US"/>
              </w:rPr>
            </w:pPr>
            <w:r w:rsidRPr="00934626">
              <w:rPr>
                <w:sz w:val="16"/>
                <w:szCs w:val="16"/>
                <w:lang w:val="en-US"/>
              </w:rPr>
              <w:t>–</w:t>
            </w:r>
          </w:p>
        </w:tc>
        <w:tc>
          <w:tcPr>
            <w:tcW w:w="1391" w:type="dxa"/>
            <w:tcBorders>
              <w:top w:val="single" w:sz="6" w:space="0" w:color="auto"/>
              <w:left w:val="single" w:sz="6" w:space="0" w:color="auto"/>
              <w:bottom w:val="single" w:sz="6" w:space="0" w:color="auto"/>
            </w:tcBorders>
            <w:vAlign w:val="center"/>
          </w:tcPr>
          <w:p w14:paraId="1B971218" w14:textId="1BD3E457" w:rsidR="008A75CA" w:rsidRPr="00934626" w:rsidRDefault="008C060E" w:rsidP="008C060E">
            <w:pPr>
              <w:pStyle w:val="Tabletext"/>
              <w:rPr>
                <w:sz w:val="16"/>
                <w:szCs w:val="16"/>
                <w:lang w:val="en-US"/>
              </w:rPr>
            </w:pPr>
            <w:r w:rsidRPr="00934626">
              <w:rPr>
                <w:i/>
                <w:sz w:val="16"/>
                <w:szCs w:val="16"/>
                <w:lang w:val="en-US"/>
              </w:rPr>
              <w:t>–</w:t>
            </w:r>
          </w:p>
        </w:tc>
        <w:tc>
          <w:tcPr>
            <w:tcW w:w="1134" w:type="dxa"/>
            <w:tcBorders>
              <w:top w:val="single" w:sz="6" w:space="0" w:color="auto"/>
              <w:left w:val="single" w:sz="6" w:space="0" w:color="auto"/>
              <w:bottom w:val="single" w:sz="6" w:space="0" w:color="auto"/>
              <w:right w:val="single" w:sz="6" w:space="0" w:color="auto"/>
            </w:tcBorders>
            <w:vAlign w:val="center"/>
          </w:tcPr>
          <w:p w14:paraId="2EE34438" w14:textId="2AEBA5EA" w:rsidR="008A75CA" w:rsidRPr="00934626" w:rsidRDefault="00326180" w:rsidP="00326180">
            <w:pPr>
              <w:pStyle w:val="Tabletext"/>
              <w:rPr>
                <w:sz w:val="16"/>
                <w:szCs w:val="16"/>
                <w:lang w:val="en-GB"/>
              </w:rPr>
            </w:pPr>
            <w:r w:rsidRPr="00934626">
              <w:rPr>
                <w:sz w:val="16"/>
                <w:szCs w:val="16"/>
                <w:lang w:val="en-GB"/>
              </w:rPr>
              <w:t>++</w:t>
            </w:r>
          </w:p>
        </w:tc>
        <w:tc>
          <w:tcPr>
            <w:tcW w:w="1160" w:type="dxa"/>
            <w:tcBorders>
              <w:top w:val="single" w:sz="6" w:space="0" w:color="auto"/>
              <w:left w:val="single" w:sz="6" w:space="0" w:color="auto"/>
              <w:bottom w:val="single" w:sz="6" w:space="0" w:color="auto"/>
            </w:tcBorders>
            <w:vAlign w:val="center"/>
          </w:tcPr>
          <w:p w14:paraId="0D9DE808" w14:textId="2D48C05A" w:rsidR="008A75CA" w:rsidRPr="00934626" w:rsidRDefault="008C060E" w:rsidP="00D65CF0">
            <w:pPr>
              <w:pStyle w:val="Tabletext"/>
              <w:rPr>
                <w:sz w:val="16"/>
                <w:szCs w:val="16"/>
                <w:lang w:val="en-GB"/>
              </w:rPr>
            </w:pPr>
            <w:r w:rsidRPr="00934626">
              <w:rPr>
                <w:sz w:val="16"/>
                <w:szCs w:val="16"/>
                <w:lang w:val="en-GB"/>
              </w:rPr>
              <w:t>++</w:t>
            </w:r>
          </w:p>
        </w:tc>
        <w:tc>
          <w:tcPr>
            <w:tcW w:w="1134" w:type="dxa"/>
            <w:tcBorders>
              <w:top w:val="single" w:sz="6" w:space="0" w:color="auto"/>
              <w:left w:val="single" w:sz="6" w:space="0" w:color="auto"/>
              <w:bottom w:val="single" w:sz="6" w:space="0" w:color="auto"/>
            </w:tcBorders>
            <w:vAlign w:val="center"/>
          </w:tcPr>
          <w:p w14:paraId="7DDB2F0E" w14:textId="77777777" w:rsidR="008A75CA" w:rsidRPr="00934626" w:rsidRDefault="008A75CA" w:rsidP="00D65CF0">
            <w:pPr>
              <w:pStyle w:val="Tabletext"/>
              <w:rPr>
                <w:sz w:val="16"/>
                <w:szCs w:val="16"/>
                <w:lang w:val="en-US"/>
              </w:rPr>
            </w:pPr>
            <w:r w:rsidRPr="00934626">
              <w:rPr>
                <w:sz w:val="16"/>
                <w:szCs w:val="16"/>
                <w:lang w:val="en-US"/>
              </w:rPr>
              <w:t>–</w:t>
            </w:r>
          </w:p>
        </w:tc>
        <w:tc>
          <w:tcPr>
            <w:tcW w:w="1701" w:type="dxa"/>
            <w:tcBorders>
              <w:top w:val="single" w:sz="6" w:space="0" w:color="auto"/>
              <w:left w:val="single" w:sz="6" w:space="0" w:color="auto"/>
              <w:bottom w:val="single" w:sz="6" w:space="0" w:color="auto"/>
              <w:right w:val="single" w:sz="6" w:space="0" w:color="auto"/>
            </w:tcBorders>
            <w:vAlign w:val="center"/>
          </w:tcPr>
          <w:p w14:paraId="5CA9161C" w14:textId="77777777" w:rsidR="008A75CA" w:rsidRPr="00934626" w:rsidRDefault="008A75CA" w:rsidP="00D65CF0">
            <w:pPr>
              <w:pStyle w:val="Tabletext"/>
              <w:rPr>
                <w:sz w:val="16"/>
                <w:szCs w:val="16"/>
                <w:lang w:val="en-GB"/>
              </w:rPr>
            </w:pPr>
            <w:r w:rsidRPr="00934626">
              <w:rPr>
                <w:sz w:val="16"/>
                <w:szCs w:val="16"/>
                <w:lang w:val="en-GB"/>
              </w:rPr>
              <w:t>–</w:t>
            </w:r>
          </w:p>
        </w:tc>
      </w:tr>
      <w:tr w:rsidR="00B519CC" w:rsidRPr="00934626" w14:paraId="49C931CB" w14:textId="77777777" w:rsidTr="00A25546">
        <w:trPr>
          <w:trHeight w:val="402"/>
          <w:jc w:val="center"/>
        </w:trPr>
        <w:tc>
          <w:tcPr>
            <w:tcW w:w="1897" w:type="dxa"/>
            <w:tcBorders>
              <w:top w:val="single" w:sz="6" w:space="0" w:color="auto"/>
              <w:left w:val="single" w:sz="6" w:space="0" w:color="auto"/>
              <w:bottom w:val="single" w:sz="6" w:space="0" w:color="auto"/>
            </w:tcBorders>
          </w:tcPr>
          <w:p w14:paraId="1A7B31E7" w14:textId="408B1D92" w:rsidR="00075EE9" w:rsidRPr="00934626" w:rsidRDefault="00075EE9" w:rsidP="00D65CF0">
            <w:pPr>
              <w:spacing w:before="120" w:after="120" w:line="240" w:lineRule="auto"/>
              <w:jc w:val="center"/>
              <w:rPr>
                <w:rFonts w:ascii="Arial" w:hAnsi="Arial" w:cs="Arial"/>
                <w:b/>
                <w:sz w:val="16"/>
                <w:szCs w:val="16"/>
              </w:rPr>
            </w:pPr>
            <w:r w:rsidRPr="00934626">
              <w:rPr>
                <w:rFonts w:ascii="Arial" w:hAnsi="Arial" w:cs="Arial"/>
                <w:b/>
                <w:sz w:val="16"/>
              </w:rPr>
              <w:t>AGID</w:t>
            </w:r>
          </w:p>
        </w:tc>
        <w:tc>
          <w:tcPr>
            <w:tcW w:w="992" w:type="dxa"/>
            <w:tcBorders>
              <w:top w:val="single" w:sz="6" w:space="0" w:color="auto"/>
              <w:left w:val="single" w:sz="6" w:space="0" w:color="auto"/>
              <w:bottom w:val="single" w:sz="6" w:space="0" w:color="auto"/>
            </w:tcBorders>
            <w:vAlign w:val="center"/>
          </w:tcPr>
          <w:p w14:paraId="03363759" w14:textId="22C303A5" w:rsidR="00075EE9" w:rsidRPr="00934626" w:rsidRDefault="00075EE9" w:rsidP="00915358">
            <w:pPr>
              <w:pStyle w:val="Tabletext"/>
              <w:rPr>
                <w:sz w:val="16"/>
                <w:szCs w:val="16"/>
                <w:lang w:val="en-US"/>
              </w:rPr>
            </w:pPr>
            <w:r w:rsidRPr="00934626">
              <w:rPr>
                <w:sz w:val="16"/>
                <w:szCs w:val="16"/>
                <w:lang w:val="en-GB"/>
              </w:rPr>
              <w:t>–</w:t>
            </w:r>
          </w:p>
        </w:tc>
        <w:tc>
          <w:tcPr>
            <w:tcW w:w="1391" w:type="dxa"/>
            <w:tcBorders>
              <w:top w:val="single" w:sz="6" w:space="0" w:color="auto"/>
              <w:left w:val="single" w:sz="6" w:space="0" w:color="auto"/>
              <w:bottom w:val="single" w:sz="6" w:space="0" w:color="auto"/>
            </w:tcBorders>
            <w:vAlign w:val="center"/>
          </w:tcPr>
          <w:p w14:paraId="51F60F4C" w14:textId="2E6F9E45" w:rsidR="00075EE9" w:rsidRPr="00934626" w:rsidRDefault="00075EE9" w:rsidP="00D65CF0">
            <w:pPr>
              <w:pStyle w:val="Tabletext"/>
              <w:rPr>
                <w:sz w:val="16"/>
                <w:szCs w:val="16"/>
                <w:lang w:val="en-US"/>
              </w:rPr>
            </w:pPr>
            <w:r w:rsidRPr="00934626">
              <w:rPr>
                <w:sz w:val="16"/>
                <w:szCs w:val="16"/>
                <w:lang w:val="en-GB"/>
              </w:rPr>
              <w:t>–</w:t>
            </w:r>
          </w:p>
        </w:tc>
        <w:tc>
          <w:tcPr>
            <w:tcW w:w="1134" w:type="dxa"/>
            <w:tcBorders>
              <w:top w:val="single" w:sz="6" w:space="0" w:color="auto"/>
              <w:left w:val="single" w:sz="6" w:space="0" w:color="auto"/>
              <w:bottom w:val="single" w:sz="6" w:space="0" w:color="auto"/>
              <w:right w:val="single" w:sz="6" w:space="0" w:color="auto"/>
            </w:tcBorders>
            <w:vAlign w:val="center"/>
          </w:tcPr>
          <w:p w14:paraId="67B5B8C4" w14:textId="0B1781EE" w:rsidR="00075EE9" w:rsidRPr="00934626" w:rsidRDefault="00075EE9" w:rsidP="00326180">
            <w:pPr>
              <w:pStyle w:val="Tabletext"/>
              <w:rPr>
                <w:sz w:val="16"/>
                <w:szCs w:val="16"/>
                <w:lang w:val="en-GB"/>
              </w:rPr>
            </w:pPr>
            <w:r w:rsidRPr="00934626">
              <w:rPr>
                <w:i/>
                <w:sz w:val="16"/>
                <w:szCs w:val="16"/>
                <w:lang w:val="en-US"/>
              </w:rPr>
              <w:t>+</w:t>
            </w:r>
          </w:p>
        </w:tc>
        <w:tc>
          <w:tcPr>
            <w:tcW w:w="1160" w:type="dxa"/>
            <w:tcBorders>
              <w:top w:val="single" w:sz="6" w:space="0" w:color="auto"/>
              <w:left w:val="single" w:sz="6" w:space="0" w:color="auto"/>
              <w:bottom w:val="single" w:sz="6" w:space="0" w:color="auto"/>
            </w:tcBorders>
            <w:vAlign w:val="center"/>
          </w:tcPr>
          <w:p w14:paraId="417E2619" w14:textId="1FE0382B" w:rsidR="00075EE9" w:rsidRPr="00934626" w:rsidRDefault="00075EE9" w:rsidP="00D65CF0">
            <w:pPr>
              <w:pStyle w:val="Tabletext"/>
              <w:rPr>
                <w:sz w:val="16"/>
                <w:szCs w:val="16"/>
                <w:lang w:val="en-GB"/>
              </w:rPr>
            </w:pPr>
            <w:r w:rsidRPr="00934626">
              <w:rPr>
                <w:i/>
                <w:sz w:val="16"/>
                <w:szCs w:val="16"/>
                <w:lang w:val="en-US"/>
              </w:rPr>
              <w:t>+</w:t>
            </w:r>
          </w:p>
        </w:tc>
        <w:tc>
          <w:tcPr>
            <w:tcW w:w="1134" w:type="dxa"/>
            <w:tcBorders>
              <w:top w:val="single" w:sz="6" w:space="0" w:color="auto"/>
              <w:left w:val="single" w:sz="6" w:space="0" w:color="auto"/>
              <w:bottom w:val="single" w:sz="6" w:space="0" w:color="auto"/>
            </w:tcBorders>
            <w:vAlign w:val="center"/>
          </w:tcPr>
          <w:p w14:paraId="1F886054" w14:textId="77D77FA4" w:rsidR="00075EE9" w:rsidRPr="00934626" w:rsidRDefault="00075EE9" w:rsidP="00D65CF0">
            <w:pPr>
              <w:pStyle w:val="Tabletext"/>
              <w:rPr>
                <w:sz w:val="16"/>
                <w:szCs w:val="16"/>
                <w:lang w:val="en-US"/>
              </w:rPr>
            </w:pPr>
            <w:r w:rsidRPr="00934626">
              <w:rPr>
                <w:sz w:val="16"/>
                <w:szCs w:val="16"/>
                <w:lang w:val="en-GB"/>
              </w:rPr>
              <w:t>–</w:t>
            </w:r>
          </w:p>
        </w:tc>
        <w:tc>
          <w:tcPr>
            <w:tcW w:w="1701" w:type="dxa"/>
            <w:tcBorders>
              <w:top w:val="single" w:sz="6" w:space="0" w:color="auto"/>
              <w:left w:val="single" w:sz="6" w:space="0" w:color="auto"/>
              <w:bottom w:val="single" w:sz="6" w:space="0" w:color="auto"/>
              <w:right w:val="single" w:sz="6" w:space="0" w:color="auto"/>
            </w:tcBorders>
          </w:tcPr>
          <w:p w14:paraId="4DE448C9" w14:textId="15669A04" w:rsidR="00075EE9" w:rsidRPr="00934626" w:rsidRDefault="00946AEB" w:rsidP="00D65CF0">
            <w:pPr>
              <w:pStyle w:val="Tabletext"/>
              <w:rPr>
                <w:sz w:val="16"/>
                <w:szCs w:val="16"/>
                <w:lang w:val="en-GB"/>
              </w:rPr>
            </w:pPr>
            <w:r w:rsidRPr="00934626">
              <w:rPr>
                <w:sz w:val="16"/>
                <w:szCs w:val="16"/>
              </w:rPr>
              <w:t>–</w:t>
            </w:r>
          </w:p>
        </w:tc>
      </w:tr>
      <w:tr w:rsidR="00B519CC" w:rsidRPr="00934626" w14:paraId="6DBC3C1A" w14:textId="77777777" w:rsidTr="00A25546">
        <w:trPr>
          <w:trHeight w:val="402"/>
          <w:jc w:val="center"/>
        </w:trPr>
        <w:tc>
          <w:tcPr>
            <w:tcW w:w="1897" w:type="dxa"/>
            <w:tcBorders>
              <w:top w:val="single" w:sz="6" w:space="0" w:color="auto"/>
              <w:left w:val="single" w:sz="6" w:space="0" w:color="auto"/>
              <w:bottom w:val="single" w:sz="6" w:space="0" w:color="auto"/>
            </w:tcBorders>
          </w:tcPr>
          <w:p w14:paraId="08224839" w14:textId="7D624AC8" w:rsidR="00075EE9" w:rsidRPr="00934626" w:rsidRDefault="00075EE9" w:rsidP="00D65CF0">
            <w:pPr>
              <w:spacing w:before="120" w:after="120" w:line="240" w:lineRule="auto"/>
              <w:jc w:val="center"/>
              <w:rPr>
                <w:rFonts w:ascii="Arial" w:hAnsi="Arial" w:cs="Arial"/>
                <w:b/>
                <w:sz w:val="16"/>
                <w:szCs w:val="16"/>
              </w:rPr>
            </w:pPr>
            <w:r w:rsidRPr="00934626">
              <w:rPr>
                <w:rFonts w:ascii="Arial" w:hAnsi="Arial" w:cs="Arial"/>
                <w:b/>
                <w:sz w:val="16"/>
              </w:rPr>
              <w:t>Counter immune-electrophoresis</w:t>
            </w:r>
          </w:p>
        </w:tc>
        <w:tc>
          <w:tcPr>
            <w:tcW w:w="992" w:type="dxa"/>
            <w:tcBorders>
              <w:top w:val="single" w:sz="6" w:space="0" w:color="auto"/>
              <w:left w:val="single" w:sz="6" w:space="0" w:color="auto"/>
              <w:bottom w:val="single" w:sz="6" w:space="0" w:color="auto"/>
            </w:tcBorders>
            <w:vAlign w:val="center"/>
          </w:tcPr>
          <w:p w14:paraId="26396AAE" w14:textId="3EDBDBFC" w:rsidR="00075EE9" w:rsidRPr="00934626" w:rsidRDefault="00075EE9" w:rsidP="00915358">
            <w:pPr>
              <w:pStyle w:val="Tabletext"/>
              <w:rPr>
                <w:sz w:val="16"/>
                <w:szCs w:val="16"/>
                <w:lang w:val="en-US"/>
              </w:rPr>
            </w:pPr>
            <w:r w:rsidRPr="00934626">
              <w:rPr>
                <w:sz w:val="16"/>
                <w:szCs w:val="16"/>
                <w:lang w:val="en-GB"/>
              </w:rPr>
              <w:t>–</w:t>
            </w:r>
          </w:p>
        </w:tc>
        <w:tc>
          <w:tcPr>
            <w:tcW w:w="1391" w:type="dxa"/>
            <w:tcBorders>
              <w:top w:val="single" w:sz="6" w:space="0" w:color="auto"/>
              <w:left w:val="single" w:sz="6" w:space="0" w:color="auto"/>
              <w:bottom w:val="single" w:sz="6" w:space="0" w:color="auto"/>
            </w:tcBorders>
            <w:vAlign w:val="center"/>
          </w:tcPr>
          <w:p w14:paraId="03BE62FE" w14:textId="139319A8" w:rsidR="00075EE9" w:rsidRPr="00934626" w:rsidRDefault="00075EE9" w:rsidP="00D65CF0">
            <w:pPr>
              <w:pStyle w:val="Tabletext"/>
              <w:rPr>
                <w:sz w:val="16"/>
                <w:szCs w:val="16"/>
                <w:lang w:val="en-US"/>
              </w:rPr>
            </w:pPr>
            <w:r w:rsidRPr="00934626">
              <w:rPr>
                <w:sz w:val="16"/>
                <w:szCs w:val="16"/>
                <w:lang w:val="en-GB"/>
              </w:rPr>
              <w:t>–</w:t>
            </w:r>
          </w:p>
        </w:tc>
        <w:tc>
          <w:tcPr>
            <w:tcW w:w="1134" w:type="dxa"/>
            <w:tcBorders>
              <w:top w:val="single" w:sz="6" w:space="0" w:color="auto"/>
              <w:left w:val="single" w:sz="6" w:space="0" w:color="auto"/>
              <w:bottom w:val="single" w:sz="6" w:space="0" w:color="auto"/>
              <w:right w:val="single" w:sz="6" w:space="0" w:color="auto"/>
            </w:tcBorders>
            <w:vAlign w:val="center"/>
          </w:tcPr>
          <w:p w14:paraId="39E84C37" w14:textId="0D4C03F9" w:rsidR="00075EE9" w:rsidRPr="00934626" w:rsidRDefault="00075EE9" w:rsidP="00326180">
            <w:pPr>
              <w:pStyle w:val="Tabletext"/>
              <w:rPr>
                <w:sz w:val="16"/>
                <w:szCs w:val="16"/>
                <w:lang w:val="en-GB"/>
              </w:rPr>
            </w:pPr>
            <w:r w:rsidRPr="00934626">
              <w:rPr>
                <w:i/>
                <w:sz w:val="16"/>
                <w:szCs w:val="16"/>
                <w:lang w:val="en-US"/>
              </w:rPr>
              <w:t>–</w:t>
            </w:r>
          </w:p>
        </w:tc>
        <w:tc>
          <w:tcPr>
            <w:tcW w:w="1160" w:type="dxa"/>
            <w:tcBorders>
              <w:top w:val="single" w:sz="6" w:space="0" w:color="auto"/>
              <w:left w:val="single" w:sz="6" w:space="0" w:color="auto"/>
              <w:bottom w:val="single" w:sz="6" w:space="0" w:color="auto"/>
            </w:tcBorders>
            <w:vAlign w:val="center"/>
          </w:tcPr>
          <w:p w14:paraId="1FC0BEB0" w14:textId="384114F0" w:rsidR="00075EE9" w:rsidRPr="00934626" w:rsidRDefault="00075EE9" w:rsidP="00D65CF0">
            <w:pPr>
              <w:pStyle w:val="Tabletext"/>
              <w:rPr>
                <w:sz w:val="16"/>
                <w:szCs w:val="16"/>
                <w:lang w:val="en-GB"/>
              </w:rPr>
            </w:pPr>
            <w:r w:rsidRPr="00934626">
              <w:rPr>
                <w:i/>
                <w:sz w:val="16"/>
                <w:szCs w:val="16"/>
                <w:lang w:val="en-US"/>
              </w:rPr>
              <w:t>+</w:t>
            </w:r>
          </w:p>
        </w:tc>
        <w:tc>
          <w:tcPr>
            <w:tcW w:w="1134" w:type="dxa"/>
            <w:tcBorders>
              <w:top w:val="single" w:sz="6" w:space="0" w:color="auto"/>
              <w:left w:val="single" w:sz="6" w:space="0" w:color="auto"/>
              <w:bottom w:val="single" w:sz="6" w:space="0" w:color="auto"/>
            </w:tcBorders>
            <w:vAlign w:val="center"/>
          </w:tcPr>
          <w:p w14:paraId="40601E35" w14:textId="33CD1ED8" w:rsidR="00075EE9" w:rsidRPr="00934626" w:rsidRDefault="00075EE9" w:rsidP="00D65CF0">
            <w:pPr>
              <w:pStyle w:val="Tabletext"/>
              <w:rPr>
                <w:sz w:val="16"/>
                <w:szCs w:val="16"/>
                <w:lang w:val="en-US"/>
              </w:rPr>
            </w:pPr>
            <w:r w:rsidRPr="00934626">
              <w:rPr>
                <w:sz w:val="16"/>
                <w:szCs w:val="16"/>
                <w:lang w:val="en-GB"/>
              </w:rPr>
              <w:t>–</w:t>
            </w:r>
          </w:p>
        </w:tc>
        <w:tc>
          <w:tcPr>
            <w:tcW w:w="1701" w:type="dxa"/>
            <w:tcBorders>
              <w:top w:val="single" w:sz="6" w:space="0" w:color="auto"/>
              <w:left w:val="single" w:sz="6" w:space="0" w:color="auto"/>
              <w:bottom w:val="single" w:sz="6" w:space="0" w:color="auto"/>
              <w:right w:val="single" w:sz="6" w:space="0" w:color="auto"/>
            </w:tcBorders>
            <w:vAlign w:val="center"/>
          </w:tcPr>
          <w:p w14:paraId="4273C0E7" w14:textId="5F250E46" w:rsidR="00075EE9" w:rsidRPr="00934626" w:rsidRDefault="00075EE9" w:rsidP="00D65CF0">
            <w:pPr>
              <w:pStyle w:val="Tabletext"/>
              <w:rPr>
                <w:sz w:val="16"/>
                <w:szCs w:val="16"/>
                <w:lang w:val="en-GB"/>
              </w:rPr>
            </w:pPr>
            <w:r w:rsidRPr="00934626">
              <w:rPr>
                <w:sz w:val="16"/>
                <w:szCs w:val="16"/>
                <w:lang w:val="en-GB"/>
              </w:rPr>
              <w:t>–</w:t>
            </w:r>
          </w:p>
        </w:tc>
      </w:tr>
      <w:tr w:rsidR="00B519CC" w:rsidRPr="00934626" w14:paraId="671C96EA" w14:textId="77777777" w:rsidTr="00A25546">
        <w:trPr>
          <w:trHeight w:val="402"/>
          <w:jc w:val="center"/>
        </w:trPr>
        <w:tc>
          <w:tcPr>
            <w:tcW w:w="9409" w:type="dxa"/>
            <w:gridSpan w:val="7"/>
            <w:tcBorders>
              <w:top w:val="single" w:sz="6" w:space="0" w:color="auto"/>
              <w:left w:val="single" w:sz="6" w:space="0" w:color="auto"/>
              <w:bottom w:val="single" w:sz="6" w:space="0" w:color="auto"/>
              <w:right w:val="single" w:sz="6" w:space="0" w:color="auto"/>
            </w:tcBorders>
            <w:shd w:val="pct10" w:color="auto" w:fill="auto"/>
          </w:tcPr>
          <w:p w14:paraId="78296535" w14:textId="5FBCEB4A" w:rsidR="00075EE9" w:rsidRPr="00934626" w:rsidRDefault="00075EE9" w:rsidP="00D65CF0">
            <w:pPr>
              <w:pStyle w:val="Tabletext"/>
              <w:rPr>
                <w:i/>
                <w:sz w:val="16"/>
                <w:szCs w:val="16"/>
                <w:lang w:val="en-GB"/>
              </w:rPr>
            </w:pPr>
            <w:r w:rsidRPr="00934626">
              <w:rPr>
                <w:b/>
                <w:sz w:val="16"/>
                <w:szCs w:val="16"/>
              </w:rPr>
              <w:t>Detection of immune response</w:t>
            </w:r>
          </w:p>
        </w:tc>
      </w:tr>
      <w:tr w:rsidR="00B519CC" w:rsidRPr="00934626" w14:paraId="709255FF" w14:textId="77777777" w:rsidTr="00326180">
        <w:trPr>
          <w:trHeight w:val="402"/>
          <w:jc w:val="center"/>
        </w:trPr>
        <w:tc>
          <w:tcPr>
            <w:tcW w:w="1897" w:type="dxa"/>
            <w:tcBorders>
              <w:top w:val="single" w:sz="6" w:space="0" w:color="auto"/>
              <w:left w:val="single" w:sz="6" w:space="0" w:color="auto"/>
              <w:bottom w:val="single" w:sz="4" w:space="0" w:color="auto"/>
            </w:tcBorders>
            <w:vAlign w:val="center"/>
          </w:tcPr>
          <w:p w14:paraId="4ED6882B" w14:textId="77777777" w:rsidR="008A75CA" w:rsidRPr="00934626" w:rsidRDefault="008A75CA" w:rsidP="00D65CF0">
            <w:pPr>
              <w:spacing w:before="120" w:after="120" w:line="240" w:lineRule="auto"/>
              <w:jc w:val="center"/>
              <w:rPr>
                <w:rFonts w:ascii="Arial" w:hAnsi="Arial" w:cs="Arial"/>
                <w:b/>
                <w:sz w:val="16"/>
                <w:szCs w:val="16"/>
              </w:rPr>
            </w:pPr>
            <w:r w:rsidRPr="00934626">
              <w:rPr>
                <w:rFonts w:ascii="Arial" w:hAnsi="Arial" w:cs="Arial"/>
                <w:b/>
                <w:sz w:val="16"/>
              </w:rPr>
              <w:t>Virus neutralisation</w:t>
            </w:r>
          </w:p>
        </w:tc>
        <w:tc>
          <w:tcPr>
            <w:tcW w:w="992" w:type="dxa"/>
            <w:tcBorders>
              <w:top w:val="single" w:sz="6" w:space="0" w:color="auto"/>
              <w:left w:val="single" w:sz="6" w:space="0" w:color="auto"/>
              <w:bottom w:val="single" w:sz="4" w:space="0" w:color="auto"/>
            </w:tcBorders>
            <w:vAlign w:val="center"/>
          </w:tcPr>
          <w:p w14:paraId="1732A873" w14:textId="1388D3FE" w:rsidR="008A75CA" w:rsidRPr="00934626" w:rsidRDefault="00007F5F" w:rsidP="00D65CF0">
            <w:pPr>
              <w:pStyle w:val="Tabletext"/>
              <w:rPr>
                <w:sz w:val="16"/>
                <w:szCs w:val="16"/>
                <w:lang w:val="en-GB"/>
              </w:rPr>
            </w:pPr>
            <w:r w:rsidRPr="00934626">
              <w:rPr>
                <w:sz w:val="16"/>
                <w:szCs w:val="16"/>
                <w:lang w:val="en-US"/>
              </w:rPr>
              <w:t>+++</w:t>
            </w:r>
          </w:p>
        </w:tc>
        <w:tc>
          <w:tcPr>
            <w:tcW w:w="1391" w:type="dxa"/>
            <w:tcBorders>
              <w:top w:val="single" w:sz="6" w:space="0" w:color="auto"/>
              <w:left w:val="single" w:sz="6" w:space="0" w:color="auto"/>
              <w:bottom w:val="single" w:sz="4" w:space="0" w:color="auto"/>
            </w:tcBorders>
            <w:vAlign w:val="center"/>
          </w:tcPr>
          <w:p w14:paraId="0D74FA8E" w14:textId="51D39395" w:rsidR="008A75CA" w:rsidRPr="00934626" w:rsidRDefault="00946AEB" w:rsidP="006F1CC8">
            <w:pPr>
              <w:pStyle w:val="Tabletext"/>
              <w:rPr>
                <w:sz w:val="16"/>
                <w:szCs w:val="16"/>
                <w:lang w:val="en-GB"/>
              </w:rPr>
            </w:pPr>
            <w:r w:rsidRPr="00934626">
              <w:rPr>
                <w:sz w:val="16"/>
                <w:szCs w:val="16"/>
                <w:lang w:val="en-US"/>
              </w:rPr>
              <w:t>+++</w:t>
            </w:r>
          </w:p>
        </w:tc>
        <w:tc>
          <w:tcPr>
            <w:tcW w:w="1134" w:type="dxa"/>
            <w:tcBorders>
              <w:top w:val="single" w:sz="6" w:space="0" w:color="auto"/>
              <w:left w:val="single" w:sz="6" w:space="0" w:color="auto"/>
              <w:bottom w:val="single" w:sz="4" w:space="0" w:color="auto"/>
              <w:right w:val="single" w:sz="6" w:space="0" w:color="auto"/>
            </w:tcBorders>
            <w:vAlign w:val="center"/>
          </w:tcPr>
          <w:p w14:paraId="7362DBF0" w14:textId="37A2F241" w:rsidR="008A75CA" w:rsidRPr="00934626" w:rsidRDefault="00326180" w:rsidP="00326180">
            <w:pPr>
              <w:pStyle w:val="Tabletext"/>
              <w:rPr>
                <w:sz w:val="16"/>
                <w:szCs w:val="16"/>
                <w:lang w:val="en-GB"/>
              </w:rPr>
            </w:pPr>
            <w:r w:rsidRPr="00934626">
              <w:rPr>
                <w:sz w:val="16"/>
                <w:szCs w:val="16"/>
                <w:lang w:val="en-GB"/>
              </w:rPr>
              <w:t>–</w:t>
            </w:r>
          </w:p>
        </w:tc>
        <w:tc>
          <w:tcPr>
            <w:tcW w:w="1160" w:type="dxa"/>
            <w:tcBorders>
              <w:top w:val="single" w:sz="6" w:space="0" w:color="auto"/>
              <w:left w:val="single" w:sz="6" w:space="0" w:color="auto"/>
              <w:bottom w:val="single" w:sz="4" w:space="0" w:color="auto"/>
            </w:tcBorders>
            <w:vAlign w:val="center"/>
          </w:tcPr>
          <w:p w14:paraId="5BBCC498" w14:textId="718FFD53" w:rsidR="008A75CA" w:rsidRPr="00934626" w:rsidRDefault="006F1CC8" w:rsidP="00D65CF0">
            <w:pPr>
              <w:pStyle w:val="Tabletext"/>
              <w:rPr>
                <w:sz w:val="16"/>
                <w:szCs w:val="16"/>
                <w:lang w:val="en-GB"/>
              </w:rPr>
            </w:pPr>
            <w:r w:rsidRPr="00934626">
              <w:rPr>
                <w:sz w:val="16"/>
                <w:szCs w:val="16"/>
                <w:lang w:val="en-GB"/>
              </w:rPr>
              <w:t>++</w:t>
            </w:r>
          </w:p>
        </w:tc>
        <w:tc>
          <w:tcPr>
            <w:tcW w:w="1134" w:type="dxa"/>
            <w:tcBorders>
              <w:top w:val="single" w:sz="6" w:space="0" w:color="auto"/>
              <w:left w:val="single" w:sz="6" w:space="0" w:color="auto"/>
              <w:bottom w:val="single" w:sz="4" w:space="0" w:color="auto"/>
            </w:tcBorders>
            <w:vAlign w:val="center"/>
          </w:tcPr>
          <w:p w14:paraId="73CEDF18" w14:textId="3BF64F77" w:rsidR="008A75CA" w:rsidRPr="00934626" w:rsidRDefault="008A75CA" w:rsidP="00D65CF0">
            <w:pPr>
              <w:pStyle w:val="Tabletext"/>
              <w:rPr>
                <w:sz w:val="16"/>
                <w:szCs w:val="16"/>
                <w:lang w:val="en-GB"/>
              </w:rPr>
            </w:pPr>
            <w:r w:rsidRPr="00934626">
              <w:rPr>
                <w:sz w:val="16"/>
                <w:szCs w:val="16"/>
                <w:lang w:val="en-US"/>
              </w:rPr>
              <w:t>++</w:t>
            </w:r>
          </w:p>
        </w:tc>
        <w:tc>
          <w:tcPr>
            <w:tcW w:w="1701" w:type="dxa"/>
            <w:tcBorders>
              <w:top w:val="single" w:sz="6" w:space="0" w:color="auto"/>
              <w:left w:val="single" w:sz="6" w:space="0" w:color="auto"/>
              <w:bottom w:val="single" w:sz="6" w:space="0" w:color="auto"/>
              <w:right w:val="single" w:sz="6" w:space="0" w:color="auto"/>
            </w:tcBorders>
            <w:vAlign w:val="center"/>
          </w:tcPr>
          <w:p w14:paraId="6251A0CA" w14:textId="73535AE0" w:rsidR="008A75CA" w:rsidRPr="00934626" w:rsidRDefault="00946AEB" w:rsidP="00D65CF0">
            <w:pPr>
              <w:pStyle w:val="Tabletext"/>
              <w:rPr>
                <w:sz w:val="16"/>
                <w:szCs w:val="16"/>
                <w:vertAlign w:val="superscript"/>
                <w:lang w:val="en-GB"/>
              </w:rPr>
            </w:pPr>
            <w:r w:rsidRPr="00934626">
              <w:rPr>
                <w:sz w:val="16"/>
                <w:szCs w:val="16"/>
                <w:lang w:val="en-US"/>
              </w:rPr>
              <w:t>++</w:t>
            </w:r>
          </w:p>
        </w:tc>
      </w:tr>
      <w:tr w:rsidR="00B519CC" w:rsidRPr="00934626" w14:paraId="1D3DBCC3" w14:textId="77777777" w:rsidTr="00326180">
        <w:trPr>
          <w:trHeight w:val="402"/>
          <w:jc w:val="center"/>
        </w:trPr>
        <w:tc>
          <w:tcPr>
            <w:tcW w:w="1897" w:type="dxa"/>
            <w:tcBorders>
              <w:top w:val="single" w:sz="6" w:space="0" w:color="auto"/>
              <w:left w:val="single" w:sz="6" w:space="0" w:color="auto"/>
              <w:bottom w:val="single" w:sz="6" w:space="0" w:color="auto"/>
            </w:tcBorders>
          </w:tcPr>
          <w:p w14:paraId="38FA1811" w14:textId="6516463B" w:rsidR="008A75CA" w:rsidRPr="00934626" w:rsidRDefault="008A75CA" w:rsidP="004E27C9">
            <w:pPr>
              <w:spacing w:before="100" w:after="100" w:line="240" w:lineRule="auto"/>
              <w:jc w:val="center"/>
              <w:rPr>
                <w:rFonts w:ascii="Arial" w:hAnsi="Arial" w:cs="Arial"/>
                <w:b/>
                <w:sz w:val="16"/>
                <w:szCs w:val="16"/>
              </w:rPr>
            </w:pPr>
            <w:r w:rsidRPr="00934626">
              <w:rPr>
                <w:rFonts w:ascii="Arial" w:hAnsi="Arial" w:cs="Arial"/>
                <w:b/>
                <w:sz w:val="16"/>
              </w:rPr>
              <w:t>Competitive ELISA</w:t>
            </w:r>
          </w:p>
        </w:tc>
        <w:tc>
          <w:tcPr>
            <w:tcW w:w="992" w:type="dxa"/>
            <w:tcBorders>
              <w:top w:val="single" w:sz="6" w:space="0" w:color="auto"/>
              <w:left w:val="single" w:sz="6" w:space="0" w:color="auto"/>
              <w:bottom w:val="single" w:sz="6" w:space="0" w:color="auto"/>
            </w:tcBorders>
            <w:vAlign w:val="center"/>
          </w:tcPr>
          <w:p w14:paraId="6D7A0489" w14:textId="7CD4FE42" w:rsidR="008A75CA" w:rsidRPr="00934626" w:rsidRDefault="007E567C" w:rsidP="00915358">
            <w:pPr>
              <w:pStyle w:val="Tabletext"/>
              <w:spacing w:before="100" w:after="100"/>
              <w:rPr>
                <w:sz w:val="16"/>
                <w:szCs w:val="16"/>
                <w:lang w:val="en-GB"/>
              </w:rPr>
            </w:pPr>
            <w:r w:rsidRPr="00934626">
              <w:rPr>
                <w:sz w:val="16"/>
                <w:szCs w:val="16"/>
                <w:lang w:val="en-GB"/>
              </w:rPr>
              <w:t>+++</w:t>
            </w:r>
          </w:p>
        </w:tc>
        <w:tc>
          <w:tcPr>
            <w:tcW w:w="1391" w:type="dxa"/>
            <w:tcBorders>
              <w:top w:val="single" w:sz="6" w:space="0" w:color="auto"/>
              <w:left w:val="single" w:sz="6" w:space="0" w:color="auto"/>
              <w:bottom w:val="single" w:sz="6" w:space="0" w:color="auto"/>
            </w:tcBorders>
            <w:vAlign w:val="center"/>
          </w:tcPr>
          <w:p w14:paraId="7D0CFD18" w14:textId="122B35B9" w:rsidR="008A75CA" w:rsidRPr="00934626" w:rsidRDefault="006F1CC8" w:rsidP="00915358">
            <w:pPr>
              <w:pStyle w:val="Tabletext"/>
              <w:spacing w:before="100" w:after="100"/>
              <w:rPr>
                <w:sz w:val="16"/>
                <w:szCs w:val="16"/>
                <w:lang w:val="en-GB"/>
              </w:rPr>
            </w:pPr>
            <w:r w:rsidRPr="00934626">
              <w:rPr>
                <w:sz w:val="16"/>
                <w:szCs w:val="16"/>
                <w:lang w:val="en-GB"/>
              </w:rPr>
              <w:t>+++</w:t>
            </w:r>
          </w:p>
        </w:tc>
        <w:tc>
          <w:tcPr>
            <w:tcW w:w="1134" w:type="dxa"/>
            <w:tcBorders>
              <w:top w:val="single" w:sz="6" w:space="0" w:color="auto"/>
              <w:left w:val="single" w:sz="6" w:space="0" w:color="auto"/>
              <w:bottom w:val="single" w:sz="6" w:space="0" w:color="auto"/>
              <w:right w:val="single" w:sz="6" w:space="0" w:color="auto"/>
            </w:tcBorders>
            <w:vAlign w:val="center"/>
          </w:tcPr>
          <w:p w14:paraId="359DECF6" w14:textId="56E6CA58" w:rsidR="008A75CA" w:rsidRPr="00934626" w:rsidRDefault="00326180" w:rsidP="00326180">
            <w:pPr>
              <w:pStyle w:val="Tabletext"/>
              <w:spacing w:before="100" w:after="100"/>
              <w:rPr>
                <w:sz w:val="16"/>
                <w:szCs w:val="16"/>
                <w:lang w:val="en-US"/>
              </w:rPr>
            </w:pPr>
            <w:r w:rsidRPr="00934626">
              <w:rPr>
                <w:sz w:val="16"/>
                <w:szCs w:val="16"/>
                <w:lang w:val="en-US"/>
              </w:rPr>
              <w:t>+++</w:t>
            </w:r>
          </w:p>
        </w:tc>
        <w:tc>
          <w:tcPr>
            <w:tcW w:w="1160" w:type="dxa"/>
            <w:tcBorders>
              <w:top w:val="single" w:sz="6" w:space="0" w:color="auto"/>
              <w:left w:val="single" w:sz="6" w:space="0" w:color="auto"/>
              <w:bottom w:val="single" w:sz="6" w:space="0" w:color="auto"/>
            </w:tcBorders>
            <w:vAlign w:val="center"/>
          </w:tcPr>
          <w:p w14:paraId="76566F56" w14:textId="1EB8BB79" w:rsidR="008A75CA" w:rsidRPr="00934626" w:rsidRDefault="00946AEB" w:rsidP="0047582A">
            <w:pPr>
              <w:pStyle w:val="Tabletext"/>
              <w:spacing w:before="100" w:after="100"/>
              <w:rPr>
                <w:sz w:val="16"/>
                <w:szCs w:val="16"/>
                <w:lang w:val="en-GB"/>
              </w:rPr>
            </w:pPr>
            <w:r w:rsidRPr="00934626">
              <w:rPr>
                <w:sz w:val="16"/>
                <w:szCs w:val="16"/>
                <w:lang w:val="en-US"/>
              </w:rPr>
              <w:t>+</w:t>
            </w:r>
          </w:p>
        </w:tc>
        <w:tc>
          <w:tcPr>
            <w:tcW w:w="1134" w:type="dxa"/>
            <w:tcBorders>
              <w:top w:val="single" w:sz="6" w:space="0" w:color="auto"/>
              <w:left w:val="single" w:sz="6" w:space="0" w:color="auto"/>
              <w:bottom w:val="single" w:sz="6" w:space="0" w:color="auto"/>
            </w:tcBorders>
            <w:vAlign w:val="center"/>
          </w:tcPr>
          <w:p w14:paraId="6CFA2C8D" w14:textId="2FFCCC74" w:rsidR="008A75CA" w:rsidRPr="00934626" w:rsidRDefault="00946AEB" w:rsidP="00915358">
            <w:pPr>
              <w:pStyle w:val="Tabletext"/>
              <w:spacing w:before="100" w:after="100"/>
              <w:rPr>
                <w:sz w:val="16"/>
                <w:szCs w:val="16"/>
                <w:lang w:val="en-GB"/>
              </w:rPr>
            </w:pPr>
            <w:r w:rsidRPr="00934626">
              <w:rPr>
                <w:i/>
                <w:sz w:val="16"/>
                <w:szCs w:val="16"/>
                <w:lang w:val="en-US"/>
              </w:rPr>
              <w:t>+++</w:t>
            </w:r>
          </w:p>
        </w:tc>
        <w:tc>
          <w:tcPr>
            <w:tcW w:w="1701" w:type="dxa"/>
            <w:tcBorders>
              <w:top w:val="single" w:sz="6" w:space="0" w:color="auto"/>
              <w:left w:val="single" w:sz="6" w:space="0" w:color="auto"/>
              <w:bottom w:val="single" w:sz="6" w:space="0" w:color="auto"/>
              <w:right w:val="single" w:sz="6" w:space="0" w:color="auto"/>
            </w:tcBorders>
            <w:vAlign w:val="center"/>
          </w:tcPr>
          <w:p w14:paraId="548C163B" w14:textId="103C3A29" w:rsidR="008A75CA" w:rsidRPr="00934626" w:rsidRDefault="00946AEB" w:rsidP="00915358">
            <w:pPr>
              <w:pStyle w:val="Tabletext"/>
              <w:spacing w:before="100" w:after="100"/>
              <w:rPr>
                <w:strike/>
                <w:sz w:val="16"/>
                <w:szCs w:val="16"/>
                <w:lang w:val="en-GB"/>
              </w:rPr>
            </w:pPr>
            <w:r w:rsidRPr="00934626">
              <w:rPr>
                <w:i/>
                <w:sz w:val="16"/>
                <w:szCs w:val="16"/>
                <w:lang w:val="en-US"/>
              </w:rPr>
              <w:t>+++</w:t>
            </w:r>
          </w:p>
        </w:tc>
      </w:tr>
      <w:tr w:rsidR="00B519CC" w:rsidRPr="00934626" w14:paraId="278CBABE" w14:textId="77777777" w:rsidTr="00326180">
        <w:trPr>
          <w:trHeight w:val="402"/>
          <w:jc w:val="center"/>
        </w:trPr>
        <w:tc>
          <w:tcPr>
            <w:tcW w:w="1897" w:type="dxa"/>
            <w:tcBorders>
              <w:top w:val="single" w:sz="6" w:space="0" w:color="auto"/>
              <w:left w:val="single" w:sz="6" w:space="0" w:color="auto"/>
              <w:bottom w:val="single" w:sz="6" w:space="0" w:color="auto"/>
            </w:tcBorders>
          </w:tcPr>
          <w:p w14:paraId="647F4AD2" w14:textId="77777777" w:rsidR="008A75CA" w:rsidRPr="00934626" w:rsidRDefault="008A75CA" w:rsidP="00877074">
            <w:pPr>
              <w:spacing w:before="100" w:after="100" w:line="240" w:lineRule="auto"/>
              <w:jc w:val="center"/>
              <w:rPr>
                <w:rFonts w:ascii="Arial" w:hAnsi="Arial" w:cs="Arial"/>
                <w:b/>
                <w:sz w:val="16"/>
                <w:szCs w:val="16"/>
              </w:rPr>
            </w:pPr>
            <w:r w:rsidRPr="00934626">
              <w:rPr>
                <w:rFonts w:ascii="Arial" w:hAnsi="Arial" w:cs="Arial"/>
                <w:b/>
                <w:sz w:val="16"/>
              </w:rPr>
              <w:t>AGID</w:t>
            </w:r>
          </w:p>
        </w:tc>
        <w:tc>
          <w:tcPr>
            <w:tcW w:w="992" w:type="dxa"/>
            <w:tcBorders>
              <w:top w:val="single" w:sz="6" w:space="0" w:color="auto"/>
              <w:left w:val="single" w:sz="6" w:space="0" w:color="auto"/>
              <w:bottom w:val="single" w:sz="6" w:space="0" w:color="auto"/>
            </w:tcBorders>
            <w:vAlign w:val="center"/>
          </w:tcPr>
          <w:p w14:paraId="02664D29" w14:textId="77777777" w:rsidR="008A75CA" w:rsidRPr="00934626" w:rsidRDefault="008A75CA" w:rsidP="00877074">
            <w:pPr>
              <w:pStyle w:val="Tabletext"/>
              <w:spacing w:before="100" w:after="100"/>
              <w:rPr>
                <w:sz w:val="16"/>
                <w:szCs w:val="16"/>
                <w:lang w:val="en-GB"/>
              </w:rPr>
            </w:pPr>
            <w:r w:rsidRPr="00934626">
              <w:rPr>
                <w:sz w:val="16"/>
                <w:szCs w:val="16"/>
                <w:lang w:val="en-GB"/>
              </w:rPr>
              <w:t>–</w:t>
            </w:r>
          </w:p>
        </w:tc>
        <w:tc>
          <w:tcPr>
            <w:tcW w:w="1391" w:type="dxa"/>
            <w:tcBorders>
              <w:top w:val="single" w:sz="6" w:space="0" w:color="auto"/>
              <w:left w:val="single" w:sz="6" w:space="0" w:color="auto"/>
              <w:bottom w:val="single" w:sz="6" w:space="0" w:color="auto"/>
            </w:tcBorders>
            <w:vAlign w:val="center"/>
          </w:tcPr>
          <w:p w14:paraId="29AABC78" w14:textId="77777777" w:rsidR="008A75CA" w:rsidRPr="00934626" w:rsidRDefault="008A75CA" w:rsidP="00877074">
            <w:pPr>
              <w:pStyle w:val="Tabletext"/>
              <w:spacing w:before="100" w:after="100"/>
              <w:rPr>
                <w:sz w:val="16"/>
                <w:szCs w:val="16"/>
                <w:lang w:val="en-GB"/>
              </w:rPr>
            </w:pPr>
            <w:r w:rsidRPr="00934626">
              <w:rPr>
                <w:sz w:val="16"/>
                <w:szCs w:val="16"/>
                <w:lang w:val="en-GB"/>
              </w:rPr>
              <w:t>–</w:t>
            </w:r>
          </w:p>
        </w:tc>
        <w:tc>
          <w:tcPr>
            <w:tcW w:w="1134" w:type="dxa"/>
            <w:tcBorders>
              <w:top w:val="single" w:sz="6" w:space="0" w:color="auto"/>
              <w:left w:val="single" w:sz="6" w:space="0" w:color="auto"/>
              <w:bottom w:val="single" w:sz="6" w:space="0" w:color="auto"/>
              <w:right w:val="single" w:sz="6" w:space="0" w:color="auto"/>
            </w:tcBorders>
            <w:vAlign w:val="center"/>
          </w:tcPr>
          <w:p w14:paraId="203DF8CD" w14:textId="51E98723" w:rsidR="008A75CA" w:rsidRPr="00934626" w:rsidRDefault="00326180" w:rsidP="00326180">
            <w:pPr>
              <w:pStyle w:val="Tabletext"/>
              <w:spacing w:before="100" w:after="100"/>
              <w:rPr>
                <w:sz w:val="16"/>
                <w:szCs w:val="16"/>
                <w:lang w:val="en-US"/>
              </w:rPr>
            </w:pPr>
            <w:r w:rsidRPr="00934626">
              <w:rPr>
                <w:sz w:val="16"/>
                <w:szCs w:val="16"/>
                <w:lang w:val="en-US"/>
              </w:rPr>
              <w:t>+</w:t>
            </w:r>
          </w:p>
        </w:tc>
        <w:tc>
          <w:tcPr>
            <w:tcW w:w="1160" w:type="dxa"/>
            <w:tcBorders>
              <w:top w:val="single" w:sz="6" w:space="0" w:color="auto"/>
              <w:left w:val="single" w:sz="6" w:space="0" w:color="auto"/>
              <w:bottom w:val="single" w:sz="6" w:space="0" w:color="auto"/>
            </w:tcBorders>
            <w:vAlign w:val="center"/>
          </w:tcPr>
          <w:p w14:paraId="160CFF45" w14:textId="06986A98" w:rsidR="008A75CA" w:rsidRPr="00934626" w:rsidRDefault="008A75CA" w:rsidP="00877074">
            <w:pPr>
              <w:pStyle w:val="Tabletext"/>
              <w:spacing w:before="100" w:after="100"/>
              <w:rPr>
                <w:sz w:val="16"/>
                <w:szCs w:val="16"/>
                <w:lang w:val="en-GB"/>
              </w:rPr>
            </w:pPr>
            <w:r w:rsidRPr="00934626">
              <w:rPr>
                <w:sz w:val="16"/>
                <w:szCs w:val="16"/>
                <w:lang w:val="en-US"/>
              </w:rPr>
              <w:t>+</w:t>
            </w:r>
          </w:p>
        </w:tc>
        <w:tc>
          <w:tcPr>
            <w:tcW w:w="1134" w:type="dxa"/>
            <w:tcBorders>
              <w:top w:val="single" w:sz="6" w:space="0" w:color="auto"/>
              <w:left w:val="single" w:sz="6" w:space="0" w:color="auto"/>
              <w:bottom w:val="single" w:sz="6" w:space="0" w:color="auto"/>
            </w:tcBorders>
            <w:vAlign w:val="center"/>
          </w:tcPr>
          <w:p w14:paraId="0BA9C2FA" w14:textId="77777777" w:rsidR="008A75CA" w:rsidRPr="00934626" w:rsidRDefault="008A75CA" w:rsidP="00877074">
            <w:pPr>
              <w:pStyle w:val="Tabletext"/>
              <w:spacing w:before="100" w:after="100"/>
              <w:rPr>
                <w:sz w:val="16"/>
                <w:szCs w:val="16"/>
                <w:lang w:val="en-GB"/>
              </w:rPr>
            </w:pPr>
            <w:r w:rsidRPr="00934626">
              <w:rPr>
                <w:sz w:val="16"/>
                <w:szCs w:val="16"/>
                <w:lang w:val="en-GB"/>
              </w:rPr>
              <w:t>–</w:t>
            </w:r>
          </w:p>
        </w:tc>
        <w:tc>
          <w:tcPr>
            <w:tcW w:w="1701" w:type="dxa"/>
            <w:tcBorders>
              <w:top w:val="single" w:sz="6" w:space="0" w:color="auto"/>
              <w:left w:val="single" w:sz="6" w:space="0" w:color="auto"/>
              <w:bottom w:val="single" w:sz="6" w:space="0" w:color="auto"/>
              <w:right w:val="single" w:sz="6" w:space="0" w:color="auto"/>
            </w:tcBorders>
          </w:tcPr>
          <w:p w14:paraId="0AA99A2F" w14:textId="77777777" w:rsidR="008A75CA" w:rsidRPr="00934626" w:rsidRDefault="008A75CA" w:rsidP="00877074">
            <w:pPr>
              <w:pStyle w:val="Tabletext"/>
              <w:spacing w:before="100" w:after="100"/>
              <w:rPr>
                <w:sz w:val="16"/>
                <w:szCs w:val="16"/>
                <w:lang w:val="en-GB"/>
              </w:rPr>
            </w:pPr>
            <w:r w:rsidRPr="00934626">
              <w:rPr>
                <w:sz w:val="16"/>
                <w:szCs w:val="16"/>
              </w:rPr>
              <w:t>+</w:t>
            </w:r>
          </w:p>
        </w:tc>
      </w:tr>
      <w:tr w:rsidR="00B519CC" w:rsidRPr="00934626" w14:paraId="3ECA0984" w14:textId="77777777" w:rsidTr="00326180">
        <w:trPr>
          <w:trHeight w:val="402"/>
          <w:jc w:val="center"/>
        </w:trPr>
        <w:tc>
          <w:tcPr>
            <w:tcW w:w="1897" w:type="dxa"/>
            <w:tcBorders>
              <w:top w:val="single" w:sz="6" w:space="0" w:color="auto"/>
              <w:left w:val="single" w:sz="6" w:space="0" w:color="auto"/>
              <w:bottom w:val="single" w:sz="6" w:space="0" w:color="auto"/>
            </w:tcBorders>
          </w:tcPr>
          <w:p w14:paraId="5CE4D14E" w14:textId="76405B0C" w:rsidR="008A75CA" w:rsidRPr="00934626" w:rsidRDefault="008A75CA" w:rsidP="00877074">
            <w:pPr>
              <w:spacing w:before="100" w:after="100" w:line="240" w:lineRule="auto"/>
              <w:jc w:val="center"/>
              <w:rPr>
                <w:rFonts w:ascii="Arial" w:hAnsi="Arial" w:cs="Arial"/>
                <w:b/>
                <w:sz w:val="16"/>
                <w:szCs w:val="16"/>
              </w:rPr>
            </w:pPr>
            <w:r w:rsidRPr="00934626">
              <w:rPr>
                <w:rFonts w:ascii="Arial" w:hAnsi="Arial" w:cs="Arial"/>
                <w:b/>
                <w:sz w:val="16"/>
              </w:rPr>
              <w:t xml:space="preserve">Counter </w:t>
            </w:r>
            <w:r w:rsidR="00FC657D" w:rsidRPr="00934626">
              <w:rPr>
                <w:rFonts w:ascii="Arial" w:hAnsi="Arial" w:cs="Arial"/>
                <w:b/>
                <w:sz w:val="16"/>
              </w:rPr>
              <w:t>immune-</w:t>
            </w:r>
            <w:r w:rsidRPr="00934626">
              <w:rPr>
                <w:rFonts w:ascii="Arial" w:hAnsi="Arial" w:cs="Arial"/>
                <w:b/>
                <w:sz w:val="16"/>
              </w:rPr>
              <w:t>electrophoresis</w:t>
            </w:r>
          </w:p>
        </w:tc>
        <w:tc>
          <w:tcPr>
            <w:tcW w:w="992" w:type="dxa"/>
            <w:tcBorders>
              <w:top w:val="single" w:sz="6" w:space="0" w:color="auto"/>
              <w:left w:val="single" w:sz="6" w:space="0" w:color="auto"/>
              <w:bottom w:val="single" w:sz="6" w:space="0" w:color="auto"/>
            </w:tcBorders>
            <w:vAlign w:val="center"/>
          </w:tcPr>
          <w:p w14:paraId="513E85B6" w14:textId="77777777" w:rsidR="008A75CA" w:rsidRPr="00934626" w:rsidRDefault="008A75CA" w:rsidP="00877074">
            <w:pPr>
              <w:pStyle w:val="Tabletext"/>
              <w:spacing w:before="100" w:after="100"/>
              <w:rPr>
                <w:sz w:val="16"/>
                <w:szCs w:val="16"/>
                <w:lang w:val="en-GB"/>
              </w:rPr>
            </w:pPr>
            <w:r w:rsidRPr="00934626">
              <w:rPr>
                <w:sz w:val="16"/>
                <w:szCs w:val="16"/>
                <w:lang w:val="en-GB"/>
              </w:rPr>
              <w:t>–</w:t>
            </w:r>
          </w:p>
        </w:tc>
        <w:tc>
          <w:tcPr>
            <w:tcW w:w="1391" w:type="dxa"/>
            <w:tcBorders>
              <w:top w:val="single" w:sz="6" w:space="0" w:color="auto"/>
              <w:left w:val="single" w:sz="6" w:space="0" w:color="auto"/>
              <w:bottom w:val="single" w:sz="6" w:space="0" w:color="auto"/>
            </w:tcBorders>
            <w:vAlign w:val="center"/>
          </w:tcPr>
          <w:p w14:paraId="669C71EE" w14:textId="77777777" w:rsidR="008A75CA" w:rsidRPr="00934626" w:rsidRDefault="008A75CA" w:rsidP="00877074">
            <w:pPr>
              <w:pStyle w:val="Tabletext"/>
              <w:spacing w:before="100" w:after="100"/>
              <w:rPr>
                <w:sz w:val="16"/>
                <w:szCs w:val="16"/>
                <w:lang w:val="en-GB"/>
              </w:rPr>
            </w:pPr>
            <w:r w:rsidRPr="00934626">
              <w:rPr>
                <w:sz w:val="16"/>
                <w:szCs w:val="16"/>
                <w:lang w:val="en-GB"/>
              </w:rPr>
              <w:t>–</w:t>
            </w:r>
          </w:p>
        </w:tc>
        <w:tc>
          <w:tcPr>
            <w:tcW w:w="1134" w:type="dxa"/>
            <w:tcBorders>
              <w:top w:val="single" w:sz="6" w:space="0" w:color="auto"/>
              <w:left w:val="single" w:sz="6" w:space="0" w:color="auto"/>
              <w:bottom w:val="single" w:sz="6" w:space="0" w:color="auto"/>
              <w:right w:val="single" w:sz="6" w:space="0" w:color="auto"/>
            </w:tcBorders>
            <w:vAlign w:val="center"/>
          </w:tcPr>
          <w:p w14:paraId="068FDC52" w14:textId="1555CD37" w:rsidR="008A75CA" w:rsidRPr="00934626" w:rsidRDefault="00326180" w:rsidP="00326180">
            <w:pPr>
              <w:pStyle w:val="Tabletext"/>
              <w:spacing w:before="100" w:after="100"/>
              <w:rPr>
                <w:sz w:val="16"/>
                <w:szCs w:val="16"/>
                <w:lang w:val="en-US"/>
              </w:rPr>
            </w:pPr>
            <w:r w:rsidRPr="00934626">
              <w:rPr>
                <w:sz w:val="16"/>
                <w:szCs w:val="16"/>
                <w:lang w:val="en-US"/>
              </w:rPr>
              <w:t>–</w:t>
            </w:r>
          </w:p>
        </w:tc>
        <w:tc>
          <w:tcPr>
            <w:tcW w:w="1160" w:type="dxa"/>
            <w:tcBorders>
              <w:top w:val="single" w:sz="6" w:space="0" w:color="auto"/>
              <w:left w:val="single" w:sz="6" w:space="0" w:color="auto"/>
              <w:bottom w:val="single" w:sz="6" w:space="0" w:color="auto"/>
            </w:tcBorders>
            <w:vAlign w:val="center"/>
          </w:tcPr>
          <w:p w14:paraId="1ACB96FF" w14:textId="047E9111" w:rsidR="008A75CA" w:rsidRPr="00934626" w:rsidRDefault="008A75CA" w:rsidP="00877074">
            <w:pPr>
              <w:pStyle w:val="Tabletext"/>
              <w:spacing w:before="100" w:after="100"/>
              <w:rPr>
                <w:sz w:val="16"/>
                <w:szCs w:val="16"/>
                <w:lang w:val="en-GB"/>
              </w:rPr>
            </w:pPr>
            <w:r w:rsidRPr="00934626">
              <w:rPr>
                <w:sz w:val="16"/>
                <w:szCs w:val="16"/>
                <w:lang w:val="en-US"/>
              </w:rPr>
              <w:t>+</w:t>
            </w:r>
          </w:p>
        </w:tc>
        <w:tc>
          <w:tcPr>
            <w:tcW w:w="1134" w:type="dxa"/>
            <w:tcBorders>
              <w:top w:val="single" w:sz="6" w:space="0" w:color="auto"/>
              <w:left w:val="single" w:sz="6" w:space="0" w:color="auto"/>
              <w:bottom w:val="single" w:sz="6" w:space="0" w:color="auto"/>
            </w:tcBorders>
            <w:vAlign w:val="center"/>
          </w:tcPr>
          <w:p w14:paraId="0F6C7ED2" w14:textId="77777777" w:rsidR="008A75CA" w:rsidRPr="00934626" w:rsidRDefault="008A75CA" w:rsidP="00877074">
            <w:pPr>
              <w:pStyle w:val="Tabletext"/>
              <w:spacing w:before="100" w:after="100"/>
              <w:rPr>
                <w:sz w:val="16"/>
                <w:szCs w:val="16"/>
                <w:lang w:val="en-GB"/>
              </w:rPr>
            </w:pPr>
            <w:r w:rsidRPr="00934626">
              <w:rPr>
                <w:sz w:val="16"/>
                <w:szCs w:val="16"/>
                <w:lang w:val="en-GB"/>
              </w:rPr>
              <w:t>–</w:t>
            </w:r>
          </w:p>
        </w:tc>
        <w:tc>
          <w:tcPr>
            <w:tcW w:w="1701" w:type="dxa"/>
            <w:tcBorders>
              <w:top w:val="single" w:sz="6" w:space="0" w:color="auto"/>
              <w:left w:val="single" w:sz="6" w:space="0" w:color="auto"/>
              <w:bottom w:val="single" w:sz="6" w:space="0" w:color="auto"/>
              <w:right w:val="single" w:sz="6" w:space="0" w:color="auto"/>
            </w:tcBorders>
            <w:vAlign w:val="center"/>
          </w:tcPr>
          <w:p w14:paraId="5049EB05" w14:textId="77777777" w:rsidR="008A75CA" w:rsidRPr="00934626" w:rsidRDefault="008A75CA" w:rsidP="00877074">
            <w:pPr>
              <w:pStyle w:val="Tabletext"/>
              <w:spacing w:before="100" w:after="100"/>
              <w:rPr>
                <w:sz w:val="16"/>
                <w:szCs w:val="16"/>
                <w:lang w:val="en-GB"/>
              </w:rPr>
            </w:pPr>
            <w:r w:rsidRPr="00934626">
              <w:rPr>
                <w:sz w:val="16"/>
                <w:szCs w:val="16"/>
                <w:lang w:val="en-GB"/>
              </w:rPr>
              <w:t>–</w:t>
            </w:r>
          </w:p>
        </w:tc>
      </w:tr>
    </w:tbl>
    <w:p w14:paraId="67DBD99A" w14:textId="0A4E7C3D" w:rsidR="00C538E9" w:rsidRPr="00934626" w:rsidRDefault="009238E8" w:rsidP="00C538E9">
      <w:pPr>
        <w:pStyle w:val="Textebrut"/>
        <w:spacing w:before="120"/>
        <w:jc w:val="center"/>
        <w:rPr>
          <w:rFonts w:ascii="Arial" w:hAnsi="Arial" w:cs="Arial"/>
          <w:sz w:val="16"/>
          <w:szCs w:val="16"/>
        </w:rPr>
      </w:pPr>
      <w:r w:rsidRPr="00BF625B">
        <w:rPr>
          <w:rFonts w:ascii="Arial" w:hAnsi="Arial" w:cs="Arial"/>
          <w:color w:val="000000"/>
          <w:sz w:val="16"/>
          <w:szCs w:val="16"/>
        </w:rPr>
        <w:t xml:space="preserve">Key: +++ = </w:t>
      </w:r>
      <w:r>
        <w:rPr>
          <w:rFonts w:ascii="Arial" w:hAnsi="Arial" w:cs="Arial"/>
          <w:color w:val="000000"/>
          <w:sz w:val="16"/>
          <w:szCs w:val="16"/>
        </w:rPr>
        <w:t>recommended for this purpose; ++ recommended but has limitations</w:t>
      </w:r>
      <w:r w:rsidRPr="00BF625B">
        <w:rPr>
          <w:rFonts w:ascii="Arial" w:hAnsi="Arial" w:cs="Arial"/>
          <w:color w:val="000000"/>
          <w:sz w:val="16"/>
          <w:szCs w:val="16"/>
        </w:rPr>
        <w:t xml:space="preserve">; </w:t>
      </w:r>
      <w:r>
        <w:rPr>
          <w:rFonts w:ascii="Arial" w:hAnsi="Arial" w:cs="Arial"/>
          <w:color w:val="000000"/>
          <w:sz w:val="16"/>
          <w:szCs w:val="16"/>
        </w:rPr>
        <w:br/>
      </w:r>
      <w:r w:rsidRPr="00BF625B">
        <w:rPr>
          <w:rFonts w:ascii="Arial" w:hAnsi="Arial" w:cs="Arial"/>
          <w:color w:val="000000"/>
          <w:sz w:val="16"/>
          <w:szCs w:val="16"/>
        </w:rPr>
        <w:t xml:space="preserve">+ = </w:t>
      </w:r>
      <w:r>
        <w:rPr>
          <w:rFonts w:ascii="Arial" w:hAnsi="Arial" w:cs="Arial"/>
          <w:color w:val="000000"/>
          <w:sz w:val="16"/>
          <w:szCs w:val="16"/>
        </w:rPr>
        <w:t>suitable in very limited circumstances</w:t>
      </w:r>
      <w:r w:rsidRPr="00BF625B">
        <w:rPr>
          <w:rFonts w:ascii="Arial" w:hAnsi="Arial" w:cs="Arial"/>
          <w:sz w:val="16"/>
          <w:szCs w:val="16"/>
        </w:rPr>
        <w:t xml:space="preserve">; </w:t>
      </w:r>
      <w:r>
        <w:rPr>
          <w:rFonts w:ascii="Arial" w:hAnsi="Arial" w:cs="Arial"/>
          <w:sz w:val="16"/>
          <w:szCs w:val="16"/>
        </w:rPr>
        <w:br/>
      </w:r>
      <w:r w:rsidRPr="00BF625B">
        <w:rPr>
          <w:rFonts w:ascii="Arial" w:hAnsi="Arial" w:cs="Arial"/>
          <w:color w:val="000000"/>
          <w:sz w:val="16"/>
          <w:szCs w:val="16"/>
        </w:rPr>
        <w:t>– = not appropriate for this purpose</w:t>
      </w:r>
      <w:r w:rsidR="00C538E9" w:rsidRPr="00934626">
        <w:rPr>
          <w:rFonts w:ascii="Arial" w:hAnsi="Arial" w:cs="Arial"/>
          <w:sz w:val="16"/>
          <w:szCs w:val="16"/>
        </w:rPr>
        <w:t>.</w:t>
      </w:r>
    </w:p>
    <w:p w14:paraId="7837E22D" w14:textId="39ECACA6" w:rsidR="00C538E9" w:rsidRPr="00934626" w:rsidRDefault="00C538E9" w:rsidP="00C538E9">
      <w:pPr>
        <w:pStyle w:val="paraA0"/>
        <w:jc w:val="center"/>
        <w:rPr>
          <w:b/>
          <w:sz w:val="16"/>
          <w:szCs w:val="16"/>
          <w:lang w:val="en-IE"/>
        </w:rPr>
      </w:pPr>
      <w:r w:rsidRPr="00934626">
        <w:rPr>
          <w:sz w:val="16"/>
          <w:szCs w:val="16"/>
        </w:rPr>
        <w:t>RT-PCR = reverse-transcrip</w:t>
      </w:r>
      <w:r w:rsidR="004202C6" w:rsidRPr="00934626">
        <w:rPr>
          <w:sz w:val="16"/>
          <w:szCs w:val="16"/>
        </w:rPr>
        <w:t>t</w:t>
      </w:r>
      <w:r w:rsidR="00B619B2" w:rsidRPr="00934626">
        <w:rPr>
          <w:sz w:val="16"/>
          <w:szCs w:val="16"/>
        </w:rPr>
        <w:t>ion</w:t>
      </w:r>
      <w:r w:rsidR="00346D2E" w:rsidRPr="00934626">
        <w:rPr>
          <w:sz w:val="16"/>
          <w:szCs w:val="16"/>
        </w:rPr>
        <w:t xml:space="preserve"> </w:t>
      </w:r>
      <w:r w:rsidRPr="00934626">
        <w:rPr>
          <w:sz w:val="16"/>
          <w:szCs w:val="16"/>
        </w:rPr>
        <w:t xml:space="preserve">polymerase chain reaction; </w:t>
      </w:r>
      <w:r w:rsidRPr="00934626">
        <w:rPr>
          <w:sz w:val="16"/>
          <w:szCs w:val="16"/>
        </w:rPr>
        <w:br/>
        <w:t>ELISA = enzyme-linked immunosorbent assay;</w:t>
      </w:r>
      <w:r w:rsidR="00C94A91" w:rsidRPr="00934626">
        <w:rPr>
          <w:sz w:val="16"/>
          <w:szCs w:val="16"/>
        </w:rPr>
        <w:t xml:space="preserve"> LFD = </w:t>
      </w:r>
      <w:r w:rsidR="004202C6" w:rsidRPr="00934626">
        <w:rPr>
          <w:sz w:val="16"/>
          <w:szCs w:val="16"/>
        </w:rPr>
        <w:t>lateral flow device; AGID = agar gel immunodiffusion.</w:t>
      </w:r>
    </w:p>
    <w:p w14:paraId="12ECD482" w14:textId="77777777" w:rsidR="00431B81" w:rsidRPr="00934626" w:rsidRDefault="006F0EFC" w:rsidP="00877074">
      <w:pPr>
        <w:pStyle w:val="1"/>
      </w:pPr>
      <w:r w:rsidRPr="00934626">
        <w:t>1.</w:t>
      </w:r>
      <w:r w:rsidR="00431B81" w:rsidRPr="00934626">
        <w:tab/>
        <w:t>Collection of samples</w:t>
      </w:r>
    </w:p>
    <w:p w14:paraId="22A131F5" w14:textId="29736DFC" w:rsidR="00431B81" w:rsidRPr="00934626" w:rsidRDefault="00CA750E" w:rsidP="00877074">
      <w:pPr>
        <w:pStyle w:val="para1"/>
      </w:pPr>
      <w:r w:rsidRPr="00934626">
        <w:t xml:space="preserve">Samples for virus isolation must be kept chilled in transit to the laboratory. </w:t>
      </w:r>
      <w:r w:rsidR="00431B81" w:rsidRPr="00934626">
        <w:t>In live animals, swabs are made of the conjunctival discharges</w:t>
      </w:r>
      <w:r w:rsidR="00771A34" w:rsidRPr="00934626">
        <w:t xml:space="preserve"> </w:t>
      </w:r>
      <w:r w:rsidR="00C94A91" w:rsidRPr="00934626">
        <w:t>or</w:t>
      </w:r>
      <w:r w:rsidR="00431B81" w:rsidRPr="00934626">
        <w:t xml:space="preserve"> from the nasal</w:t>
      </w:r>
      <w:r w:rsidR="00393CCA" w:rsidRPr="00934626">
        <w:t>,</w:t>
      </w:r>
      <w:r w:rsidR="00431B81" w:rsidRPr="00934626">
        <w:t xml:space="preserve"> </w:t>
      </w:r>
      <w:r w:rsidR="00393CCA" w:rsidRPr="00934626">
        <w:t>buccal or rectal mucosae</w:t>
      </w:r>
      <w:r w:rsidR="00431B81" w:rsidRPr="00934626">
        <w:t xml:space="preserve">. </w:t>
      </w:r>
      <w:r w:rsidR="00771A34" w:rsidRPr="00934626">
        <w:t>During the very early stage of the disease, w</w:t>
      </w:r>
      <w:r w:rsidR="00431B81" w:rsidRPr="00934626">
        <w:t>hole blood is also collected in anticoagulant for virus isolation, polymerase chain reaction (PCR) and haematology</w:t>
      </w:r>
      <w:r w:rsidR="00605E23" w:rsidRPr="00934626">
        <w:t xml:space="preserve"> (either </w:t>
      </w:r>
      <w:r w:rsidR="00605E23" w:rsidRPr="00934626">
        <w:rPr>
          <w:lang w:val="it-IT"/>
        </w:rPr>
        <w:t>ethylene diamine tetra-acetic acid</w:t>
      </w:r>
      <w:r w:rsidR="00605E23" w:rsidRPr="00934626">
        <w:t xml:space="preserve"> or heparin can be used as anticoagulant, though the former is preferred for samples that will be tested using PCR)</w:t>
      </w:r>
      <w:r w:rsidR="00431B81" w:rsidRPr="00934626">
        <w:t>. At necropsy</w:t>
      </w:r>
      <w:r w:rsidR="00365499" w:rsidRPr="00934626">
        <w:t>,</w:t>
      </w:r>
      <w:r w:rsidR="00431B81" w:rsidRPr="00934626">
        <w:t xml:space="preserve"> </w:t>
      </w:r>
      <w:r w:rsidR="00365499" w:rsidRPr="00934626">
        <w:t xml:space="preserve">samples from </w:t>
      </w:r>
      <w:r w:rsidR="00431B81" w:rsidRPr="00934626">
        <w:t xml:space="preserve">two to three animals </w:t>
      </w:r>
      <w:r w:rsidR="00DB456B" w:rsidRPr="00934626">
        <w:t xml:space="preserve">should be collected aseptically </w:t>
      </w:r>
      <w:r w:rsidR="00A214D7" w:rsidRPr="00934626">
        <w:t>from</w:t>
      </w:r>
      <w:r w:rsidR="00DB456B" w:rsidRPr="00934626">
        <w:t xml:space="preserve"> </w:t>
      </w:r>
      <w:r w:rsidR="00431B81" w:rsidRPr="00934626">
        <w:t xml:space="preserve">lymph nodes, especially the mesenteric and bronchial nodes, lungs, spleen and intestinal mucosae, chilled on ice and transported under refrigeration. </w:t>
      </w:r>
      <w:r w:rsidR="00DB456B" w:rsidRPr="00934626">
        <w:t xml:space="preserve">Samples </w:t>
      </w:r>
      <w:r w:rsidR="00431B81" w:rsidRPr="00934626">
        <w:t xml:space="preserve">of organs collected for histopathology are placed in 10% </w:t>
      </w:r>
      <w:r w:rsidR="00DB456B" w:rsidRPr="00934626">
        <w:t xml:space="preserve">neutral buffered </w:t>
      </w:r>
      <w:r w:rsidR="00431B81" w:rsidRPr="00934626">
        <w:t xml:space="preserve">formalin. </w:t>
      </w:r>
      <w:r w:rsidR="006F0EFC" w:rsidRPr="00934626">
        <w:t>It is good practice to collect</w:t>
      </w:r>
      <w:r w:rsidR="00431B81" w:rsidRPr="00934626">
        <w:t xml:space="preserve"> blood for serological diagnosis</w:t>
      </w:r>
      <w:r w:rsidR="006F0EFC" w:rsidRPr="00934626">
        <w:t xml:space="preserve"> at all stages, but particularly later in the outbreak</w:t>
      </w:r>
      <w:r w:rsidR="00431B81" w:rsidRPr="00934626">
        <w:t>.</w:t>
      </w:r>
    </w:p>
    <w:p w14:paraId="21E753CC" w14:textId="77777777" w:rsidR="00075EE9" w:rsidRPr="00934626" w:rsidRDefault="00075EE9">
      <w:pPr>
        <w:tabs>
          <w:tab w:val="clear" w:pos="-720"/>
        </w:tabs>
        <w:spacing w:line="240" w:lineRule="auto"/>
        <w:jc w:val="left"/>
        <w:rPr>
          <w:rFonts w:ascii="Ottawa" w:hAnsi="Ottawa" w:cs="Arial"/>
          <w:b/>
          <w:bCs/>
          <w:sz w:val="22"/>
          <w:szCs w:val="22"/>
        </w:rPr>
      </w:pPr>
      <w:r w:rsidRPr="00934626">
        <w:br w:type="page"/>
      </w:r>
    </w:p>
    <w:p w14:paraId="1D06365C" w14:textId="58146804" w:rsidR="006F0EFC" w:rsidRPr="00934626" w:rsidRDefault="006F0EFC" w:rsidP="00877074">
      <w:pPr>
        <w:pStyle w:val="1"/>
        <w:outlineLvl w:val="0"/>
      </w:pPr>
      <w:r w:rsidRPr="00934626">
        <w:lastRenderedPageBreak/>
        <w:t>2.</w:t>
      </w:r>
      <w:r w:rsidRPr="00934626">
        <w:tab/>
        <w:t>Identification of the agent</w:t>
      </w:r>
    </w:p>
    <w:p w14:paraId="43783699" w14:textId="4156D206" w:rsidR="00431B81" w:rsidRPr="00934626" w:rsidRDefault="00ED47BC" w:rsidP="008E2282">
      <w:pPr>
        <w:pStyle w:val="11"/>
      </w:pPr>
      <w:r w:rsidRPr="00934626">
        <w:t>2.</w:t>
      </w:r>
      <w:r w:rsidR="00075EE9" w:rsidRPr="00934626">
        <w:t>1</w:t>
      </w:r>
      <w:r w:rsidRPr="00934626">
        <w:t>.</w:t>
      </w:r>
      <w:r w:rsidR="00431B81" w:rsidRPr="00934626">
        <w:tab/>
        <w:t>Immunocapture enzyme-linked immunosorbent assay</w:t>
      </w:r>
    </w:p>
    <w:p w14:paraId="75D3741B" w14:textId="4C4F31E4" w:rsidR="00393CCA" w:rsidRPr="00934626" w:rsidRDefault="00393CCA" w:rsidP="00393CCA">
      <w:pPr>
        <w:pStyle w:val="11Para"/>
      </w:pPr>
      <w:r w:rsidRPr="00934626">
        <w:t>The</w:t>
      </w:r>
      <w:r w:rsidR="00B52E42" w:rsidRPr="00934626">
        <w:t xml:space="preserve"> immunocapture enzyme-linked immunosorbent assay</w:t>
      </w:r>
      <w:r w:rsidRPr="00934626">
        <w:t xml:space="preserve"> </w:t>
      </w:r>
      <w:r w:rsidR="00B52E42" w:rsidRPr="00934626">
        <w:t>(</w:t>
      </w:r>
      <w:r w:rsidR="008E2282" w:rsidRPr="00934626">
        <w:t>IC-</w:t>
      </w:r>
      <w:r w:rsidRPr="00934626">
        <w:t>ELISA</w:t>
      </w:r>
      <w:r w:rsidR="00B52E42" w:rsidRPr="00934626">
        <w:t>)</w:t>
      </w:r>
      <w:r w:rsidRPr="00934626">
        <w:t xml:space="preserve"> (Libeau </w:t>
      </w:r>
      <w:r w:rsidRPr="00934626">
        <w:rPr>
          <w:i/>
        </w:rPr>
        <w:t>et al.,</w:t>
      </w:r>
      <w:r w:rsidRPr="00934626">
        <w:t xml:space="preserve"> 1994) using two monoclonal antibodies (</w:t>
      </w:r>
      <w:proofErr w:type="spellStart"/>
      <w:r w:rsidRPr="00934626">
        <w:t>MAb</w:t>
      </w:r>
      <w:proofErr w:type="spellEnd"/>
      <w:r w:rsidRPr="00934626">
        <w:t xml:space="preserve">) raised to the N protein allows rapid identification of PPRV. </w:t>
      </w:r>
    </w:p>
    <w:p w14:paraId="4C1A188F" w14:textId="20114E75" w:rsidR="00393CCA" w:rsidRPr="00934626" w:rsidRDefault="00393CCA" w:rsidP="00393CCA">
      <w:pPr>
        <w:pStyle w:val="11Para"/>
      </w:pPr>
      <w:r w:rsidRPr="00934626">
        <w:t xml:space="preserve">Advice on the use and applicability of the </w:t>
      </w:r>
      <w:r w:rsidR="008E2282" w:rsidRPr="00934626">
        <w:t>IC-</w:t>
      </w:r>
      <w:r w:rsidRPr="00934626">
        <w:t xml:space="preserve">ELISA is available from the OIE Reference Laboratories for PPR. The </w:t>
      </w:r>
      <w:r w:rsidR="00F9052E" w:rsidRPr="00934626">
        <w:t xml:space="preserve">assay </w:t>
      </w:r>
      <w:r w:rsidRPr="00934626">
        <w:t xml:space="preserve">is available as a commercial kit. The instructions provided by </w:t>
      </w:r>
      <w:r w:rsidR="00B52E42" w:rsidRPr="00934626">
        <w:t xml:space="preserve">the </w:t>
      </w:r>
      <w:r w:rsidRPr="00934626">
        <w:t xml:space="preserve">kit supplier should be followed. </w:t>
      </w:r>
      <w:r w:rsidR="00B52E42" w:rsidRPr="00934626">
        <w:t>The general principle of the kit is</w:t>
      </w:r>
      <w:r w:rsidRPr="00934626">
        <w:t>:</w:t>
      </w:r>
    </w:p>
    <w:p w14:paraId="06CFB8E5" w14:textId="77CD7EDC" w:rsidR="00B52E42" w:rsidRPr="00934626" w:rsidRDefault="00B52E42" w:rsidP="004D3A1B">
      <w:pPr>
        <w:pStyle w:val="11ilist"/>
      </w:pPr>
      <w:proofErr w:type="spellStart"/>
      <w:r w:rsidRPr="00934626">
        <w:t>i</w:t>
      </w:r>
      <w:proofErr w:type="spellEnd"/>
      <w:r w:rsidRPr="00934626">
        <w:t>)</w:t>
      </w:r>
      <w:r w:rsidR="004D3A1B" w:rsidRPr="00934626">
        <w:tab/>
      </w:r>
      <w:r w:rsidR="00393CCA" w:rsidRPr="00934626">
        <w:t xml:space="preserve">Wells are </w:t>
      </w:r>
      <w:r w:rsidRPr="00934626">
        <w:t xml:space="preserve">provided </w:t>
      </w:r>
      <w:r w:rsidR="00393CCA" w:rsidRPr="00934626">
        <w:t>pre-coated with an anti-PPRV-N antibody.</w:t>
      </w:r>
      <w:r w:rsidRPr="00934626">
        <w:t xml:space="preserve"> </w:t>
      </w:r>
    </w:p>
    <w:p w14:paraId="69F4EAAD" w14:textId="11B54536" w:rsidR="00B52E42" w:rsidRPr="00934626" w:rsidRDefault="00B52E42" w:rsidP="004D3A1B">
      <w:pPr>
        <w:pStyle w:val="11ilist"/>
      </w:pPr>
      <w:r w:rsidRPr="00934626">
        <w:t>ii)</w:t>
      </w:r>
      <w:r w:rsidR="004D3A1B" w:rsidRPr="00934626">
        <w:tab/>
      </w:r>
      <w:r w:rsidR="00393CCA" w:rsidRPr="00934626">
        <w:t>Samples to be tested</w:t>
      </w:r>
      <w:r w:rsidRPr="00934626">
        <w:t>,</w:t>
      </w:r>
      <w:r w:rsidR="00393CCA" w:rsidRPr="00934626">
        <w:t xml:space="preserve"> and </w:t>
      </w:r>
      <w:r w:rsidRPr="00934626">
        <w:t xml:space="preserve">included </w:t>
      </w:r>
      <w:r w:rsidR="00393CCA" w:rsidRPr="00934626">
        <w:t>controls</w:t>
      </w:r>
      <w:r w:rsidRPr="00934626">
        <w:t>,</w:t>
      </w:r>
      <w:r w:rsidR="00393CCA" w:rsidRPr="00934626">
        <w:t xml:space="preserve"> are added to the wells. PPRV, if present, forms an antibody</w:t>
      </w:r>
      <w:r w:rsidR="00F44367" w:rsidRPr="00934626">
        <w:t>–</w:t>
      </w:r>
      <w:r w:rsidR="00393CCA" w:rsidRPr="00934626">
        <w:t>antigen complex.</w:t>
      </w:r>
    </w:p>
    <w:p w14:paraId="73DBE59B" w14:textId="75E94AB4" w:rsidR="00B52E42" w:rsidRPr="00934626" w:rsidRDefault="00B52E42" w:rsidP="004D3A1B">
      <w:pPr>
        <w:pStyle w:val="11ilist"/>
      </w:pPr>
      <w:r w:rsidRPr="00934626">
        <w:t>iii)</w:t>
      </w:r>
      <w:r w:rsidR="004D3A1B" w:rsidRPr="00934626">
        <w:tab/>
      </w:r>
      <w:r w:rsidR="00393CCA" w:rsidRPr="00934626">
        <w:t xml:space="preserve">After washing, an anti-PPRV-N </w:t>
      </w:r>
      <w:proofErr w:type="spellStart"/>
      <w:r w:rsidR="00393CCA" w:rsidRPr="00934626">
        <w:t>M</w:t>
      </w:r>
      <w:r w:rsidR="00F9052E" w:rsidRPr="00934626">
        <w:t>A</w:t>
      </w:r>
      <w:r w:rsidR="00393CCA" w:rsidRPr="00934626">
        <w:t>b</w:t>
      </w:r>
      <w:proofErr w:type="spellEnd"/>
      <w:r w:rsidR="00393CCA" w:rsidRPr="00934626">
        <w:t>–</w:t>
      </w:r>
      <w:r w:rsidR="000958B0" w:rsidRPr="00934626">
        <w:t>horse radish peroxidase (</w:t>
      </w:r>
      <w:r w:rsidR="00393CCA" w:rsidRPr="00934626">
        <w:t>HRP</w:t>
      </w:r>
      <w:r w:rsidR="000958B0" w:rsidRPr="00934626">
        <w:t>)</w:t>
      </w:r>
      <w:r w:rsidR="00393CCA" w:rsidRPr="00934626">
        <w:t xml:space="preserve"> conjugate is added, forming an antibody</w:t>
      </w:r>
      <w:r w:rsidR="000958B0" w:rsidRPr="00934626">
        <w:t>–</w:t>
      </w:r>
      <w:r w:rsidR="00393CCA" w:rsidRPr="00934626">
        <w:t>antigen</w:t>
      </w:r>
      <w:r w:rsidR="000958B0" w:rsidRPr="00934626">
        <w:t>–</w:t>
      </w:r>
      <w:proofErr w:type="spellStart"/>
      <w:r w:rsidR="00393CCA" w:rsidRPr="00934626">
        <w:t>M</w:t>
      </w:r>
      <w:r w:rsidR="00F9052E" w:rsidRPr="00934626">
        <w:t>A</w:t>
      </w:r>
      <w:r w:rsidR="00393CCA" w:rsidRPr="00934626">
        <w:t>b</w:t>
      </w:r>
      <w:proofErr w:type="spellEnd"/>
      <w:r w:rsidR="000958B0" w:rsidRPr="00934626">
        <w:t>–</w:t>
      </w:r>
      <w:r w:rsidR="00393CCA" w:rsidRPr="00934626">
        <w:t xml:space="preserve">HRP complex. </w:t>
      </w:r>
    </w:p>
    <w:p w14:paraId="560467B0" w14:textId="798CCDA2" w:rsidR="00393CCA" w:rsidRPr="00934626" w:rsidRDefault="00B52E42" w:rsidP="004D3A1B">
      <w:pPr>
        <w:pStyle w:val="11ilist"/>
      </w:pPr>
      <w:r w:rsidRPr="00934626">
        <w:t>iv)</w:t>
      </w:r>
      <w:r w:rsidR="004D3A1B" w:rsidRPr="00934626">
        <w:tab/>
      </w:r>
      <w:r w:rsidR="00393CCA" w:rsidRPr="00934626">
        <w:t xml:space="preserve">After </w:t>
      </w:r>
      <w:r w:rsidRPr="00934626">
        <w:t xml:space="preserve">further </w:t>
      </w:r>
      <w:r w:rsidR="00393CCA" w:rsidRPr="00934626">
        <w:t>washing to eliminate the excess conjugate, the substrate solution (TMB</w:t>
      </w:r>
      <w:r w:rsidR="000958B0" w:rsidRPr="00934626">
        <w:t>: tetramethyl benzidine</w:t>
      </w:r>
      <w:r w:rsidR="00393CCA" w:rsidRPr="00934626">
        <w:t xml:space="preserve">) is added. The resulting coloration depends on the quantity of PPRV present in the sample tested. In the presence of PPRV, a blue coloration appears </w:t>
      </w:r>
      <w:r w:rsidR="004D3A1B" w:rsidRPr="00934626">
        <w:t>that</w:t>
      </w:r>
      <w:r w:rsidR="00393CCA" w:rsidRPr="00934626">
        <w:t xml:space="preserve"> becomes yellow after </w:t>
      </w:r>
      <w:r w:rsidR="004D3A1B" w:rsidRPr="00934626">
        <w:t xml:space="preserve">addition of the stop solution. </w:t>
      </w:r>
      <w:r w:rsidR="00393CCA" w:rsidRPr="00934626">
        <w:t>In the absence of PPRV, no coloration appears. The microplate is read at 450</w:t>
      </w:r>
      <w:r w:rsidR="004D3A1B" w:rsidRPr="00934626">
        <w:t xml:space="preserve"> </w:t>
      </w:r>
      <w:r w:rsidR="00393CCA" w:rsidRPr="00934626">
        <w:t>nm.</w:t>
      </w:r>
    </w:p>
    <w:p w14:paraId="020AB8DD" w14:textId="77777777" w:rsidR="00393CCA" w:rsidRPr="00934626" w:rsidRDefault="00393CCA" w:rsidP="00393CCA">
      <w:pPr>
        <w:pStyle w:val="11Para"/>
      </w:pPr>
      <w:r w:rsidRPr="00934626">
        <w:t>The test is very specific and sensitive (it can detect 10</w:t>
      </w:r>
      <w:r w:rsidRPr="00934626">
        <w:rPr>
          <w:vertAlign w:val="superscript"/>
        </w:rPr>
        <w:t>0.6</w:t>
      </w:r>
      <w:r w:rsidRPr="00934626">
        <w:t xml:space="preserve"> TCID</w:t>
      </w:r>
      <w:r w:rsidRPr="00934626">
        <w:rPr>
          <w:vertAlign w:val="subscript"/>
        </w:rPr>
        <w:t>50</w:t>
      </w:r>
      <w:r w:rsidRPr="00934626">
        <w:t>/well of PPRV). The results are obtained in less than 2 hours.</w:t>
      </w:r>
    </w:p>
    <w:p w14:paraId="7062954E" w14:textId="1539CD66" w:rsidR="00393CCA" w:rsidRPr="00934626" w:rsidRDefault="00393CCA" w:rsidP="00393CCA">
      <w:pPr>
        <w:pStyle w:val="11Para"/>
      </w:pPr>
      <w:r w:rsidRPr="00934626">
        <w:t xml:space="preserve">A sandwich form of the </w:t>
      </w:r>
      <w:r w:rsidR="00F44367" w:rsidRPr="00934626">
        <w:t>IC-</w:t>
      </w:r>
      <w:r w:rsidRPr="00934626">
        <w:t xml:space="preserve">ELISA is widely used in India (Singh </w:t>
      </w:r>
      <w:r w:rsidRPr="00934626">
        <w:rPr>
          <w:i/>
        </w:rPr>
        <w:t>et al.</w:t>
      </w:r>
      <w:r w:rsidRPr="00934626">
        <w:t xml:space="preserve">, 2004): the sample is first allowed to react with the detection </w:t>
      </w:r>
      <w:proofErr w:type="spellStart"/>
      <w:r w:rsidRPr="00934626">
        <w:t>MAb</w:t>
      </w:r>
      <w:proofErr w:type="spellEnd"/>
      <w:r w:rsidRPr="00934626">
        <w:t xml:space="preserve"> and the immunocomplex is then captured by </w:t>
      </w:r>
      <w:r w:rsidR="00F9052E" w:rsidRPr="00934626">
        <w:t>a</w:t>
      </w:r>
      <w:r w:rsidR="00F44367" w:rsidRPr="00934626">
        <w:t>n</w:t>
      </w:r>
      <w:r w:rsidR="00F9052E" w:rsidRPr="00934626">
        <w:t xml:space="preserve"> </w:t>
      </w:r>
      <w:proofErr w:type="spellStart"/>
      <w:r w:rsidRPr="00934626">
        <w:t>MAb</w:t>
      </w:r>
      <w:proofErr w:type="spellEnd"/>
      <w:r w:rsidRPr="00934626">
        <w:t xml:space="preserve"> or polyclonal antibody adsorbed onto the ELISA plate. The assay shows high correlation to the cell infectivity assay (TCID</w:t>
      </w:r>
      <w:r w:rsidRPr="00934626">
        <w:rPr>
          <w:vertAlign w:val="subscript"/>
        </w:rPr>
        <w:t>50</w:t>
      </w:r>
      <w:r w:rsidRPr="00934626">
        <w:t>) with a minimum detection limit of 10</w:t>
      </w:r>
      <w:r w:rsidRPr="00934626">
        <w:rPr>
          <w:vertAlign w:val="superscript"/>
        </w:rPr>
        <w:t>3</w:t>
      </w:r>
      <w:r w:rsidRPr="00934626">
        <w:t xml:space="preserve"> TCID</w:t>
      </w:r>
      <w:r w:rsidRPr="00934626">
        <w:rPr>
          <w:vertAlign w:val="subscript"/>
        </w:rPr>
        <w:t>50</w:t>
      </w:r>
      <w:r w:rsidRPr="00934626">
        <w:t>/ml.</w:t>
      </w:r>
    </w:p>
    <w:p w14:paraId="2B84D55A" w14:textId="774DC0F3" w:rsidR="00431B81" w:rsidRPr="00934626" w:rsidRDefault="00ED47BC" w:rsidP="00DA14ED">
      <w:pPr>
        <w:pStyle w:val="11"/>
        <w:rPr>
          <w:szCs w:val="20"/>
        </w:rPr>
      </w:pPr>
      <w:r w:rsidRPr="00934626">
        <w:rPr>
          <w:szCs w:val="20"/>
        </w:rPr>
        <w:t>2.</w:t>
      </w:r>
      <w:r w:rsidR="00075EE9" w:rsidRPr="00934626">
        <w:rPr>
          <w:szCs w:val="20"/>
        </w:rPr>
        <w:t>2</w:t>
      </w:r>
      <w:r w:rsidRPr="00934626">
        <w:rPr>
          <w:szCs w:val="20"/>
        </w:rPr>
        <w:t>.</w:t>
      </w:r>
      <w:r w:rsidR="00431B81" w:rsidRPr="00934626">
        <w:rPr>
          <w:szCs w:val="20"/>
        </w:rPr>
        <w:tab/>
        <w:t>Nucleic acid recognition methods</w:t>
      </w:r>
    </w:p>
    <w:p w14:paraId="3998221D" w14:textId="6589862A" w:rsidR="003870B1" w:rsidRPr="00934626" w:rsidRDefault="00A61D6B" w:rsidP="00DA14ED">
      <w:pPr>
        <w:pStyle w:val="11Para"/>
      </w:pPr>
      <w:r w:rsidRPr="00934626">
        <w:t xml:space="preserve">Reverse </w:t>
      </w:r>
      <w:r w:rsidR="002D1334" w:rsidRPr="00934626">
        <w:t>transcription</w:t>
      </w:r>
      <w:r w:rsidR="000C6D8F" w:rsidRPr="00934626">
        <w:t xml:space="preserve"> </w:t>
      </w:r>
      <w:r w:rsidR="00ED7582" w:rsidRPr="00934626">
        <w:t>PCR</w:t>
      </w:r>
      <w:r w:rsidR="000C6D8F" w:rsidRPr="00934626">
        <w:t xml:space="preserve"> (RT-</w:t>
      </w:r>
      <w:r w:rsidR="00431B81" w:rsidRPr="00934626">
        <w:t>PCR</w:t>
      </w:r>
      <w:r w:rsidR="000C6D8F" w:rsidRPr="00934626">
        <w:t>)</w:t>
      </w:r>
      <w:r w:rsidR="00431B81" w:rsidRPr="00934626">
        <w:t xml:space="preserve"> technique</w:t>
      </w:r>
      <w:r w:rsidRPr="00934626">
        <w:t>s</w:t>
      </w:r>
      <w:r w:rsidR="00431B81" w:rsidRPr="00934626">
        <w:t xml:space="preserve"> based on the amplification of </w:t>
      </w:r>
      <w:r w:rsidRPr="00934626">
        <w:t xml:space="preserve">parts of </w:t>
      </w:r>
      <w:r w:rsidR="00431B81" w:rsidRPr="00934626">
        <w:t>the N and F protein genes ha</w:t>
      </w:r>
      <w:r w:rsidR="00605E23" w:rsidRPr="00934626">
        <w:t>ve</w:t>
      </w:r>
      <w:r w:rsidR="00431B81" w:rsidRPr="00934626">
        <w:t xml:space="preserve"> been developed for </w:t>
      </w:r>
      <w:r w:rsidR="001B1186" w:rsidRPr="00934626">
        <w:t>the specific diagnosis of PPR (</w:t>
      </w:r>
      <w:proofErr w:type="spellStart"/>
      <w:r w:rsidR="006D44BE" w:rsidRPr="00934626">
        <w:t>Couacy-Hymann</w:t>
      </w:r>
      <w:proofErr w:type="spellEnd"/>
      <w:r w:rsidR="006D44BE" w:rsidRPr="00934626">
        <w:t xml:space="preserve"> </w:t>
      </w:r>
      <w:r w:rsidR="00580D9F" w:rsidRPr="00934626">
        <w:rPr>
          <w:i/>
        </w:rPr>
        <w:t>et al.</w:t>
      </w:r>
      <w:r w:rsidR="006D44BE" w:rsidRPr="00934626">
        <w:t>, 2002</w:t>
      </w:r>
      <w:r w:rsidR="00431B81" w:rsidRPr="00934626">
        <w:t xml:space="preserve">). This technique is </w:t>
      </w:r>
      <w:r w:rsidR="00965421" w:rsidRPr="00934626">
        <w:t>1000 times more sensitive than classical virus titration on Vero cells (</w:t>
      </w:r>
      <w:proofErr w:type="spellStart"/>
      <w:r w:rsidR="00965421" w:rsidRPr="00934626">
        <w:t>Couacy-Hymann</w:t>
      </w:r>
      <w:proofErr w:type="spellEnd"/>
      <w:r w:rsidR="00965421" w:rsidRPr="00934626">
        <w:t xml:space="preserve"> </w:t>
      </w:r>
      <w:r w:rsidR="00965421" w:rsidRPr="00934626">
        <w:rPr>
          <w:i/>
        </w:rPr>
        <w:t>et al.,</w:t>
      </w:r>
      <w:r w:rsidR="00965421" w:rsidRPr="00934626">
        <w:t xml:space="preserve"> 2002)</w:t>
      </w:r>
      <w:r w:rsidR="00431B81" w:rsidRPr="00934626">
        <w:t xml:space="preserve"> with </w:t>
      </w:r>
      <w:r w:rsidR="00C61289" w:rsidRPr="00934626">
        <w:t xml:space="preserve">the </w:t>
      </w:r>
      <w:r w:rsidR="00965421" w:rsidRPr="00934626">
        <w:t xml:space="preserve">advantage that </w:t>
      </w:r>
      <w:r w:rsidR="002D1334" w:rsidRPr="00934626">
        <w:t>results are obtained in 5 </w:t>
      </w:r>
      <w:r w:rsidR="00431B81" w:rsidRPr="00934626">
        <w:t>hours, including the RNA extraction</w:t>
      </w:r>
      <w:r w:rsidR="00965421" w:rsidRPr="00934626">
        <w:t>, instead of 10</w:t>
      </w:r>
      <w:r w:rsidR="00E93E2A" w:rsidRPr="00934626">
        <w:t>–</w:t>
      </w:r>
      <w:r w:rsidR="00965421" w:rsidRPr="00934626">
        <w:t xml:space="preserve">12 days for </w:t>
      </w:r>
      <w:r w:rsidR="00C61289" w:rsidRPr="00934626">
        <w:t>virus isolation</w:t>
      </w:r>
      <w:r w:rsidR="00431B81" w:rsidRPr="00934626">
        <w:t>.</w:t>
      </w:r>
      <w:r w:rsidR="00605E23" w:rsidRPr="00934626">
        <w:t xml:space="preserve"> The two most commonly used protocols are given in some detail below.</w:t>
      </w:r>
      <w:r w:rsidR="001C2F1B" w:rsidRPr="00934626">
        <w:t xml:space="preserve"> </w:t>
      </w:r>
      <w:r w:rsidR="002C1AC8" w:rsidRPr="00934626">
        <w:t xml:space="preserve">A multiplex RT-PCR, based on the amplification of fragments of N and M </w:t>
      </w:r>
      <w:r w:rsidR="00393122" w:rsidRPr="00934626">
        <w:t xml:space="preserve">protein </w:t>
      </w:r>
      <w:r w:rsidR="002C1AC8" w:rsidRPr="00934626">
        <w:t>genes, has been reported (</w:t>
      </w:r>
      <w:r w:rsidR="008D4B5A" w:rsidRPr="00934626">
        <w:t xml:space="preserve">George </w:t>
      </w:r>
      <w:r w:rsidR="00580D9F" w:rsidRPr="00934626">
        <w:rPr>
          <w:i/>
        </w:rPr>
        <w:t>et al.</w:t>
      </w:r>
      <w:r w:rsidR="008D4B5A" w:rsidRPr="00934626">
        <w:t>, 2006</w:t>
      </w:r>
      <w:r w:rsidR="002C1AC8" w:rsidRPr="00934626">
        <w:t xml:space="preserve">). </w:t>
      </w:r>
      <w:r w:rsidR="000C6D8F" w:rsidRPr="00934626">
        <w:t>Another format of the N gene-based RT-PCR has</w:t>
      </w:r>
      <w:r w:rsidR="00ED7582" w:rsidRPr="00934626">
        <w:t xml:space="preserve"> also</w:t>
      </w:r>
      <w:r w:rsidR="000C6D8F" w:rsidRPr="00934626">
        <w:t xml:space="preserve"> been described (</w:t>
      </w:r>
      <w:r w:rsidRPr="00934626">
        <w:t xml:space="preserve">Saravanan </w:t>
      </w:r>
      <w:r w:rsidRPr="00934626">
        <w:rPr>
          <w:i/>
        </w:rPr>
        <w:t>et al.,</w:t>
      </w:r>
      <w:r w:rsidRPr="00934626">
        <w:t xml:space="preserve"> 2004</w:t>
      </w:r>
      <w:r w:rsidR="000C6D8F" w:rsidRPr="00934626">
        <w:t>). Instead of analysing the amplified product</w:t>
      </w:r>
      <w:r w:rsidR="00ED7582" w:rsidRPr="00934626">
        <w:t xml:space="preserve"> –</w:t>
      </w:r>
      <w:r w:rsidR="000C6D8F" w:rsidRPr="00934626">
        <w:t xml:space="preserve"> the amplicon</w:t>
      </w:r>
      <w:r w:rsidR="00ED7582" w:rsidRPr="00934626">
        <w:t xml:space="preserve"> –</w:t>
      </w:r>
      <w:r w:rsidR="000C6D8F" w:rsidRPr="00934626">
        <w:t xml:space="preserve"> by agarose gel electrophoresis, it is detected on a plate by ELISA</w:t>
      </w:r>
      <w:r w:rsidR="002C1AC8" w:rsidRPr="00934626">
        <w:t xml:space="preserve"> through the use of a labelled probe. This RT-PCR-ELISA</w:t>
      </w:r>
      <w:r w:rsidR="000C6D8F" w:rsidRPr="00934626">
        <w:t xml:space="preserve"> </w:t>
      </w:r>
      <w:r w:rsidR="002C1AC8" w:rsidRPr="00934626">
        <w:t xml:space="preserve">is ten times </w:t>
      </w:r>
      <w:r w:rsidR="00BF4CD6" w:rsidRPr="00934626">
        <w:t xml:space="preserve">more </w:t>
      </w:r>
      <w:r w:rsidR="002C1AC8" w:rsidRPr="00934626">
        <w:t>sensitive tha</w:t>
      </w:r>
      <w:r w:rsidR="00BF4CD6" w:rsidRPr="00934626">
        <w:t>n</w:t>
      </w:r>
      <w:r w:rsidR="002C1AC8" w:rsidRPr="00934626">
        <w:t xml:space="preserve"> the classical RT-PCR. </w:t>
      </w:r>
    </w:p>
    <w:p w14:paraId="21F9AC99" w14:textId="67ECD75E" w:rsidR="00431B81" w:rsidRPr="00934626" w:rsidRDefault="00E33C93" w:rsidP="00DA14ED">
      <w:pPr>
        <w:pStyle w:val="11Para"/>
        <w:rPr>
          <w:lang w:val="en-US"/>
        </w:rPr>
      </w:pPr>
      <w:r w:rsidRPr="00934626">
        <w:t>In recent years, nucleic acid amplification</w:t>
      </w:r>
      <w:r w:rsidR="00EA0490" w:rsidRPr="00934626">
        <w:t xml:space="preserve"> methods</w:t>
      </w:r>
      <w:r w:rsidRPr="00934626">
        <w:t xml:space="preserve"> for PPR diagnosis ha</w:t>
      </w:r>
      <w:r w:rsidR="00EA0490" w:rsidRPr="00934626">
        <w:t>ve</w:t>
      </w:r>
      <w:r w:rsidRPr="00934626">
        <w:t xml:space="preserve"> been </w:t>
      </w:r>
      <w:r w:rsidR="00462CC2" w:rsidRPr="00934626">
        <w:t>significantly</w:t>
      </w:r>
      <w:r w:rsidR="00EA0490" w:rsidRPr="00934626">
        <w:t xml:space="preserve"> </w:t>
      </w:r>
      <w:r w:rsidRPr="00934626">
        <w:t xml:space="preserve">improved with quantitative </w:t>
      </w:r>
      <w:r w:rsidR="008667DD" w:rsidRPr="00934626">
        <w:t xml:space="preserve">real-time </w:t>
      </w:r>
      <w:r w:rsidRPr="00934626">
        <w:t>RT-PCR (</w:t>
      </w:r>
      <w:r w:rsidR="006B0727" w:rsidRPr="00934626">
        <w:rPr>
          <w:lang w:val="en-US"/>
        </w:rPr>
        <w:t xml:space="preserve">e.g. </w:t>
      </w:r>
      <w:r w:rsidR="005A1116" w:rsidRPr="00934626">
        <w:t xml:space="preserve">Bao </w:t>
      </w:r>
      <w:r w:rsidR="005A1116" w:rsidRPr="00934626">
        <w:rPr>
          <w:i/>
        </w:rPr>
        <w:t>et al.,</w:t>
      </w:r>
      <w:r w:rsidR="005A1116" w:rsidRPr="00934626">
        <w:t xml:space="preserve"> 2008; </w:t>
      </w:r>
      <w:r w:rsidR="00A61D6B" w:rsidRPr="00934626">
        <w:t xml:space="preserve">Batten </w:t>
      </w:r>
      <w:r w:rsidR="00A61D6B" w:rsidRPr="00934626">
        <w:rPr>
          <w:i/>
        </w:rPr>
        <w:t>et al.,</w:t>
      </w:r>
      <w:r w:rsidR="00A61D6B" w:rsidRPr="00934626">
        <w:t xml:space="preserve"> 2011; </w:t>
      </w:r>
      <w:proofErr w:type="spellStart"/>
      <w:r w:rsidR="005A1116" w:rsidRPr="00934626">
        <w:t>Kwiatek</w:t>
      </w:r>
      <w:proofErr w:type="spellEnd"/>
      <w:r w:rsidR="005A1116" w:rsidRPr="00934626">
        <w:t xml:space="preserve"> </w:t>
      </w:r>
      <w:r w:rsidR="005A1116" w:rsidRPr="00934626">
        <w:rPr>
          <w:i/>
        </w:rPr>
        <w:t>et al.,</w:t>
      </w:r>
      <w:r w:rsidR="005A1116" w:rsidRPr="00934626">
        <w:t xml:space="preserve"> 2010)</w:t>
      </w:r>
      <w:r w:rsidRPr="00934626">
        <w:t>.</w:t>
      </w:r>
      <w:r w:rsidR="005A1116" w:rsidRPr="00934626">
        <w:t xml:space="preserve"> </w:t>
      </w:r>
      <w:r w:rsidR="00C61289" w:rsidRPr="00934626">
        <w:t xml:space="preserve">This method </w:t>
      </w:r>
      <w:r w:rsidR="009D4597" w:rsidRPr="00934626">
        <w:t xml:space="preserve">is </w:t>
      </w:r>
      <w:r w:rsidR="00FD0397" w:rsidRPr="00934626">
        <w:t xml:space="preserve">also ten </w:t>
      </w:r>
      <w:r w:rsidR="009D4597" w:rsidRPr="00934626">
        <w:t xml:space="preserve">times more sensitive </w:t>
      </w:r>
      <w:r w:rsidR="00C61289" w:rsidRPr="00934626">
        <w:t>than</w:t>
      </w:r>
      <w:r w:rsidR="009D4597" w:rsidRPr="00934626">
        <w:t xml:space="preserve"> conventional RT-PCR, </w:t>
      </w:r>
      <w:r w:rsidR="00FD0397" w:rsidRPr="00934626">
        <w:t xml:space="preserve">as well as </w:t>
      </w:r>
      <w:r w:rsidR="009D4597" w:rsidRPr="00934626">
        <w:t>minimi</w:t>
      </w:r>
      <w:r w:rsidR="00FD0397" w:rsidRPr="00934626">
        <w:t>sing</w:t>
      </w:r>
      <w:r w:rsidR="009D4597" w:rsidRPr="00934626">
        <w:t xml:space="preserve"> the risk of contamination</w:t>
      </w:r>
      <w:r w:rsidR="00BC404F" w:rsidRPr="00934626">
        <w:t xml:space="preserve">; a real-time RT-PCR assay specific for lineage IV strains has also been described (Li </w:t>
      </w:r>
      <w:r w:rsidR="00BC404F" w:rsidRPr="00934626">
        <w:rPr>
          <w:i/>
        </w:rPr>
        <w:t>et al</w:t>
      </w:r>
      <w:r w:rsidR="00BC404F" w:rsidRPr="00934626">
        <w:t>., 2016</w:t>
      </w:r>
      <w:r w:rsidR="008A0A9D" w:rsidRPr="00934626">
        <w:t>)</w:t>
      </w:r>
      <w:r w:rsidR="009D4597" w:rsidRPr="00934626">
        <w:t xml:space="preserve">. </w:t>
      </w:r>
      <w:r w:rsidR="00BC404F" w:rsidRPr="00934626">
        <w:t xml:space="preserve">An alternative to RT-PCR is loop-mediated isothermal amplification </w:t>
      </w:r>
      <w:r w:rsidR="005A1116" w:rsidRPr="00934626">
        <w:t xml:space="preserve">(Li </w:t>
      </w:r>
      <w:r w:rsidR="00580D9F" w:rsidRPr="00934626">
        <w:rPr>
          <w:i/>
        </w:rPr>
        <w:t>et al.</w:t>
      </w:r>
      <w:r w:rsidR="005A1116" w:rsidRPr="00934626">
        <w:t>, 2010)</w:t>
      </w:r>
      <w:r w:rsidR="00903CD1" w:rsidRPr="00934626">
        <w:t>.</w:t>
      </w:r>
      <w:r w:rsidR="008F1FDB" w:rsidRPr="00934626">
        <w:t xml:space="preserve"> </w:t>
      </w:r>
      <w:r w:rsidR="008F1FDB" w:rsidRPr="00934626">
        <w:rPr>
          <w:lang w:val="en-US"/>
        </w:rPr>
        <w:t xml:space="preserve">The sensitivity of this assay </w:t>
      </w:r>
      <w:r w:rsidR="009E5DDE" w:rsidRPr="00934626">
        <w:rPr>
          <w:lang w:val="en-US"/>
        </w:rPr>
        <w:t>seems to be s</w:t>
      </w:r>
      <w:r w:rsidR="008F1FDB" w:rsidRPr="00934626">
        <w:rPr>
          <w:lang w:val="en-US"/>
        </w:rPr>
        <w:t xml:space="preserve">imilar to that of </w:t>
      </w:r>
      <w:r w:rsidR="009E5DDE" w:rsidRPr="00934626">
        <w:rPr>
          <w:lang w:val="en-US"/>
        </w:rPr>
        <w:t xml:space="preserve">the </w:t>
      </w:r>
      <w:r w:rsidR="00FD0397" w:rsidRPr="00934626">
        <w:rPr>
          <w:lang w:val="en-US"/>
        </w:rPr>
        <w:t xml:space="preserve">real-time </w:t>
      </w:r>
      <w:r w:rsidR="009E5DDE" w:rsidRPr="00934626">
        <w:rPr>
          <w:lang w:val="en-US"/>
        </w:rPr>
        <w:t>RT-PCR</w:t>
      </w:r>
      <w:r w:rsidR="00BC404F" w:rsidRPr="00934626">
        <w:rPr>
          <w:lang w:val="en-US"/>
        </w:rPr>
        <w:t>, it</w:t>
      </w:r>
      <w:r w:rsidR="009E5DDE" w:rsidRPr="00934626">
        <w:rPr>
          <w:lang w:val="en-US"/>
        </w:rPr>
        <w:t xml:space="preserve"> is </w:t>
      </w:r>
      <w:r w:rsidR="008F1FDB" w:rsidRPr="00934626">
        <w:rPr>
          <w:lang w:val="en-US"/>
        </w:rPr>
        <w:t>simple</w:t>
      </w:r>
      <w:r w:rsidR="009E5DDE" w:rsidRPr="00934626">
        <w:rPr>
          <w:lang w:val="en-US"/>
        </w:rPr>
        <w:t xml:space="preserve"> to implement</w:t>
      </w:r>
      <w:r w:rsidR="008F1FDB" w:rsidRPr="00934626">
        <w:rPr>
          <w:lang w:val="en-US"/>
        </w:rPr>
        <w:t xml:space="preserve">, rapid and </w:t>
      </w:r>
      <w:r w:rsidR="009E5DDE" w:rsidRPr="00934626">
        <w:rPr>
          <w:lang w:val="en-US"/>
        </w:rPr>
        <w:t xml:space="preserve">the result can be read by </w:t>
      </w:r>
      <w:r w:rsidR="00BC404F" w:rsidRPr="00934626">
        <w:rPr>
          <w:lang w:val="en-US"/>
        </w:rPr>
        <w:t xml:space="preserve">the </w:t>
      </w:r>
      <w:r w:rsidR="009E5DDE" w:rsidRPr="00934626">
        <w:rPr>
          <w:lang w:val="en-US"/>
        </w:rPr>
        <w:t xml:space="preserve">naked eye. </w:t>
      </w:r>
    </w:p>
    <w:p w14:paraId="025F2754" w14:textId="50F45445" w:rsidR="00F40090" w:rsidRPr="00934626" w:rsidRDefault="00F40090" w:rsidP="00DA14ED">
      <w:pPr>
        <w:pStyle w:val="11Para"/>
        <w:rPr>
          <w:lang w:val="en-US"/>
        </w:rPr>
      </w:pPr>
      <w:r w:rsidRPr="00934626">
        <w:t>In all cases RNA must first be purified from blood or tissue samples</w:t>
      </w:r>
      <w:r w:rsidR="0025540B" w:rsidRPr="00934626">
        <w:t xml:space="preserve">. Viral RNA can be purified from spleen (not ideal because of its high blood content), lymph node or tonsil, lung tissue, whole blood, buffy coat or purified peripheral blood lymphocytes (PBLs), or swabs from eyes or nose. Tissue samples should be extracted with acidified </w:t>
      </w:r>
      <w:proofErr w:type="spellStart"/>
      <w:r w:rsidR="0025540B" w:rsidRPr="00934626">
        <w:t>guanidinum</w:t>
      </w:r>
      <w:proofErr w:type="spellEnd"/>
      <w:r w:rsidR="0025540B" w:rsidRPr="00934626">
        <w:t xml:space="preserve"> </w:t>
      </w:r>
      <w:proofErr w:type="spellStart"/>
      <w:r w:rsidR="0025540B" w:rsidRPr="00934626">
        <w:t>thiocyante</w:t>
      </w:r>
      <w:proofErr w:type="spellEnd"/>
      <w:r w:rsidR="0025540B" w:rsidRPr="00934626">
        <w:t xml:space="preserve"> phenol using one of the commercial preparations available. Solid tissues (0.5–1.0 g) are minced and homogenised with 10 ml reagent. </w:t>
      </w:r>
      <w:r w:rsidR="00F50E7E" w:rsidRPr="00934626">
        <w:t xml:space="preserve">Conjunctival, oral or nasal </w:t>
      </w:r>
      <w:r w:rsidR="0025540B" w:rsidRPr="00934626">
        <w:t>swabs can be extracted, and whole blood, buffy coat or purified PBLs homogenised with</w:t>
      </w:r>
      <w:r w:rsidR="00BC404F" w:rsidRPr="00934626">
        <w:t>,</w:t>
      </w:r>
      <w:r w:rsidR="0025540B" w:rsidRPr="00934626">
        <w:t xml:space="preserve"> the same reagent; RNA is then purified according to the manufacturer’s </w:t>
      </w:r>
      <w:r w:rsidR="00C70293" w:rsidRPr="00934626">
        <w:t>instructions</w:t>
      </w:r>
      <w:r w:rsidR="0025540B" w:rsidRPr="00934626">
        <w:t xml:space="preserve">. For </w:t>
      </w:r>
      <w:r w:rsidR="00DB4EEA" w:rsidRPr="00934626">
        <w:t>tissues</w:t>
      </w:r>
      <w:r w:rsidR="000B1D9A" w:rsidRPr="00934626">
        <w:t xml:space="preserve">, </w:t>
      </w:r>
      <w:r w:rsidR="0025540B" w:rsidRPr="00934626">
        <w:t xml:space="preserve">blood, white cells or swabs, RNA extraction </w:t>
      </w:r>
      <w:r w:rsidR="000C4878" w:rsidRPr="00934626">
        <w:t xml:space="preserve">based on magnetic beads or </w:t>
      </w:r>
      <w:r w:rsidR="0025540B" w:rsidRPr="00934626">
        <w:t xml:space="preserve">spin columns are also suitable. The resulting RNA is stored at –70°C </w:t>
      </w:r>
      <w:r w:rsidR="000C4878" w:rsidRPr="00934626">
        <w:t>(</w:t>
      </w:r>
      <w:r w:rsidR="0025540B" w:rsidRPr="00934626">
        <w:t>or –20°C</w:t>
      </w:r>
      <w:r w:rsidR="000C4878" w:rsidRPr="00934626">
        <w:t xml:space="preserve"> if –70°C not available)</w:t>
      </w:r>
      <w:r w:rsidR="0025540B" w:rsidRPr="00934626">
        <w:t xml:space="preserve"> until required.</w:t>
      </w:r>
    </w:p>
    <w:p w14:paraId="17746868" w14:textId="6C91D056" w:rsidR="00C61289" w:rsidRPr="00934626" w:rsidRDefault="003870B1" w:rsidP="00DA14ED">
      <w:pPr>
        <w:pStyle w:val="11Para"/>
      </w:pPr>
      <w:r w:rsidRPr="00934626">
        <w:t xml:space="preserve">Although a real-time RT-PCR assay is the method of choice for laboratories that have the necessary equipment, none of the existing assays has proven satisfactory against all PPRV isolates tested. </w:t>
      </w:r>
      <w:r w:rsidR="00FD0397" w:rsidRPr="00934626">
        <w:lastRenderedPageBreak/>
        <w:t>Because this is a rapidly developing field, users are advised to contact t</w:t>
      </w:r>
      <w:r w:rsidR="00C61289" w:rsidRPr="00934626">
        <w:t>he OIE and FAO</w:t>
      </w:r>
      <w:r w:rsidR="00C61289" w:rsidRPr="00934626">
        <w:rPr>
          <w:rStyle w:val="Appelnotedebasdep"/>
        </w:rPr>
        <w:footnoteReference w:id="2"/>
      </w:r>
      <w:r w:rsidR="00C61289" w:rsidRPr="00934626">
        <w:t xml:space="preserve"> Reference Laboratories for PPR (see Table given in </w:t>
      </w:r>
      <w:r w:rsidR="0034629A" w:rsidRPr="00934626">
        <w:t>Part 4</w:t>
      </w:r>
      <w:r w:rsidR="00C61289" w:rsidRPr="00934626">
        <w:t xml:space="preserve"> of this </w:t>
      </w:r>
      <w:r w:rsidR="00C61289" w:rsidRPr="00934626">
        <w:rPr>
          <w:i/>
          <w:iCs/>
        </w:rPr>
        <w:t>Terrestrial</w:t>
      </w:r>
      <w:r w:rsidR="00C61289" w:rsidRPr="00934626">
        <w:t xml:space="preserve"> </w:t>
      </w:r>
      <w:r w:rsidR="00C61289" w:rsidRPr="00934626">
        <w:rPr>
          <w:i/>
          <w:iCs/>
        </w:rPr>
        <w:t>Manual</w:t>
      </w:r>
      <w:r w:rsidR="00C61289" w:rsidRPr="00934626">
        <w:t xml:space="preserve">) </w:t>
      </w:r>
      <w:r w:rsidR="00FD0397" w:rsidRPr="00934626">
        <w:t>for advice on the most appropriate techniques</w:t>
      </w:r>
      <w:r w:rsidR="00C61289" w:rsidRPr="00934626">
        <w:t>.</w:t>
      </w:r>
    </w:p>
    <w:p w14:paraId="67D61BAC" w14:textId="79AB4A15" w:rsidR="008115DA" w:rsidRPr="00934626" w:rsidRDefault="00ED47BC" w:rsidP="00DA14ED">
      <w:pPr>
        <w:pStyle w:val="111"/>
      </w:pPr>
      <w:r w:rsidRPr="00934626">
        <w:t>2.</w:t>
      </w:r>
      <w:r w:rsidR="00075EE9" w:rsidRPr="00934626">
        <w:t>2</w:t>
      </w:r>
      <w:r w:rsidRPr="00934626">
        <w:t>.1.</w:t>
      </w:r>
      <w:r w:rsidR="008115DA" w:rsidRPr="00934626">
        <w:tab/>
        <w:t>RT-PCR for the diagnosis of PPRV based on the amplification of part of the N gene</w:t>
      </w:r>
    </w:p>
    <w:p w14:paraId="1BF087AD" w14:textId="6C3C49CB" w:rsidR="00BC404F" w:rsidRPr="00934626" w:rsidRDefault="00BC404F" w:rsidP="00DA14ED">
      <w:pPr>
        <w:pStyle w:val="111Para"/>
      </w:pPr>
      <w:r w:rsidRPr="00934626">
        <w:t xml:space="preserve">The tests described in this section and the next require: a one-step RT-PCR kit, distilled water, the relevant primers, a thermal cycler, plus reagents and equipment for agarose gel electrophoresis. In each case, the master mix recipe and thermal cycling conditions given are for a specific one-step RT-PCR kit, </w:t>
      </w:r>
      <w:r w:rsidR="000E7FBD" w:rsidRPr="00934626">
        <w:t>other reagents could also be used, but these should be optimised and validated for use in the relevant assay</w:t>
      </w:r>
      <w:r w:rsidRPr="00934626">
        <w:t>.</w:t>
      </w:r>
    </w:p>
    <w:p w14:paraId="7591CACA" w14:textId="0791547E" w:rsidR="008115DA" w:rsidRPr="00934626" w:rsidRDefault="008115DA" w:rsidP="00DA14ED">
      <w:pPr>
        <w:pStyle w:val="111Para"/>
      </w:pPr>
      <w:r w:rsidRPr="00934626">
        <w:t xml:space="preserve">N gene amplification is based on the initial protocol described by </w:t>
      </w:r>
      <w:proofErr w:type="spellStart"/>
      <w:r w:rsidRPr="00934626">
        <w:t>Couacy-Hymann</w:t>
      </w:r>
      <w:proofErr w:type="spellEnd"/>
      <w:r w:rsidRPr="00934626">
        <w:t xml:space="preserve"> </w:t>
      </w:r>
      <w:r w:rsidRPr="00934626">
        <w:rPr>
          <w:i/>
        </w:rPr>
        <w:t>et al.</w:t>
      </w:r>
      <w:r w:rsidRPr="00934626">
        <w:t xml:space="preserve"> (2002) in a one-step RT-PCR method.</w:t>
      </w:r>
      <w:r w:rsidR="00BC404F" w:rsidRPr="00934626">
        <w:t xml:space="preserve"> </w:t>
      </w:r>
      <w:r w:rsidR="00A96C6B" w:rsidRPr="00934626">
        <w:t>Th</w:t>
      </w:r>
      <w:r w:rsidR="00BC404F" w:rsidRPr="00934626">
        <w:t>e</w:t>
      </w:r>
      <w:r w:rsidR="00A96C6B" w:rsidRPr="00934626">
        <w:t xml:space="preserve"> conventional </w:t>
      </w:r>
      <w:r w:rsidR="005A48B7" w:rsidRPr="00934626">
        <w:t>RT-</w:t>
      </w:r>
      <w:r w:rsidR="00A96C6B" w:rsidRPr="00934626">
        <w:t>PCR based on</w:t>
      </w:r>
      <w:r w:rsidR="00BC404F" w:rsidRPr="00934626">
        <w:t xml:space="preserve"> the primers described here</w:t>
      </w:r>
      <w:r w:rsidR="00A96C6B" w:rsidRPr="00934626">
        <w:t xml:space="preserve"> is capable of </w:t>
      </w:r>
      <w:r w:rsidR="00BC404F" w:rsidRPr="00934626">
        <w:t>detecting</w:t>
      </w:r>
      <w:r w:rsidR="00A96C6B" w:rsidRPr="00934626">
        <w:t xml:space="preserve"> </w:t>
      </w:r>
      <w:r w:rsidR="00BC404F" w:rsidRPr="00934626">
        <w:t>all</w:t>
      </w:r>
      <w:r w:rsidR="00A96C6B" w:rsidRPr="00934626">
        <w:t xml:space="preserve"> four viral lineages. </w:t>
      </w:r>
      <w:r w:rsidR="00986437" w:rsidRPr="00934626">
        <w:t xml:space="preserve">Other </w:t>
      </w:r>
      <w:r w:rsidR="00A96C6B" w:rsidRPr="00934626">
        <w:t>primers</w:t>
      </w:r>
      <w:r w:rsidR="00986437" w:rsidRPr="00934626">
        <w:t xml:space="preserve"> </w:t>
      </w:r>
      <w:r w:rsidR="00A96C6B" w:rsidRPr="00934626">
        <w:t xml:space="preserve">targeting the N </w:t>
      </w:r>
      <w:r w:rsidR="0032018E" w:rsidRPr="00934626">
        <w:t xml:space="preserve">gene </w:t>
      </w:r>
      <w:r w:rsidR="00986437" w:rsidRPr="00934626">
        <w:t xml:space="preserve">could be used, but </w:t>
      </w:r>
      <w:r w:rsidR="00A96C6B" w:rsidRPr="00934626">
        <w:t>may</w:t>
      </w:r>
      <w:r w:rsidR="00986437" w:rsidRPr="00934626">
        <w:t xml:space="preserve"> not </w:t>
      </w:r>
      <w:r w:rsidR="0032018E" w:rsidRPr="00934626">
        <w:t>suitable for this aim</w:t>
      </w:r>
      <w:r w:rsidR="00986437" w:rsidRPr="00934626">
        <w:t>.</w:t>
      </w:r>
    </w:p>
    <w:p w14:paraId="751DAA81" w14:textId="1EB66DD3" w:rsidR="008115DA" w:rsidRPr="00934626" w:rsidRDefault="008115DA" w:rsidP="00DA14ED">
      <w:pPr>
        <w:pStyle w:val="i"/>
      </w:pPr>
      <w:proofErr w:type="spellStart"/>
      <w:r w:rsidRPr="00934626">
        <w:t>i</w:t>
      </w:r>
      <w:proofErr w:type="spellEnd"/>
      <w:r w:rsidRPr="00934626">
        <w:t>)</w:t>
      </w:r>
      <w:r w:rsidRPr="00934626">
        <w:tab/>
      </w:r>
      <w:r w:rsidR="00D02CEF" w:rsidRPr="00934626">
        <w:t>Primer s</w:t>
      </w:r>
      <w:r w:rsidRPr="00934626">
        <w:t>equence</w:t>
      </w:r>
      <w:r w:rsidR="001C2F1B" w:rsidRPr="00934626">
        <w:t>s</w:t>
      </w:r>
      <w:r w:rsidRPr="00934626">
        <w:t xml:space="preserve"> used: </w:t>
      </w:r>
    </w:p>
    <w:p w14:paraId="0E231246" w14:textId="77777777" w:rsidR="008115DA" w:rsidRPr="00934626" w:rsidRDefault="008115DA" w:rsidP="00900ED7">
      <w:pPr>
        <w:pStyle w:val="afourthpara"/>
        <w:spacing w:after="120"/>
        <w:rPr>
          <w:lang w:val="en-IE"/>
        </w:rPr>
      </w:pPr>
      <w:r w:rsidRPr="00934626">
        <w:rPr>
          <w:lang w:val="en-IE"/>
        </w:rPr>
        <w:t>Primer</w:t>
      </w:r>
      <w:r w:rsidRPr="00934626">
        <w:rPr>
          <w:lang w:val="en-IE"/>
        </w:rPr>
        <w:tab/>
        <w:t>Sequence</w:t>
      </w:r>
    </w:p>
    <w:p w14:paraId="7280C132" w14:textId="77777777" w:rsidR="008115DA" w:rsidRPr="00934626" w:rsidRDefault="008115DA" w:rsidP="00900ED7">
      <w:pPr>
        <w:pStyle w:val="afourthpara"/>
        <w:spacing w:after="120"/>
        <w:rPr>
          <w:lang w:val="en-IE"/>
        </w:rPr>
      </w:pPr>
      <w:r w:rsidRPr="00934626">
        <w:rPr>
          <w:lang w:val="en-IE"/>
        </w:rPr>
        <w:t>NP3:</w:t>
      </w:r>
      <w:r w:rsidRPr="00934626">
        <w:rPr>
          <w:lang w:val="en-IE"/>
        </w:rPr>
        <w:tab/>
        <w:t>5’-GTC-TCG-GAA-ATC-GCC-TCA-CAG-ACT-3’;</w:t>
      </w:r>
    </w:p>
    <w:p w14:paraId="50809D17" w14:textId="4851BEA5" w:rsidR="008115DA" w:rsidRPr="00934626" w:rsidRDefault="008115DA" w:rsidP="00DA14ED">
      <w:pPr>
        <w:pStyle w:val="afourthpara"/>
        <w:rPr>
          <w:lang w:val="en-IE"/>
        </w:rPr>
      </w:pPr>
      <w:r w:rsidRPr="00934626">
        <w:rPr>
          <w:lang w:val="en-IE"/>
        </w:rPr>
        <w:t>NP4:</w:t>
      </w:r>
      <w:r w:rsidRPr="00934626">
        <w:rPr>
          <w:lang w:val="en-IE"/>
        </w:rPr>
        <w:tab/>
        <w:t>5’-CCT-CCT-CCT-GGT-CCT-CCA-GAA-TCT-3’.</w:t>
      </w:r>
    </w:p>
    <w:p w14:paraId="711753FE" w14:textId="77777777" w:rsidR="008115DA" w:rsidRPr="00934626" w:rsidRDefault="008115DA" w:rsidP="008115DA">
      <w:pPr>
        <w:pStyle w:val="i"/>
        <w:rPr>
          <w:lang w:val="en-US"/>
        </w:rPr>
      </w:pPr>
      <w:r w:rsidRPr="00934626">
        <w:t>ii)</w:t>
      </w:r>
      <w:r w:rsidRPr="00934626">
        <w:tab/>
        <w:t xml:space="preserve">Prepare each primer dilution by adding </w:t>
      </w:r>
      <w:r w:rsidRPr="00934626">
        <w:rPr>
          <w:lang w:val="en-US"/>
        </w:rPr>
        <w:t xml:space="preserve">5 µl of the primer stock solution (100 µM) to 45 µl of distilled water. A primer concentration of 10µM is obtained with a final volume of 50 µl. </w:t>
      </w:r>
    </w:p>
    <w:p w14:paraId="26FE32E8" w14:textId="77777777" w:rsidR="008115DA" w:rsidRPr="00934626" w:rsidRDefault="008115DA" w:rsidP="008115DA">
      <w:pPr>
        <w:pStyle w:val="i"/>
      </w:pPr>
      <w:r w:rsidRPr="00934626">
        <w:t>iii)</w:t>
      </w:r>
      <w:r w:rsidRPr="00934626">
        <w:tab/>
        <w:t>Add 5 µl of RNA template to 45 µl of PCR master mix containing:</w:t>
      </w:r>
      <w:r w:rsidRPr="00934626">
        <w:rPr>
          <w:lang w:val="en-US"/>
        </w:rPr>
        <w:t xml:space="preserve"> </w:t>
      </w:r>
    </w:p>
    <w:tbl>
      <w:tblPr>
        <w:tblW w:w="0" w:type="auto"/>
        <w:tblInd w:w="1913" w:type="dxa"/>
        <w:tblCellMar>
          <w:left w:w="70" w:type="dxa"/>
          <w:right w:w="70" w:type="dxa"/>
        </w:tblCellMar>
        <w:tblLook w:val="0000" w:firstRow="0" w:lastRow="0" w:firstColumn="0" w:lastColumn="0" w:noHBand="0" w:noVBand="0"/>
      </w:tblPr>
      <w:tblGrid>
        <w:gridCol w:w="2238"/>
        <w:gridCol w:w="2156"/>
        <w:gridCol w:w="1985"/>
      </w:tblGrid>
      <w:tr w:rsidR="00B519CC" w:rsidRPr="00934626" w14:paraId="4CB709B2" w14:textId="77777777" w:rsidTr="00BC404F">
        <w:trPr>
          <w:trHeight w:val="343"/>
          <w:tblHeader/>
        </w:trPr>
        <w:tc>
          <w:tcPr>
            <w:tcW w:w="2238" w:type="dxa"/>
            <w:tcBorders>
              <w:bottom w:val="single" w:sz="4" w:space="0" w:color="auto"/>
            </w:tcBorders>
            <w:shd w:val="clear" w:color="auto" w:fill="auto"/>
          </w:tcPr>
          <w:p w14:paraId="00F3BD09" w14:textId="77777777" w:rsidR="008115DA" w:rsidRPr="00934626" w:rsidRDefault="008115DA" w:rsidP="00900ED7">
            <w:pPr>
              <w:spacing w:before="60" w:after="60" w:line="240" w:lineRule="auto"/>
              <w:rPr>
                <w:rFonts w:ascii="Arial" w:hAnsi="Arial" w:cs="Arial"/>
                <w:b/>
                <w:bCs/>
                <w:sz w:val="18"/>
                <w:szCs w:val="18"/>
              </w:rPr>
            </w:pPr>
            <w:r w:rsidRPr="00934626">
              <w:rPr>
                <w:rFonts w:ascii="Arial" w:hAnsi="Arial" w:cs="Arial"/>
                <w:b/>
                <w:bCs/>
                <w:sz w:val="18"/>
                <w:szCs w:val="18"/>
              </w:rPr>
              <w:t>Reagent</w:t>
            </w:r>
          </w:p>
        </w:tc>
        <w:tc>
          <w:tcPr>
            <w:tcW w:w="2156" w:type="dxa"/>
            <w:tcBorders>
              <w:bottom w:val="single" w:sz="4" w:space="0" w:color="auto"/>
            </w:tcBorders>
            <w:shd w:val="clear" w:color="auto" w:fill="auto"/>
          </w:tcPr>
          <w:p w14:paraId="21A7B213" w14:textId="77777777" w:rsidR="008115DA" w:rsidRPr="00934626" w:rsidRDefault="008115DA" w:rsidP="00900ED7">
            <w:pPr>
              <w:spacing w:before="60" w:after="60" w:line="240" w:lineRule="auto"/>
              <w:rPr>
                <w:rFonts w:ascii="Arial" w:hAnsi="Arial" w:cs="Arial"/>
                <w:b/>
                <w:bCs/>
                <w:sz w:val="18"/>
                <w:szCs w:val="18"/>
              </w:rPr>
            </w:pPr>
            <w:r w:rsidRPr="00934626">
              <w:rPr>
                <w:rFonts w:ascii="Arial" w:hAnsi="Arial" w:cs="Arial"/>
                <w:b/>
                <w:bCs/>
                <w:sz w:val="18"/>
                <w:szCs w:val="18"/>
              </w:rPr>
              <w:t>Mix (1 reaction)</w:t>
            </w:r>
          </w:p>
        </w:tc>
        <w:tc>
          <w:tcPr>
            <w:tcW w:w="1985" w:type="dxa"/>
            <w:tcBorders>
              <w:bottom w:val="single" w:sz="4" w:space="0" w:color="auto"/>
            </w:tcBorders>
            <w:shd w:val="clear" w:color="auto" w:fill="auto"/>
          </w:tcPr>
          <w:p w14:paraId="39675866" w14:textId="77777777" w:rsidR="008115DA" w:rsidRPr="00934626" w:rsidRDefault="008115DA" w:rsidP="00900ED7">
            <w:pPr>
              <w:spacing w:before="60" w:after="60" w:line="240" w:lineRule="auto"/>
              <w:rPr>
                <w:rFonts w:ascii="Arial" w:hAnsi="Arial" w:cs="Arial"/>
                <w:b/>
                <w:bCs/>
                <w:sz w:val="18"/>
                <w:szCs w:val="18"/>
              </w:rPr>
            </w:pPr>
            <w:r w:rsidRPr="00934626">
              <w:rPr>
                <w:rFonts w:ascii="Arial" w:hAnsi="Arial" w:cs="Arial"/>
                <w:b/>
                <w:bCs/>
                <w:sz w:val="18"/>
                <w:szCs w:val="18"/>
              </w:rPr>
              <w:t>Final concentration</w:t>
            </w:r>
          </w:p>
        </w:tc>
      </w:tr>
      <w:tr w:rsidR="00B519CC" w:rsidRPr="00934626" w14:paraId="01EC2B60" w14:textId="77777777" w:rsidTr="00900ED7">
        <w:trPr>
          <w:trHeight w:val="283"/>
        </w:trPr>
        <w:tc>
          <w:tcPr>
            <w:tcW w:w="2238" w:type="dxa"/>
            <w:tcBorders>
              <w:top w:val="single" w:sz="4" w:space="0" w:color="auto"/>
            </w:tcBorders>
          </w:tcPr>
          <w:p w14:paraId="24FBE282" w14:textId="77777777" w:rsidR="008115DA" w:rsidRPr="00934626" w:rsidRDefault="008115DA" w:rsidP="00900ED7">
            <w:pPr>
              <w:spacing w:before="60" w:after="60" w:line="240" w:lineRule="auto"/>
              <w:rPr>
                <w:rFonts w:ascii="Arial" w:hAnsi="Arial" w:cs="Arial"/>
                <w:sz w:val="18"/>
                <w:szCs w:val="18"/>
              </w:rPr>
            </w:pPr>
            <w:r w:rsidRPr="00934626">
              <w:rPr>
                <w:rFonts w:ascii="Arial" w:hAnsi="Arial" w:cs="Arial"/>
                <w:sz w:val="18"/>
                <w:szCs w:val="18"/>
              </w:rPr>
              <w:t>Distilled water</w:t>
            </w:r>
          </w:p>
        </w:tc>
        <w:tc>
          <w:tcPr>
            <w:tcW w:w="2156" w:type="dxa"/>
            <w:tcBorders>
              <w:top w:val="single" w:sz="4" w:space="0" w:color="auto"/>
            </w:tcBorders>
          </w:tcPr>
          <w:p w14:paraId="6E2D5DD4" w14:textId="77777777" w:rsidR="008115DA" w:rsidRPr="00934626" w:rsidRDefault="008115DA" w:rsidP="00900ED7">
            <w:pPr>
              <w:spacing w:before="60" w:after="60" w:line="240" w:lineRule="auto"/>
              <w:rPr>
                <w:rFonts w:ascii="Arial" w:hAnsi="Arial" w:cs="Arial"/>
                <w:sz w:val="18"/>
                <w:szCs w:val="18"/>
              </w:rPr>
            </w:pPr>
            <w:r w:rsidRPr="00934626">
              <w:rPr>
                <w:rFonts w:ascii="Arial" w:hAnsi="Arial" w:cs="Arial"/>
                <w:sz w:val="18"/>
                <w:szCs w:val="18"/>
              </w:rPr>
              <w:t>15 µl</w:t>
            </w:r>
          </w:p>
        </w:tc>
        <w:tc>
          <w:tcPr>
            <w:tcW w:w="1985" w:type="dxa"/>
            <w:tcBorders>
              <w:top w:val="single" w:sz="4" w:space="0" w:color="auto"/>
            </w:tcBorders>
          </w:tcPr>
          <w:p w14:paraId="5D758E97" w14:textId="77777777" w:rsidR="008115DA" w:rsidRPr="00934626" w:rsidRDefault="008115DA" w:rsidP="00900ED7">
            <w:pPr>
              <w:spacing w:before="60" w:after="60" w:line="240" w:lineRule="auto"/>
              <w:rPr>
                <w:rFonts w:ascii="Arial" w:hAnsi="Arial" w:cs="Arial"/>
                <w:sz w:val="18"/>
                <w:szCs w:val="18"/>
              </w:rPr>
            </w:pPr>
          </w:p>
        </w:tc>
      </w:tr>
      <w:tr w:rsidR="00B519CC" w:rsidRPr="00934626" w14:paraId="072385AE" w14:textId="77777777" w:rsidTr="00900ED7">
        <w:trPr>
          <w:trHeight w:val="283"/>
        </w:trPr>
        <w:tc>
          <w:tcPr>
            <w:tcW w:w="2238" w:type="dxa"/>
          </w:tcPr>
          <w:p w14:paraId="5C48A04B" w14:textId="77777777" w:rsidR="008115DA" w:rsidRPr="00934626" w:rsidRDefault="008115DA" w:rsidP="00900ED7">
            <w:pPr>
              <w:spacing w:before="60" w:after="60" w:line="240" w:lineRule="auto"/>
              <w:rPr>
                <w:rFonts w:ascii="Arial" w:hAnsi="Arial" w:cs="Arial"/>
                <w:sz w:val="18"/>
                <w:szCs w:val="18"/>
              </w:rPr>
            </w:pPr>
            <w:r w:rsidRPr="00934626">
              <w:rPr>
                <w:rFonts w:ascii="Arial" w:hAnsi="Arial" w:cs="Arial"/>
                <w:sz w:val="18"/>
                <w:szCs w:val="18"/>
              </w:rPr>
              <w:t xml:space="preserve">5× RT-PCR Buffer </w:t>
            </w:r>
          </w:p>
        </w:tc>
        <w:tc>
          <w:tcPr>
            <w:tcW w:w="2156" w:type="dxa"/>
          </w:tcPr>
          <w:p w14:paraId="693A53B5" w14:textId="77777777" w:rsidR="008115DA" w:rsidRPr="00934626" w:rsidRDefault="008115DA" w:rsidP="00900ED7">
            <w:pPr>
              <w:spacing w:before="60" w:after="60" w:line="240" w:lineRule="auto"/>
              <w:rPr>
                <w:rFonts w:ascii="Arial" w:hAnsi="Arial" w:cs="Arial"/>
                <w:sz w:val="18"/>
                <w:szCs w:val="18"/>
              </w:rPr>
            </w:pPr>
            <w:r w:rsidRPr="00934626">
              <w:rPr>
                <w:rFonts w:ascii="Arial" w:hAnsi="Arial" w:cs="Arial"/>
                <w:sz w:val="18"/>
                <w:szCs w:val="18"/>
              </w:rPr>
              <w:t>10 µl</w:t>
            </w:r>
          </w:p>
        </w:tc>
        <w:tc>
          <w:tcPr>
            <w:tcW w:w="1985" w:type="dxa"/>
          </w:tcPr>
          <w:p w14:paraId="7DAA3E43" w14:textId="77777777" w:rsidR="008115DA" w:rsidRPr="00934626" w:rsidRDefault="008115DA" w:rsidP="00900ED7">
            <w:pPr>
              <w:spacing w:before="60" w:after="60" w:line="240" w:lineRule="auto"/>
              <w:rPr>
                <w:rFonts w:ascii="Arial" w:hAnsi="Arial" w:cs="Arial"/>
                <w:sz w:val="18"/>
                <w:szCs w:val="18"/>
              </w:rPr>
            </w:pPr>
            <w:r w:rsidRPr="00934626">
              <w:rPr>
                <w:rFonts w:ascii="Arial" w:hAnsi="Arial" w:cs="Arial"/>
                <w:sz w:val="18"/>
                <w:szCs w:val="18"/>
              </w:rPr>
              <w:t xml:space="preserve">1× </w:t>
            </w:r>
          </w:p>
        </w:tc>
      </w:tr>
      <w:tr w:rsidR="00B519CC" w:rsidRPr="00934626" w14:paraId="67E9A0D2" w14:textId="77777777" w:rsidTr="00900ED7">
        <w:trPr>
          <w:trHeight w:val="283"/>
        </w:trPr>
        <w:tc>
          <w:tcPr>
            <w:tcW w:w="2238" w:type="dxa"/>
          </w:tcPr>
          <w:p w14:paraId="78CC2911" w14:textId="030BA925" w:rsidR="008115DA" w:rsidRPr="00934626" w:rsidRDefault="008115DA" w:rsidP="00900ED7">
            <w:pPr>
              <w:spacing w:before="60" w:after="60" w:line="240" w:lineRule="auto"/>
              <w:rPr>
                <w:rFonts w:ascii="Arial" w:hAnsi="Arial" w:cs="Arial"/>
                <w:sz w:val="18"/>
                <w:szCs w:val="18"/>
              </w:rPr>
            </w:pPr>
            <w:r w:rsidRPr="00934626">
              <w:rPr>
                <w:rFonts w:ascii="Arial" w:hAnsi="Arial" w:cs="Arial"/>
                <w:sz w:val="18"/>
                <w:szCs w:val="18"/>
              </w:rPr>
              <w:t xml:space="preserve">dNTP Mix </w:t>
            </w:r>
          </w:p>
        </w:tc>
        <w:tc>
          <w:tcPr>
            <w:tcW w:w="2156" w:type="dxa"/>
          </w:tcPr>
          <w:p w14:paraId="4B506E9B" w14:textId="77777777" w:rsidR="008115DA" w:rsidRPr="00934626" w:rsidRDefault="008115DA" w:rsidP="00900ED7">
            <w:pPr>
              <w:spacing w:before="60" w:after="60" w:line="240" w:lineRule="auto"/>
              <w:rPr>
                <w:rFonts w:ascii="Arial" w:hAnsi="Arial" w:cs="Arial"/>
                <w:sz w:val="18"/>
                <w:szCs w:val="18"/>
              </w:rPr>
            </w:pPr>
            <w:r w:rsidRPr="00934626">
              <w:rPr>
                <w:rFonts w:ascii="Arial" w:hAnsi="Arial" w:cs="Arial"/>
                <w:sz w:val="18"/>
                <w:szCs w:val="18"/>
              </w:rPr>
              <w:t>2 µl</w:t>
            </w:r>
          </w:p>
        </w:tc>
        <w:tc>
          <w:tcPr>
            <w:tcW w:w="1985" w:type="dxa"/>
          </w:tcPr>
          <w:p w14:paraId="67B00CD8" w14:textId="77777777" w:rsidR="008115DA" w:rsidRPr="00934626" w:rsidRDefault="008115DA" w:rsidP="00900ED7">
            <w:pPr>
              <w:spacing w:before="60" w:after="60" w:line="240" w:lineRule="auto"/>
              <w:rPr>
                <w:rFonts w:ascii="Arial" w:hAnsi="Arial" w:cs="Arial"/>
                <w:sz w:val="18"/>
                <w:szCs w:val="18"/>
              </w:rPr>
            </w:pPr>
          </w:p>
        </w:tc>
      </w:tr>
      <w:tr w:rsidR="00B519CC" w:rsidRPr="00934626" w14:paraId="5CFEAAD1" w14:textId="77777777" w:rsidTr="00900ED7">
        <w:trPr>
          <w:trHeight w:val="283"/>
        </w:trPr>
        <w:tc>
          <w:tcPr>
            <w:tcW w:w="2238" w:type="dxa"/>
          </w:tcPr>
          <w:p w14:paraId="08CB76C7" w14:textId="77777777" w:rsidR="008115DA" w:rsidRPr="00934626" w:rsidRDefault="008115DA" w:rsidP="00900ED7">
            <w:pPr>
              <w:spacing w:before="60" w:after="60" w:line="240" w:lineRule="auto"/>
              <w:rPr>
                <w:rFonts w:ascii="Arial" w:hAnsi="Arial" w:cs="Arial"/>
                <w:sz w:val="18"/>
                <w:szCs w:val="18"/>
              </w:rPr>
            </w:pPr>
            <w:r w:rsidRPr="00934626">
              <w:rPr>
                <w:rFonts w:ascii="Arial" w:hAnsi="Arial" w:cs="Arial"/>
                <w:sz w:val="18"/>
                <w:szCs w:val="18"/>
              </w:rPr>
              <w:t>Q solution</w:t>
            </w:r>
          </w:p>
        </w:tc>
        <w:tc>
          <w:tcPr>
            <w:tcW w:w="2156" w:type="dxa"/>
          </w:tcPr>
          <w:p w14:paraId="009865A5" w14:textId="77777777" w:rsidR="008115DA" w:rsidRPr="00934626" w:rsidRDefault="008115DA" w:rsidP="00900ED7">
            <w:pPr>
              <w:spacing w:before="60" w:after="60" w:line="240" w:lineRule="auto"/>
              <w:rPr>
                <w:rFonts w:ascii="Arial" w:hAnsi="Arial" w:cs="Arial"/>
                <w:sz w:val="18"/>
                <w:szCs w:val="18"/>
              </w:rPr>
            </w:pPr>
            <w:r w:rsidRPr="00934626">
              <w:rPr>
                <w:rFonts w:ascii="Arial" w:hAnsi="Arial" w:cs="Arial"/>
                <w:sz w:val="18"/>
                <w:szCs w:val="18"/>
              </w:rPr>
              <w:t>10 µl</w:t>
            </w:r>
          </w:p>
        </w:tc>
        <w:tc>
          <w:tcPr>
            <w:tcW w:w="1985" w:type="dxa"/>
          </w:tcPr>
          <w:p w14:paraId="71802B01" w14:textId="77777777" w:rsidR="008115DA" w:rsidRPr="00934626" w:rsidRDefault="008115DA" w:rsidP="00900ED7">
            <w:pPr>
              <w:spacing w:before="60" w:after="60" w:line="240" w:lineRule="auto"/>
              <w:rPr>
                <w:rFonts w:ascii="Arial" w:hAnsi="Arial" w:cs="Arial"/>
                <w:sz w:val="18"/>
                <w:szCs w:val="18"/>
              </w:rPr>
            </w:pPr>
          </w:p>
        </w:tc>
      </w:tr>
      <w:tr w:rsidR="00B519CC" w:rsidRPr="00934626" w14:paraId="5E0CD992" w14:textId="77777777" w:rsidTr="00900ED7">
        <w:trPr>
          <w:trHeight w:val="283"/>
        </w:trPr>
        <w:tc>
          <w:tcPr>
            <w:tcW w:w="2238" w:type="dxa"/>
          </w:tcPr>
          <w:p w14:paraId="30EBF70F" w14:textId="77777777" w:rsidR="008115DA" w:rsidRPr="00934626" w:rsidRDefault="008115DA" w:rsidP="00900ED7">
            <w:pPr>
              <w:spacing w:before="60" w:after="60" w:line="240" w:lineRule="auto"/>
              <w:rPr>
                <w:rFonts w:ascii="Arial" w:hAnsi="Arial" w:cs="Arial"/>
                <w:sz w:val="18"/>
                <w:szCs w:val="18"/>
              </w:rPr>
            </w:pPr>
            <w:r w:rsidRPr="00934626">
              <w:rPr>
                <w:rFonts w:ascii="Arial" w:hAnsi="Arial" w:cs="Arial"/>
                <w:sz w:val="18"/>
                <w:szCs w:val="18"/>
              </w:rPr>
              <w:t>Primer NP3 (10 µM)</w:t>
            </w:r>
          </w:p>
        </w:tc>
        <w:tc>
          <w:tcPr>
            <w:tcW w:w="2156" w:type="dxa"/>
          </w:tcPr>
          <w:p w14:paraId="6771B9D6" w14:textId="77777777" w:rsidR="008115DA" w:rsidRPr="00934626" w:rsidRDefault="008115DA" w:rsidP="00900ED7">
            <w:pPr>
              <w:spacing w:before="60" w:after="60" w:line="240" w:lineRule="auto"/>
              <w:rPr>
                <w:rFonts w:ascii="Arial" w:hAnsi="Arial" w:cs="Arial"/>
                <w:sz w:val="18"/>
                <w:szCs w:val="18"/>
              </w:rPr>
            </w:pPr>
            <w:r w:rsidRPr="00934626">
              <w:rPr>
                <w:rFonts w:ascii="Arial" w:hAnsi="Arial" w:cs="Arial"/>
                <w:sz w:val="18"/>
                <w:szCs w:val="18"/>
              </w:rPr>
              <w:t>3 µl</w:t>
            </w:r>
          </w:p>
        </w:tc>
        <w:tc>
          <w:tcPr>
            <w:tcW w:w="1985" w:type="dxa"/>
          </w:tcPr>
          <w:p w14:paraId="10F33A36" w14:textId="77777777" w:rsidR="008115DA" w:rsidRPr="00934626" w:rsidRDefault="008115DA" w:rsidP="00900ED7">
            <w:pPr>
              <w:spacing w:before="60" w:after="60" w:line="240" w:lineRule="auto"/>
              <w:rPr>
                <w:rFonts w:ascii="Arial" w:hAnsi="Arial" w:cs="Arial"/>
                <w:sz w:val="18"/>
                <w:szCs w:val="18"/>
              </w:rPr>
            </w:pPr>
            <w:r w:rsidRPr="00934626">
              <w:rPr>
                <w:rFonts w:ascii="Arial" w:hAnsi="Arial" w:cs="Arial"/>
                <w:sz w:val="18"/>
                <w:szCs w:val="18"/>
              </w:rPr>
              <w:t>0.6 µM</w:t>
            </w:r>
          </w:p>
        </w:tc>
      </w:tr>
      <w:tr w:rsidR="00B519CC" w:rsidRPr="00934626" w14:paraId="4D41ECF3" w14:textId="77777777" w:rsidTr="00900ED7">
        <w:trPr>
          <w:trHeight w:val="283"/>
        </w:trPr>
        <w:tc>
          <w:tcPr>
            <w:tcW w:w="2238" w:type="dxa"/>
          </w:tcPr>
          <w:p w14:paraId="2E039978" w14:textId="77777777" w:rsidR="008115DA" w:rsidRPr="00934626" w:rsidRDefault="008115DA" w:rsidP="00900ED7">
            <w:pPr>
              <w:spacing w:before="60" w:after="60" w:line="240" w:lineRule="auto"/>
              <w:rPr>
                <w:rFonts w:ascii="Arial" w:hAnsi="Arial" w:cs="Arial"/>
                <w:sz w:val="18"/>
                <w:szCs w:val="18"/>
              </w:rPr>
            </w:pPr>
            <w:r w:rsidRPr="00934626">
              <w:rPr>
                <w:rFonts w:ascii="Arial" w:hAnsi="Arial" w:cs="Arial"/>
                <w:sz w:val="18"/>
                <w:szCs w:val="18"/>
              </w:rPr>
              <w:t>Primer NP4 (10 µM)</w:t>
            </w:r>
          </w:p>
        </w:tc>
        <w:tc>
          <w:tcPr>
            <w:tcW w:w="2156" w:type="dxa"/>
          </w:tcPr>
          <w:p w14:paraId="5B236BDB" w14:textId="77777777" w:rsidR="008115DA" w:rsidRPr="00934626" w:rsidRDefault="008115DA" w:rsidP="00900ED7">
            <w:pPr>
              <w:spacing w:before="60" w:after="60" w:line="240" w:lineRule="auto"/>
              <w:rPr>
                <w:rFonts w:ascii="Arial" w:hAnsi="Arial" w:cs="Arial"/>
                <w:sz w:val="18"/>
                <w:szCs w:val="18"/>
              </w:rPr>
            </w:pPr>
            <w:r w:rsidRPr="00934626">
              <w:rPr>
                <w:rFonts w:ascii="Arial" w:hAnsi="Arial" w:cs="Arial"/>
                <w:sz w:val="18"/>
                <w:szCs w:val="18"/>
              </w:rPr>
              <w:t xml:space="preserve">3 µl </w:t>
            </w:r>
          </w:p>
        </w:tc>
        <w:tc>
          <w:tcPr>
            <w:tcW w:w="1985" w:type="dxa"/>
          </w:tcPr>
          <w:p w14:paraId="78ED9389" w14:textId="77777777" w:rsidR="008115DA" w:rsidRPr="00934626" w:rsidRDefault="008115DA" w:rsidP="00900ED7">
            <w:pPr>
              <w:spacing w:before="60" w:after="60" w:line="240" w:lineRule="auto"/>
              <w:rPr>
                <w:rFonts w:ascii="Arial" w:hAnsi="Arial" w:cs="Arial"/>
                <w:sz w:val="18"/>
                <w:szCs w:val="18"/>
              </w:rPr>
            </w:pPr>
            <w:r w:rsidRPr="00934626">
              <w:rPr>
                <w:rFonts w:ascii="Arial" w:hAnsi="Arial" w:cs="Arial"/>
                <w:sz w:val="18"/>
                <w:szCs w:val="18"/>
              </w:rPr>
              <w:t>0.6 µM</w:t>
            </w:r>
          </w:p>
        </w:tc>
      </w:tr>
      <w:tr w:rsidR="00B519CC" w:rsidRPr="00934626" w14:paraId="3AFD9FC3" w14:textId="77777777" w:rsidTr="007B1ED3">
        <w:trPr>
          <w:trHeight w:val="283"/>
        </w:trPr>
        <w:tc>
          <w:tcPr>
            <w:tcW w:w="2238" w:type="dxa"/>
          </w:tcPr>
          <w:p w14:paraId="752BFB9E" w14:textId="7164A4D0" w:rsidR="008115DA" w:rsidRPr="00934626" w:rsidRDefault="008115DA" w:rsidP="00900ED7">
            <w:pPr>
              <w:spacing w:before="60" w:after="60" w:line="240" w:lineRule="auto"/>
              <w:rPr>
                <w:rFonts w:ascii="Arial" w:hAnsi="Arial" w:cs="Arial"/>
                <w:sz w:val="18"/>
                <w:szCs w:val="18"/>
              </w:rPr>
            </w:pPr>
            <w:r w:rsidRPr="00934626">
              <w:rPr>
                <w:rFonts w:ascii="Arial" w:hAnsi="Arial" w:cs="Arial"/>
                <w:sz w:val="18"/>
                <w:szCs w:val="18"/>
              </w:rPr>
              <w:t xml:space="preserve">Enzyme mix </w:t>
            </w:r>
          </w:p>
        </w:tc>
        <w:tc>
          <w:tcPr>
            <w:tcW w:w="2156" w:type="dxa"/>
          </w:tcPr>
          <w:p w14:paraId="3360D855" w14:textId="77777777" w:rsidR="008115DA" w:rsidRPr="00934626" w:rsidRDefault="008115DA" w:rsidP="00900ED7">
            <w:pPr>
              <w:spacing w:before="60" w:after="60" w:line="240" w:lineRule="auto"/>
              <w:rPr>
                <w:rFonts w:ascii="Arial" w:hAnsi="Arial" w:cs="Arial"/>
                <w:sz w:val="18"/>
                <w:szCs w:val="18"/>
              </w:rPr>
            </w:pPr>
            <w:r w:rsidRPr="00934626">
              <w:rPr>
                <w:rFonts w:ascii="Arial" w:hAnsi="Arial" w:cs="Arial"/>
                <w:sz w:val="18"/>
                <w:szCs w:val="18"/>
              </w:rPr>
              <w:t>2 µl</w:t>
            </w:r>
          </w:p>
        </w:tc>
        <w:tc>
          <w:tcPr>
            <w:tcW w:w="1985" w:type="dxa"/>
          </w:tcPr>
          <w:p w14:paraId="2557F924" w14:textId="77777777" w:rsidR="008115DA" w:rsidRPr="00934626" w:rsidRDefault="008115DA" w:rsidP="00900ED7">
            <w:pPr>
              <w:spacing w:before="60" w:after="60" w:line="240" w:lineRule="auto"/>
              <w:rPr>
                <w:rFonts w:ascii="Arial" w:hAnsi="Arial" w:cs="Arial"/>
                <w:sz w:val="18"/>
                <w:szCs w:val="18"/>
              </w:rPr>
            </w:pPr>
          </w:p>
        </w:tc>
      </w:tr>
      <w:tr w:rsidR="00B519CC" w:rsidRPr="00934626" w14:paraId="60B5704B" w14:textId="77777777" w:rsidTr="007B1ED3">
        <w:trPr>
          <w:trHeight w:val="340"/>
        </w:trPr>
        <w:tc>
          <w:tcPr>
            <w:tcW w:w="2238" w:type="dxa"/>
            <w:tcBorders>
              <w:bottom w:val="single" w:sz="4" w:space="0" w:color="auto"/>
            </w:tcBorders>
            <w:shd w:val="clear" w:color="auto" w:fill="auto"/>
          </w:tcPr>
          <w:p w14:paraId="2EE6D2D5" w14:textId="77777777" w:rsidR="008115DA" w:rsidRPr="00934626" w:rsidRDefault="008115DA" w:rsidP="007B1ED3">
            <w:pPr>
              <w:spacing w:before="60" w:line="240" w:lineRule="auto"/>
              <w:rPr>
                <w:rFonts w:ascii="Arial" w:hAnsi="Arial" w:cs="Arial"/>
                <w:bCs/>
                <w:caps/>
                <w:sz w:val="18"/>
                <w:szCs w:val="18"/>
              </w:rPr>
            </w:pPr>
            <w:r w:rsidRPr="00934626">
              <w:rPr>
                <w:rFonts w:ascii="Arial" w:hAnsi="Arial" w:cs="Arial"/>
                <w:bCs/>
                <w:sz w:val="18"/>
                <w:szCs w:val="18"/>
              </w:rPr>
              <w:t>Final volume</w:t>
            </w:r>
          </w:p>
        </w:tc>
        <w:tc>
          <w:tcPr>
            <w:tcW w:w="2156" w:type="dxa"/>
            <w:tcBorders>
              <w:bottom w:val="single" w:sz="4" w:space="0" w:color="auto"/>
            </w:tcBorders>
            <w:shd w:val="clear" w:color="auto" w:fill="auto"/>
          </w:tcPr>
          <w:p w14:paraId="68330ACC" w14:textId="77777777" w:rsidR="008115DA" w:rsidRPr="00934626" w:rsidRDefault="008115DA" w:rsidP="007B1ED3">
            <w:pPr>
              <w:spacing w:before="60" w:line="240" w:lineRule="auto"/>
              <w:rPr>
                <w:rFonts w:ascii="Arial" w:hAnsi="Arial" w:cs="Arial"/>
                <w:sz w:val="18"/>
                <w:szCs w:val="18"/>
              </w:rPr>
            </w:pPr>
            <w:r w:rsidRPr="00934626">
              <w:rPr>
                <w:rFonts w:ascii="Arial" w:hAnsi="Arial" w:cs="Arial"/>
                <w:sz w:val="18"/>
                <w:szCs w:val="18"/>
              </w:rPr>
              <w:t>50 µl</w:t>
            </w:r>
          </w:p>
        </w:tc>
        <w:tc>
          <w:tcPr>
            <w:tcW w:w="1985" w:type="dxa"/>
            <w:tcBorders>
              <w:bottom w:val="single" w:sz="4" w:space="0" w:color="auto"/>
            </w:tcBorders>
            <w:shd w:val="clear" w:color="auto" w:fill="auto"/>
          </w:tcPr>
          <w:p w14:paraId="093210A6" w14:textId="77777777" w:rsidR="008115DA" w:rsidRPr="00934626" w:rsidRDefault="008115DA" w:rsidP="007B1ED3">
            <w:pPr>
              <w:spacing w:before="60" w:line="240" w:lineRule="auto"/>
              <w:rPr>
                <w:rFonts w:ascii="Arial" w:hAnsi="Arial" w:cs="Arial"/>
                <w:sz w:val="18"/>
                <w:szCs w:val="18"/>
              </w:rPr>
            </w:pPr>
          </w:p>
        </w:tc>
      </w:tr>
    </w:tbl>
    <w:p w14:paraId="2BA1CBBB" w14:textId="77777777" w:rsidR="008115DA" w:rsidRPr="00934626" w:rsidRDefault="008115DA" w:rsidP="007B1ED3">
      <w:pPr>
        <w:pStyle w:val="i"/>
        <w:spacing w:before="120"/>
      </w:pPr>
      <w:r w:rsidRPr="00934626">
        <w:t>iv)</w:t>
      </w:r>
      <w:r w:rsidRPr="00934626">
        <w:tab/>
        <w:t>Distilled water (5 µl) is used in place of RNA to provide a negative control which has to be included into each set of PCR tests.</w:t>
      </w:r>
    </w:p>
    <w:p w14:paraId="7911A0A5" w14:textId="77777777" w:rsidR="008115DA" w:rsidRPr="00934626" w:rsidRDefault="008115DA" w:rsidP="008115DA">
      <w:pPr>
        <w:pStyle w:val="i"/>
      </w:pPr>
      <w:r w:rsidRPr="00934626">
        <w:t>v)</w:t>
      </w:r>
      <w:r w:rsidRPr="00934626">
        <w:tab/>
        <w:t xml:space="preserve">Thermal cycler conditions are set as follows: </w:t>
      </w:r>
    </w:p>
    <w:tbl>
      <w:tblPr>
        <w:tblStyle w:val="Grilledutableau"/>
        <w:tblW w:w="7229" w:type="dxa"/>
        <w:tblInd w:w="19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418"/>
        <w:gridCol w:w="3543"/>
      </w:tblGrid>
      <w:tr w:rsidR="00B519CC" w:rsidRPr="00934626" w14:paraId="6E540A9C" w14:textId="77777777" w:rsidTr="00DA14ED">
        <w:trPr>
          <w:trHeight w:hRule="exact" w:val="340"/>
        </w:trPr>
        <w:tc>
          <w:tcPr>
            <w:tcW w:w="2268" w:type="dxa"/>
            <w:vAlign w:val="center"/>
          </w:tcPr>
          <w:p w14:paraId="344CC05F" w14:textId="77777777" w:rsidR="008115DA" w:rsidRPr="00934626" w:rsidRDefault="008115DA" w:rsidP="00EB7011">
            <w:pPr>
              <w:pStyle w:val="paraa"/>
              <w:widowControl w:val="0"/>
              <w:tabs>
                <w:tab w:val="clear" w:pos="-720"/>
              </w:tabs>
              <w:spacing w:before="60" w:after="60"/>
              <w:ind w:left="0"/>
              <w:jc w:val="left"/>
            </w:pPr>
            <w:r w:rsidRPr="00934626">
              <w:t>50°C for 30 minutes</w:t>
            </w:r>
          </w:p>
        </w:tc>
        <w:tc>
          <w:tcPr>
            <w:tcW w:w="1418" w:type="dxa"/>
            <w:vAlign w:val="center"/>
          </w:tcPr>
          <w:p w14:paraId="7F7CBBAC" w14:textId="77777777" w:rsidR="008115DA" w:rsidRPr="00934626" w:rsidRDefault="008115DA" w:rsidP="00EB7011">
            <w:pPr>
              <w:pStyle w:val="paraa"/>
              <w:widowControl w:val="0"/>
              <w:tabs>
                <w:tab w:val="clear" w:pos="-720"/>
              </w:tabs>
              <w:spacing w:before="60" w:after="60"/>
              <w:ind w:left="0"/>
              <w:jc w:val="left"/>
            </w:pPr>
            <w:r w:rsidRPr="00934626">
              <w:t>1 cycle</w:t>
            </w:r>
          </w:p>
        </w:tc>
        <w:tc>
          <w:tcPr>
            <w:tcW w:w="3543" w:type="dxa"/>
            <w:vAlign w:val="center"/>
          </w:tcPr>
          <w:p w14:paraId="6F38BA68" w14:textId="77777777" w:rsidR="008115DA" w:rsidRPr="00934626" w:rsidRDefault="008115DA" w:rsidP="00EB7011">
            <w:pPr>
              <w:pStyle w:val="paraa"/>
              <w:widowControl w:val="0"/>
              <w:tabs>
                <w:tab w:val="clear" w:pos="-720"/>
              </w:tabs>
              <w:spacing w:before="60" w:after="60"/>
              <w:ind w:left="0"/>
              <w:jc w:val="left"/>
            </w:pPr>
            <w:r w:rsidRPr="00934626">
              <w:t>reverse transcription step</w:t>
            </w:r>
          </w:p>
        </w:tc>
      </w:tr>
      <w:tr w:rsidR="00B519CC" w:rsidRPr="00934626" w14:paraId="77E84907" w14:textId="77777777" w:rsidTr="00DA14ED">
        <w:trPr>
          <w:trHeight w:hRule="exact" w:val="340"/>
        </w:trPr>
        <w:tc>
          <w:tcPr>
            <w:tcW w:w="2268" w:type="dxa"/>
            <w:tcBorders>
              <w:bottom w:val="single" w:sz="12" w:space="0" w:color="auto"/>
            </w:tcBorders>
            <w:vAlign w:val="center"/>
          </w:tcPr>
          <w:p w14:paraId="2927F2FE" w14:textId="77777777" w:rsidR="008115DA" w:rsidRPr="00934626" w:rsidRDefault="008115DA" w:rsidP="00EB7011">
            <w:pPr>
              <w:pStyle w:val="paraa"/>
              <w:widowControl w:val="0"/>
              <w:tabs>
                <w:tab w:val="clear" w:pos="-720"/>
              </w:tabs>
              <w:spacing w:before="60" w:after="60"/>
              <w:ind w:left="0"/>
              <w:jc w:val="left"/>
            </w:pPr>
            <w:r w:rsidRPr="00934626">
              <w:t>95°C for 15 minutes</w:t>
            </w:r>
          </w:p>
        </w:tc>
        <w:tc>
          <w:tcPr>
            <w:tcW w:w="1418" w:type="dxa"/>
            <w:tcBorders>
              <w:bottom w:val="single" w:sz="12" w:space="0" w:color="auto"/>
            </w:tcBorders>
            <w:vAlign w:val="center"/>
          </w:tcPr>
          <w:p w14:paraId="7CA1B889" w14:textId="77777777" w:rsidR="008115DA" w:rsidRPr="00934626" w:rsidRDefault="008115DA" w:rsidP="00EB7011">
            <w:pPr>
              <w:pStyle w:val="paraa"/>
              <w:widowControl w:val="0"/>
              <w:tabs>
                <w:tab w:val="clear" w:pos="-720"/>
              </w:tabs>
              <w:spacing w:before="60" w:after="60"/>
              <w:ind w:left="0"/>
              <w:jc w:val="left"/>
            </w:pPr>
            <w:r w:rsidRPr="00934626">
              <w:t>1 cycle</w:t>
            </w:r>
          </w:p>
        </w:tc>
        <w:tc>
          <w:tcPr>
            <w:tcW w:w="3543" w:type="dxa"/>
            <w:tcBorders>
              <w:bottom w:val="single" w:sz="12" w:space="0" w:color="auto"/>
            </w:tcBorders>
            <w:vAlign w:val="center"/>
          </w:tcPr>
          <w:p w14:paraId="63315DCC" w14:textId="77777777" w:rsidR="008115DA" w:rsidRPr="00934626" w:rsidRDefault="008115DA" w:rsidP="00EB7011">
            <w:pPr>
              <w:pStyle w:val="paraa"/>
              <w:widowControl w:val="0"/>
              <w:tabs>
                <w:tab w:val="clear" w:pos="-720"/>
              </w:tabs>
              <w:spacing w:before="60" w:after="60"/>
              <w:ind w:left="0"/>
              <w:jc w:val="left"/>
            </w:pPr>
            <w:r w:rsidRPr="00934626">
              <w:t>Inactivates RT and activates polymerase</w:t>
            </w:r>
          </w:p>
        </w:tc>
      </w:tr>
      <w:tr w:rsidR="00B519CC" w:rsidRPr="00934626" w14:paraId="1F0398C2" w14:textId="77777777" w:rsidTr="00DA14ED">
        <w:trPr>
          <w:trHeight w:hRule="exact" w:val="340"/>
        </w:trPr>
        <w:tc>
          <w:tcPr>
            <w:tcW w:w="2268" w:type="dxa"/>
            <w:tcBorders>
              <w:top w:val="single" w:sz="12" w:space="0" w:color="auto"/>
            </w:tcBorders>
            <w:vAlign w:val="center"/>
          </w:tcPr>
          <w:p w14:paraId="25467D4B" w14:textId="77777777" w:rsidR="008115DA" w:rsidRPr="00934626" w:rsidRDefault="008115DA" w:rsidP="00EB7011">
            <w:pPr>
              <w:pStyle w:val="paraa"/>
              <w:widowControl w:val="0"/>
              <w:tabs>
                <w:tab w:val="clear" w:pos="-720"/>
              </w:tabs>
              <w:spacing w:before="60" w:after="60"/>
              <w:ind w:left="0"/>
              <w:jc w:val="left"/>
            </w:pPr>
            <w:r w:rsidRPr="00934626">
              <w:t>94°C for 30 seconds</w:t>
            </w:r>
          </w:p>
        </w:tc>
        <w:tc>
          <w:tcPr>
            <w:tcW w:w="1418" w:type="dxa"/>
            <w:tcBorders>
              <w:top w:val="single" w:sz="12" w:space="0" w:color="auto"/>
            </w:tcBorders>
            <w:vAlign w:val="center"/>
          </w:tcPr>
          <w:p w14:paraId="1C416184" w14:textId="77777777" w:rsidR="008115DA" w:rsidRPr="00934626" w:rsidRDefault="008115DA" w:rsidP="00EB7011">
            <w:pPr>
              <w:pStyle w:val="paraa"/>
              <w:widowControl w:val="0"/>
              <w:tabs>
                <w:tab w:val="clear" w:pos="-720"/>
              </w:tabs>
              <w:spacing w:before="60" w:after="60"/>
              <w:ind w:left="0"/>
              <w:jc w:val="left"/>
            </w:pPr>
          </w:p>
        </w:tc>
        <w:tc>
          <w:tcPr>
            <w:tcW w:w="3543" w:type="dxa"/>
            <w:tcBorders>
              <w:top w:val="single" w:sz="12" w:space="0" w:color="auto"/>
            </w:tcBorders>
            <w:vAlign w:val="center"/>
          </w:tcPr>
          <w:p w14:paraId="1346D26F" w14:textId="77777777" w:rsidR="008115DA" w:rsidRPr="00934626" w:rsidRDefault="008115DA" w:rsidP="00EB7011">
            <w:pPr>
              <w:pStyle w:val="paraa"/>
              <w:widowControl w:val="0"/>
              <w:tabs>
                <w:tab w:val="clear" w:pos="-720"/>
              </w:tabs>
              <w:spacing w:before="60" w:after="60"/>
              <w:ind w:left="0"/>
              <w:jc w:val="left"/>
            </w:pPr>
          </w:p>
        </w:tc>
      </w:tr>
      <w:tr w:rsidR="00B519CC" w:rsidRPr="00934626" w14:paraId="10A62B61" w14:textId="77777777" w:rsidTr="00DA14ED">
        <w:trPr>
          <w:trHeight w:hRule="exact" w:val="397"/>
        </w:trPr>
        <w:tc>
          <w:tcPr>
            <w:tcW w:w="2268" w:type="dxa"/>
            <w:vAlign w:val="center"/>
          </w:tcPr>
          <w:p w14:paraId="6808194D" w14:textId="77777777" w:rsidR="008115DA" w:rsidRPr="00934626" w:rsidRDefault="008115DA" w:rsidP="00EB7011">
            <w:pPr>
              <w:pStyle w:val="paraa"/>
              <w:widowControl w:val="0"/>
              <w:tabs>
                <w:tab w:val="clear" w:pos="-720"/>
              </w:tabs>
              <w:spacing w:before="60" w:after="60"/>
              <w:ind w:left="0"/>
              <w:jc w:val="left"/>
            </w:pPr>
            <w:r w:rsidRPr="00934626">
              <w:t>60°C for 30 seconds</w:t>
            </w:r>
          </w:p>
        </w:tc>
        <w:tc>
          <w:tcPr>
            <w:tcW w:w="1418" w:type="dxa"/>
            <w:vAlign w:val="center"/>
          </w:tcPr>
          <w:p w14:paraId="19BF7C1C" w14:textId="77777777" w:rsidR="008115DA" w:rsidRPr="00934626" w:rsidRDefault="008115DA" w:rsidP="00EB7011">
            <w:pPr>
              <w:pStyle w:val="paraa"/>
              <w:widowControl w:val="0"/>
              <w:tabs>
                <w:tab w:val="clear" w:pos="-720"/>
              </w:tabs>
              <w:spacing w:before="60" w:after="60"/>
              <w:ind w:left="0"/>
              <w:jc w:val="left"/>
            </w:pPr>
            <w:r w:rsidRPr="00934626">
              <w:t>40 cycles</w:t>
            </w:r>
          </w:p>
        </w:tc>
        <w:tc>
          <w:tcPr>
            <w:tcW w:w="3543" w:type="dxa"/>
            <w:vAlign w:val="center"/>
          </w:tcPr>
          <w:p w14:paraId="62090F8B" w14:textId="77777777" w:rsidR="008115DA" w:rsidRPr="00934626" w:rsidRDefault="008115DA" w:rsidP="00EB7011">
            <w:pPr>
              <w:pStyle w:val="paraa"/>
              <w:widowControl w:val="0"/>
              <w:tabs>
                <w:tab w:val="clear" w:pos="-720"/>
              </w:tabs>
              <w:spacing w:before="60" w:after="60"/>
              <w:ind w:left="0"/>
              <w:jc w:val="left"/>
            </w:pPr>
            <w:r w:rsidRPr="00934626">
              <w:t>PCR amplification of the cDNA</w:t>
            </w:r>
          </w:p>
        </w:tc>
      </w:tr>
      <w:tr w:rsidR="00B519CC" w:rsidRPr="00934626" w14:paraId="6D4FDB5A" w14:textId="77777777" w:rsidTr="00DA14ED">
        <w:trPr>
          <w:trHeight w:hRule="exact" w:val="340"/>
        </w:trPr>
        <w:tc>
          <w:tcPr>
            <w:tcW w:w="2268" w:type="dxa"/>
            <w:tcBorders>
              <w:bottom w:val="single" w:sz="12" w:space="0" w:color="auto"/>
            </w:tcBorders>
            <w:vAlign w:val="center"/>
          </w:tcPr>
          <w:p w14:paraId="51DAE095" w14:textId="77777777" w:rsidR="008115DA" w:rsidRPr="00934626" w:rsidRDefault="008115DA" w:rsidP="00EB7011">
            <w:pPr>
              <w:pStyle w:val="paraa"/>
              <w:widowControl w:val="0"/>
              <w:tabs>
                <w:tab w:val="clear" w:pos="-720"/>
              </w:tabs>
              <w:spacing w:before="60" w:after="60"/>
              <w:ind w:left="0"/>
              <w:jc w:val="left"/>
            </w:pPr>
            <w:r w:rsidRPr="00934626">
              <w:t>72°C for 1 minute</w:t>
            </w:r>
          </w:p>
        </w:tc>
        <w:tc>
          <w:tcPr>
            <w:tcW w:w="1418" w:type="dxa"/>
            <w:tcBorders>
              <w:bottom w:val="single" w:sz="12" w:space="0" w:color="auto"/>
            </w:tcBorders>
            <w:vAlign w:val="center"/>
          </w:tcPr>
          <w:p w14:paraId="54E6A4BF" w14:textId="77777777" w:rsidR="008115DA" w:rsidRPr="00934626" w:rsidRDefault="008115DA" w:rsidP="00EB7011">
            <w:pPr>
              <w:pStyle w:val="paraa"/>
              <w:widowControl w:val="0"/>
              <w:tabs>
                <w:tab w:val="clear" w:pos="-720"/>
              </w:tabs>
              <w:spacing w:before="60" w:after="60"/>
              <w:ind w:left="0"/>
              <w:jc w:val="left"/>
            </w:pPr>
          </w:p>
        </w:tc>
        <w:tc>
          <w:tcPr>
            <w:tcW w:w="3543" w:type="dxa"/>
            <w:tcBorders>
              <w:bottom w:val="single" w:sz="12" w:space="0" w:color="auto"/>
            </w:tcBorders>
            <w:vAlign w:val="center"/>
          </w:tcPr>
          <w:p w14:paraId="2F4B0D74" w14:textId="77777777" w:rsidR="008115DA" w:rsidRPr="00934626" w:rsidRDefault="008115DA" w:rsidP="00EB7011">
            <w:pPr>
              <w:pStyle w:val="paraa"/>
              <w:widowControl w:val="0"/>
              <w:tabs>
                <w:tab w:val="clear" w:pos="-720"/>
              </w:tabs>
              <w:spacing w:before="60" w:after="60"/>
              <w:ind w:left="0"/>
              <w:jc w:val="left"/>
            </w:pPr>
          </w:p>
        </w:tc>
      </w:tr>
      <w:tr w:rsidR="00B519CC" w:rsidRPr="00934626" w14:paraId="542C946B" w14:textId="77777777" w:rsidTr="00DA14ED">
        <w:trPr>
          <w:trHeight w:hRule="exact" w:val="340"/>
        </w:trPr>
        <w:tc>
          <w:tcPr>
            <w:tcW w:w="2268" w:type="dxa"/>
            <w:tcBorders>
              <w:top w:val="single" w:sz="12" w:space="0" w:color="auto"/>
            </w:tcBorders>
            <w:vAlign w:val="center"/>
          </w:tcPr>
          <w:p w14:paraId="2B9EFF16" w14:textId="77777777" w:rsidR="008115DA" w:rsidRPr="00934626" w:rsidRDefault="008115DA" w:rsidP="00EB7011">
            <w:pPr>
              <w:pStyle w:val="paraa"/>
              <w:widowControl w:val="0"/>
              <w:tabs>
                <w:tab w:val="clear" w:pos="-720"/>
              </w:tabs>
              <w:spacing w:before="60" w:after="60"/>
              <w:ind w:left="0"/>
              <w:jc w:val="left"/>
            </w:pPr>
            <w:r w:rsidRPr="00934626">
              <w:t>72°C for 5 minutes</w:t>
            </w:r>
          </w:p>
        </w:tc>
        <w:tc>
          <w:tcPr>
            <w:tcW w:w="1418" w:type="dxa"/>
            <w:tcBorders>
              <w:top w:val="single" w:sz="12" w:space="0" w:color="auto"/>
            </w:tcBorders>
            <w:vAlign w:val="center"/>
          </w:tcPr>
          <w:p w14:paraId="0DACBE58" w14:textId="77777777" w:rsidR="008115DA" w:rsidRPr="00934626" w:rsidRDefault="008115DA" w:rsidP="00EB7011">
            <w:pPr>
              <w:pStyle w:val="paraa"/>
              <w:widowControl w:val="0"/>
              <w:tabs>
                <w:tab w:val="clear" w:pos="-720"/>
              </w:tabs>
              <w:spacing w:before="60" w:after="60"/>
              <w:ind w:left="0"/>
              <w:jc w:val="left"/>
            </w:pPr>
            <w:r w:rsidRPr="00934626">
              <w:t>1 cycle</w:t>
            </w:r>
          </w:p>
        </w:tc>
        <w:tc>
          <w:tcPr>
            <w:tcW w:w="3543" w:type="dxa"/>
            <w:tcBorders>
              <w:top w:val="single" w:sz="12" w:space="0" w:color="auto"/>
            </w:tcBorders>
            <w:vAlign w:val="center"/>
          </w:tcPr>
          <w:p w14:paraId="370EF728" w14:textId="77777777" w:rsidR="008115DA" w:rsidRPr="00934626" w:rsidRDefault="008115DA" w:rsidP="00EB7011">
            <w:pPr>
              <w:pStyle w:val="paraa"/>
              <w:widowControl w:val="0"/>
              <w:tabs>
                <w:tab w:val="clear" w:pos="-720"/>
              </w:tabs>
              <w:spacing w:before="60" w:after="60"/>
              <w:ind w:left="0"/>
              <w:jc w:val="left"/>
            </w:pPr>
            <w:r w:rsidRPr="00934626">
              <w:t>Final extension</w:t>
            </w:r>
          </w:p>
        </w:tc>
      </w:tr>
      <w:tr w:rsidR="00B519CC" w:rsidRPr="00934626" w14:paraId="282F9F6D" w14:textId="77777777" w:rsidTr="00DA14ED">
        <w:trPr>
          <w:trHeight w:hRule="exact" w:val="393"/>
        </w:trPr>
        <w:tc>
          <w:tcPr>
            <w:tcW w:w="2268" w:type="dxa"/>
            <w:vAlign w:val="center"/>
          </w:tcPr>
          <w:p w14:paraId="4D46B35F" w14:textId="77777777" w:rsidR="008115DA" w:rsidRPr="00934626" w:rsidRDefault="008115DA" w:rsidP="00900ED7">
            <w:pPr>
              <w:pStyle w:val="paraa"/>
              <w:widowControl w:val="0"/>
              <w:tabs>
                <w:tab w:val="clear" w:pos="-720"/>
              </w:tabs>
              <w:spacing w:before="60" w:after="120"/>
              <w:ind w:left="0"/>
              <w:jc w:val="left"/>
            </w:pPr>
            <w:r w:rsidRPr="00934626">
              <w:t>4°C (indefinite)</w:t>
            </w:r>
          </w:p>
        </w:tc>
        <w:tc>
          <w:tcPr>
            <w:tcW w:w="1418" w:type="dxa"/>
            <w:vAlign w:val="center"/>
          </w:tcPr>
          <w:p w14:paraId="2C5C2FEF" w14:textId="77777777" w:rsidR="008115DA" w:rsidRPr="00934626" w:rsidRDefault="008115DA" w:rsidP="00900ED7">
            <w:pPr>
              <w:pStyle w:val="paraa"/>
              <w:widowControl w:val="0"/>
              <w:tabs>
                <w:tab w:val="clear" w:pos="-720"/>
              </w:tabs>
              <w:spacing w:before="60" w:after="120"/>
              <w:ind w:left="0"/>
              <w:jc w:val="left"/>
            </w:pPr>
            <w:r w:rsidRPr="00934626">
              <w:t>–</w:t>
            </w:r>
          </w:p>
        </w:tc>
        <w:tc>
          <w:tcPr>
            <w:tcW w:w="3543" w:type="dxa"/>
            <w:vAlign w:val="center"/>
          </w:tcPr>
          <w:p w14:paraId="67A7B74B" w14:textId="77777777" w:rsidR="008115DA" w:rsidRPr="00934626" w:rsidRDefault="008115DA" w:rsidP="00900ED7">
            <w:pPr>
              <w:pStyle w:val="paraa"/>
              <w:widowControl w:val="0"/>
              <w:tabs>
                <w:tab w:val="clear" w:pos="-720"/>
              </w:tabs>
              <w:spacing w:before="60" w:after="120"/>
              <w:ind w:left="0"/>
              <w:jc w:val="left"/>
            </w:pPr>
            <w:r w:rsidRPr="00934626">
              <w:t>–</w:t>
            </w:r>
          </w:p>
        </w:tc>
      </w:tr>
    </w:tbl>
    <w:p w14:paraId="4603D0A5" w14:textId="77777777" w:rsidR="008115DA" w:rsidRPr="00934626" w:rsidRDefault="008115DA" w:rsidP="00877074">
      <w:pPr>
        <w:pStyle w:val="i"/>
        <w:spacing w:after="240"/>
      </w:pPr>
      <w:r w:rsidRPr="00934626">
        <w:t>vi)</w:t>
      </w:r>
      <w:r w:rsidRPr="00934626">
        <w:tab/>
        <w:t xml:space="preserve">The RT-PCR gives an amplification product of 351 bp. </w:t>
      </w:r>
      <w:r w:rsidR="00FB16CC" w:rsidRPr="00934626">
        <w:t>10 µl</w:t>
      </w:r>
      <w:r w:rsidRPr="00934626">
        <w:t xml:space="preserve"> of these products are analysed by electrophoresis on</w:t>
      </w:r>
      <w:r w:rsidR="00BC404F" w:rsidRPr="00934626">
        <w:t xml:space="preserve"> a</w:t>
      </w:r>
      <w:r w:rsidRPr="00934626">
        <w:t xml:space="preserve"> 1.5 % agarose gel. For all positive results, 40 µl of the final product may be directly used for sequencing.</w:t>
      </w:r>
    </w:p>
    <w:p w14:paraId="3BC58C81" w14:textId="77777777" w:rsidR="007B1ED3" w:rsidRDefault="007B1ED3">
      <w:pPr>
        <w:tabs>
          <w:tab w:val="clear" w:pos="-720"/>
        </w:tabs>
        <w:spacing w:line="240" w:lineRule="auto"/>
        <w:jc w:val="left"/>
        <w:rPr>
          <w:rFonts w:ascii="Ottawa" w:eastAsiaTheme="minorHAnsi" w:hAnsi="Ottawa" w:cs="Arial"/>
          <w:b/>
          <w:sz w:val="19"/>
          <w:lang w:eastAsia="en-US"/>
        </w:rPr>
      </w:pPr>
      <w:r>
        <w:br w:type="page"/>
      </w:r>
    </w:p>
    <w:p w14:paraId="1B681EB0" w14:textId="2D1C8FCE" w:rsidR="008115DA" w:rsidRPr="00934626" w:rsidRDefault="00ED47BC" w:rsidP="00DA14ED">
      <w:pPr>
        <w:pStyle w:val="111"/>
      </w:pPr>
      <w:r w:rsidRPr="00934626">
        <w:lastRenderedPageBreak/>
        <w:t>2.</w:t>
      </w:r>
      <w:r w:rsidR="00075EE9" w:rsidRPr="00934626">
        <w:t>2</w:t>
      </w:r>
      <w:r w:rsidRPr="00934626">
        <w:t>.2.</w:t>
      </w:r>
      <w:r w:rsidR="008115DA" w:rsidRPr="00934626">
        <w:tab/>
        <w:t>RT-PCR for the diagnosis of PPRV based on the amplification of part of the F gene</w:t>
      </w:r>
    </w:p>
    <w:p w14:paraId="046E0A20" w14:textId="4A36D263" w:rsidR="008115DA" w:rsidRPr="00934626" w:rsidRDefault="008115DA" w:rsidP="00DA14ED">
      <w:pPr>
        <w:pStyle w:val="111Para"/>
      </w:pPr>
      <w:r w:rsidRPr="00934626">
        <w:t>This assay is based on that originally published in Forsyth</w:t>
      </w:r>
      <w:r w:rsidR="00986437" w:rsidRPr="00934626">
        <w:t xml:space="preserve"> </w:t>
      </w:r>
      <w:r w:rsidR="00986437" w:rsidRPr="00934626">
        <w:rPr>
          <w:i/>
        </w:rPr>
        <w:t>et al</w:t>
      </w:r>
      <w:r w:rsidR="008A0A9D" w:rsidRPr="00934626">
        <w:rPr>
          <w:i/>
        </w:rPr>
        <w:t>.</w:t>
      </w:r>
      <w:r w:rsidR="00986437" w:rsidRPr="00934626">
        <w:t xml:space="preserve"> (2003)</w:t>
      </w:r>
      <w:r w:rsidRPr="00934626">
        <w:t>.</w:t>
      </w:r>
      <w:r w:rsidR="00986437" w:rsidRPr="00934626">
        <w:t xml:space="preserve"> </w:t>
      </w:r>
      <w:r w:rsidR="00BC404F" w:rsidRPr="00934626">
        <w:t>Like the N gen</w:t>
      </w:r>
      <w:r w:rsidR="00273B2B" w:rsidRPr="00934626">
        <w:t>e PCR, it detects virus from all</w:t>
      </w:r>
      <w:r w:rsidR="00BC404F" w:rsidRPr="00934626">
        <w:t xml:space="preserve"> of the four lineages.</w:t>
      </w:r>
    </w:p>
    <w:p w14:paraId="0C872C58" w14:textId="77777777" w:rsidR="008115DA" w:rsidRPr="00934626" w:rsidRDefault="008115DA" w:rsidP="008115DA">
      <w:pPr>
        <w:pStyle w:val="i"/>
      </w:pPr>
      <w:proofErr w:type="spellStart"/>
      <w:r w:rsidRPr="00934626">
        <w:t>i</w:t>
      </w:r>
      <w:proofErr w:type="spellEnd"/>
      <w:r w:rsidRPr="00934626">
        <w:t>)</w:t>
      </w:r>
      <w:r w:rsidRPr="00934626">
        <w:tab/>
        <w:t>Sequences of primers used in this protocol:</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5580"/>
      </w:tblGrid>
      <w:tr w:rsidR="00B519CC" w:rsidRPr="00934626" w14:paraId="15D22F87" w14:textId="77777777" w:rsidTr="00DA14ED">
        <w:tc>
          <w:tcPr>
            <w:tcW w:w="1558" w:type="dxa"/>
            <w:tcBorders>
              <w:top w:val="single" w:sz="4" w:space="0" w:color="auto"/>
              <w:left w:val="nil"/>
              <w:bottom w:val="single" w:sz="4" w:space="0" w:color="auto"/>
              <w:right w:val="nil"/>
            </w:tcBorders>
          </w:tcPr>
          <w:p w14:paraId="38BCE0B8" w14:textId="77777777" w:rsidR="008115DA" w:rsidRPr="00934626" w:rsidRDefault="008115DA" w:rsidP="00EB7011">
            <w:pPr>
              <w:pStyle w:val="paraa"/>
              <w:spacing w:before="60" w:after="60"/>
              <w:ind w:left="0"/>
              <w:jc w:val="left"/>
              <w:rPr>
                <w:b/>
                <w:lang w:val="pt-PT"/>
              </w:rPr>
            </w:pPr>
            <w:r w:rsidRPr="00934626">
              <w:rPr>
                <w:b/>
                <w:lang w:val="pt-PT"/>
              </w:rPr>
              <w:t>Primer</w:t>
            </w:r>
          </w:p>
        </w:tc>
        <w:tc>
          <w:tcPr>
            <w:tcW w:w="5671" w:type="dxa"/>
            <w:tcBorders>
              <w:top w:val="single" w:sz="4" w:space="0" w:color="auto"/>
              <w:left w:val="nil"/>
              <w:bottom w:val="single" w:sz="4" w:space="0" w:color="auto"/>
              <w:right w:val="nil"/>
            </w:tcBorders>
          </w:tcPr>
          <w:p w14:paraId="4105C7E3" w14:textId="77777777" w:rsidR="008115DA" w:rsidRPr="00934626" w:rsidRDefault="008115DA" w:rsidP="00EB7011">
            <w:pPr>
              <w:pStyle w:val="paraa"/>
              <w:spacing w:before="60" w:after="60"/>
              <w:ind w:left="709"/>
              <w:rPr>
                <w:b/>
                <w:lang w:val="pt-PT"/>
              </w:rPr>
            </w:pPr>
            <w:r w:rsidRPr="00934626">
              <w:rPr>
                <w:b/>
                <w:lang w:val="pt-PT"/>
              </w:rPr>
              <w:t>Sequence</w:t>
            </w:r>
          </w:p>
        </w:tc>
      </w:tr>
      <w:tr w:rsidR="00B519CC" w:rsidRPr="0092519D" w14:paraId="3894FAF4" w14:textId="77777777" w:rsidTr="00DA14ED">
        <w:tc>
          <w:tcPr>
            <w:tcW w:w="1558" w:type="dxa"/>
            <w:tcBorders>
              <w:top w:val="single" w:sz="4" w:space="0" w:color="auto"/>
              <w:left w:val="nil"/>
              <w:bottom w:val="nil"/>
              <w:right w:val="nil"/>
            </w:tcBorders>
          </w:tcPr>
          <w:p w14:paraId="3B75FC46" w14:textId="77777777" w:rsidR="008115DA" w:rsidRPr="00934626" w:rsidRDefault="008115DA" w:rsidP="00EB7011">
            <w:pPr>
              <w:pStyle w:val="paraa"/>
              <w:spacing w:before="60" w:after="60"/>
              <w:ind w:left="0"/>
              <w:jc w:val="left"/>
              <w:rPr>
                <w:lang w:val="pt-PT"/>
              </w:rPr>
            </w:pPr>
            <w:r w:rsidRPr="00934626">
              <w:rPr>
                <w:lang w:val="pt-PT"/>
              </w:rPr>
              <w:t>F1b</w:t>
            </w:r>
          </w:p>
        </w:tc>
        <w:tc>
          <w:tcPr>
            <w:tcW w:w="5671" w:type="dxa"/>
            <w:tcBorders>
              <w:top w:val="single" w:sz="4" w:space="0" w:color="auto"/>
              <w:left w:val="nil"/>
              <w:bottom w:val="nil"/>
              <w:right w:val="nil"/>
            </w:tcBorders>
          </w:tcPr>
          <w:p w14:paraId="385BE60B" w14:textId="77777777" w:rsidR="008115DA" w:rsidRPr="00934626" w:rsidRDefault="008115DA" w:rsidP="00EB7011">
            <w:pPr>
              <w:pStyle w:val="paraa"/>
              <w:spacing w:before="60" w:after="60"/>
              <w:ind w:left="709"/>
              <w:rPr>
                <w:lang w:val="pt-PT"/>
              </w:rPr>
            </w:pPr>
            <w:r w:rsidRPr="00934626">
              <w:rPr>
                <w:lang w:val="pt-PT"/>
              </w:rPr>
              <w:t>5’-AGT-ACA-AAA-GAT-TGC-TGA-TCA-CAG-T-3’</w:t>
            </w:r>
          </w:p>
        </w:tc>
      </w:tr>
      <w:tr w:rsidR="00B519CC" w:rsidRPr="0092519D" w14:paraId="1428BDB0" w14:textId="77777777" w:rsidTr="00DA14ED">
        <w:tc>
          <w:tcPr>
            <w:tcW w:w="1558" w:type="dxa"/>
            <w:tcBorders>
              <w:top w:val="nil"/>
              <w:left w:val="nil"/>
              <w:bottom w:val="nil"/>
              <w:right w:val="nil"/>
            </w:tcBorders>
          </w:tcPr>
          <w:p w14:paraId="466C3D01" w14:textId="77777777" w:rsidR="008115DA" w:rsidRPr="00934626" w:rsidRDefault="008115DA" w:rsidP="00EB7011">
            <w:pPr>
              <w:pStyle w:val="paraa"/>
              <w:spacing w:before="60" w:after="60"/>
              <w:ind w:left="0"/>
              <w:jc w:val="left"/>
              <w:rPr>
                <w:lang w:val="pt-PT"/>
              </w:rPr>
            </w:pPr>
            <w:r w:rsidRPr="00934626">
              <w:rPr>
                <w:lang w:val="pt-PT"/>
              </w:rPr>
              <w:t>F2d</w:t>
            </w:r>
          </w:p>
        </w:tc>
        <w:tc>
          <w:tcPr>
            <w:tcW w:w="5671" w:type="dxa"/>
            <w:tcBorders>
              <w:top w:val="nil"/>
              <w:left w:val="nil"/>
              <w:bottom w:val="nil"/>
              <w:right w:val="nil"/>
            </w:tcBorders>
          </w:tcPr>
          <w:p w14:paraId="416D2B73" w14:textId="77777777" w:rsidR="008115DA" w:rsidRPr="00934626" w:rsidRDefault="008115DA" w:rsidP="00EB7011">
            <w:pPr>
              <w:pStyle w:val="paraa"/>
              <w:spacing w:before="60" w:after="60"/>
              <w:ind w:left="709"/>
              <w:rPr>
                <w:lang w:val="pt-PT"/>
              </w:rPr>
            </w:pPr>
            <w:r w:rsidRPr="00934626">
              <w:rPr>
                <w:lang w:val="pt-PT"/>
              </w:rPr>
              <w:t>5’-GGG-TCT-CGA-AGG-CTA-GGC-CCG-AAT-A-3’</w:t>
            </w:r>
          </w:p>
        </w:tc>
      </w:tr>
      <w:tr w:rsidR="00B519CC" w:rsidRPr="0092519D" w14:paraId="5D601B5F" w14:textId="77777777" w:rsidTr="00DA14ED">
        <w:tc>
          <w:tcPr>
            <w:tcW w:w="1558" w:type="dxa"/>
            <w:tcBorders>
              <w:top w:val="nil"/>
              <w:left w:val="nil"/>
              <w:bottom w:val="nil"/>
              <w:right w:val="nil"/>
            </w:tcBorders>
          </w:tcPr>
          <w:p w14:paraId="7A01B36B" w14:textId="77777777" w:rsidR="008115DA" w:rsidRPr="00934626" w:rsidRDefault="008115DA" w:rsidP="00EB7011">
            <w:pPr>
              <w:pStyle w:val="paraa"/>
              <w:spacing w:before="60" w:after="60"/>
              <w:ind w:left="0"/>
              <w:jc w:val="left"/>
              <w:rPr>
                <w:lang w:val="pt-PT"/>
              </w:rPr>
            </w:pPr>
            <w:r w:rsidRPr="00934626">
              <w:rPr>
                <w:lang w:val="pt-PT"/>
              </w:rPr>
              <w:t>F1</w:t>
            </w:r>
          </w:p>
        </w:tc>
        <w:tc>
          <w:tcPr>
            <w:tcW w:w="5671" w:type="dxa"/>
            <w:tcBorders>
              <w:top w:val="nil"/>
              <w:left w:val="nil"/>
              <w:bottom w:val="nil"/>
              <w:right w:val="nil"/>
            </w:tcBorders>
          </w:tcPr>
          <w:p w14:paraId="2E4D0FB3" w14:textId="77777777" w:rsidR="008115DA" w:rsidRPr="00934626" w:rsidRDefault="008115DA" w:rsidP="00EB7011">
            <w:pPr>
              <w:pStyle w:val="paraa"/>
              <w:spacing w:before="60" w:after="60"/>
              <w:ind w:left="709"/>
              <w:rPr>
                <w:lang w:val="pt-PT"/>
              </w:rPr>
            </w:pPr>
            <w:r w:rsidRPr="00934626">
              <w:rPr>
                <w:lang w:val="pt-PT"/>
              </w:rPr>
              <w:t>5’-ATC-ACA-GTG-TTA-AAG-CCT-GTA-GAG-G-3’</w:t>
            </w:r>
          </w:p>
        </w:tc>
      </w:tr>
      <w:tr w:rsidR="00B519CC" w:rsidRPr="00934626" w14:paraId="280A7EC6" w14:textId="77777777" w:rsidTr="00DA14ED">
        <w:tc>
          <w:tcPr>
            <w:tcW w:w="1558" w:type="dxa"/>
            <w:tcBorders>
              <w:top w:val="nil"/>
              <w:left w:val="nil"/>
              <w:bottom w:val="single" w:sz="4" w:space="0" w:color="auto"/>
              <w:right w:val="nil"/>
            </w:tcBorders>
          </w:tcPr>
          <w:p w14:paraId="4B06E114" w14:textId="77777777" w:rsidR="008115DA" w:rsidRPr="00934626" w:rsidRDefault="008115DA" w:rsidP="00EB7011">
            <w:pPr>
              <w:pStyle w:val="paraa"/>
              <w:spacing w:before="60" w:after="60"/>
              <w:ind w:left="0"/>
              <w:jc w:val="left"/>
              <w:rPr>
                <w:lang w:val="pt-PT"/>
              </w:rPr>
            </w:pPr>
            <w:r w:rsidRPr="00934626">
              <w:rPr>
                <w:lang w:val="pt-PT"/>
              </w:rPr>
              <w:t>F2</w:t>
            </w:r>
          </w:p>
        </w:tc>
        <w:tc>
          <w:tcPr>
            <w:tcW w:w="5671" w:type="dxa"/>
            <w:tcBorders>
              <w:top w:val="nil"/>
              <w:left w:val="nil"/>
              <w:bottom w:val="single" w:sz="4" w:space="0" w:color="auto"/>
              <w:right w:val="nil"/>
            </w:tcBorders>
          </w:tcPr>
          <w:p w14:paraId="61F5A6BD" w14:textId="77777777" w:rsidR="008115DA" w:rsidRPr="00934626" w:rsidRDefault="008115DA" w:rsidP="00EB7011">
            <w:pPr>
              <w:pStyle w:val="paraa"/>
              <w:spacing w:before="60" w:after="60"/>
              <w:ind w:left="709"/>
              <w:rPr>
                <w:lang w:val="en-IE"/>
              </w:rPr>
            </w:pPr>
            <w:r w:rsidRPr="00934626">
              <w:rPr>
                <w:lang w:val="en-IE"/>
              </w:rPr>
              <w:t>5’-GAG-ACT-GAG-TTT-GTG-ACC-TAC-AAG-C-3’</w:t>
            </w:r>
          </w:p>
        </w:tc>
      </w:tr>
    </w:tbl>
    <w:p w14:paraId="35AE2ACD" w14:textId="4D0EFE36" w:rsidR="008115DA" w:rsidRPr="00934626" w:rsidRDefault="008115DA" w:rsidP="008115DA">
      <w:pPr>
        <w:pStyle w:val="i"/>
        <w:spacing w:before="120"/>
      </w:pPr>
      <w:r w:rsidRPr="00934626">
        <w:t>ii)</w:t>
      </w:r>
      <w:r w:rsidRPr="00934626">
        <w:tab/>
        <w:t xml:space="preserve">The first stage of this assay uses the </w:t>
      </w:r>
      <w:r w:rsidR="000E7FBD" w:rsidRPr="00934626">
        <w:t xml:space="preserve">consists of a one-tube RT-PCR reaction </w:t>
      </w:r>
      <w:r w:rsidRPr="00934626">
        <w:t xml:space="preserve">using PPRV primers F1b and F2d designed against the PPRV F gene. </w:t>
      </w:r>
      <w:r w:rsidR="000E7FBD" w:rsidRPr="00934626">
        <w:t>The protocol gi</w:t>
      </w:r>
      <w:r w:rsidR="00275FF9" w:rsidRPr="00934626">
        <w:t>ven has been validated using a commercial kit</w:t>
      </w:r>
      <w:r w:rsidR="000E7FBD" w:rsidRPr="00934626">
        <w:t>, but other reagents could be used after appropriate testing and validation.</w:t>
      </w:r>
    </w:p>
    <w:p w14:paraId="649B4A7A" w14:textId="77777777" w:rsidR="008115DA" w:rsidRPr="00934626" w:rsidRDefault="008115DA" w:rsidP="008115DA">
      <w:pPr>
        <w:pStyle w:val="i"/>
      </w:pPr>
      <w:r w:rsidRPr="00934626">
        <w:t>iii)</w:t>
      </w:r>
      <w:r w:rsidRPr="00934626">
        <w:tab/>
        <w:t>Combine 20 µl reaction mix with 5 µl RNA in a 0.5 ml PCR tube. Each assay requires, at a minimum, the sample, negative control, positive control and no-template control (RNase-free water instead of RNA sample).</w:t>
      </w:r>
    </w:p>
    <w:p w14:paraId="3485274D" w14:textId="77777777" w:rsidR="008115DA" w:rsidRPr="00934626" w:rsidRDefault="008115DA" w:rsidP="008115DA">
      <w:pPr>
        <w:pStyle w:val="i"/>
      </w:pPr>
      <w:r w:rsidRPr="00934626">
        <w:t>iv)</w:t>
      </w:r>
      <w:r w:rsidRPr="00934626">
        <w:tab/>
        <w:t>Transfer the reactions to a thermal cycler and start the following programme:</w:t>
      </w:r>
    </w:p>
    <w:tbl>
      <w:tblPr>
        <w:tblStyle w:val="Grilledutableau"/>
        <w:tblW w:w="7229" w:type="dxa"/>
        <w:tblInd w:w="19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276"/>
        <w:gridCol w:w="3685"/>
      </w:tblGrid>
      <w:tr w:rsidR="00B519CC" w:rsidRPr="00934626" w14:paraId="1BE982F9" w14:textId="77777777" w:rsidTr="00DA14ED">
        <w:trPr>
          <w:trHeight w:hRule="exact" w:val="340"/>
        </w:trPr>
        <w:tc>
          <w:tcPr>
            <w:tcW w:w="2268" w:type="dxa"/>
          </w:tcPr>
          <w:p w14:paraId="73418DE9" w14:textId="77777777" w:rsidR="008115DA" w:rsidRPr="00934626" w:rsidRDefault="008115DA" w:rsidP="00EB7011">
            <w:pPr>
              <w:pStyle w:val="paraa"/>
              <w:tabs>
                <w:tab w:val="clear" w:pos="-720"/>
              </w:tabs>
              <w:spacing w:before="60" w:after="60"/>
              <w:ind w:left="0"/>
              <w:jc w:val="left"/>
            </w:pPr>
            <w:r w:rsidRPr="00934626">
              <w:t>50°C for 30 minutes</w:t>
            </w:r>
          </w:p>
        </w:tc>
        <w:tc>
          <w:tcPr>
            <w:tcW w:w="1276" w:type="dxa"/>
          </w:tcPr>
          <w:p w14:paraId="34EE14CA" w14:textId="77777777" w:rsidR="008115DA" w:rsidRPr="00934626" w:rsidRDefault="008115DA" w:rsidP="00EB7011">
            <w:pPr>
              <w:pStyle w:val="paraa"/>
              <w:tabs>
                <w:tab w:val="clear" w:pos="-720"/>
              </w:tabs>
              <w:spacing w:before="60" w:after="60"/>
              <w:ind w:left="0"/>
              <w:jc w:val="left"/>
            </w:pPr>
            <w:r w:rsidRPr="00934626">
              <w:t>1 cycle</w:t>
            </w:r>
          </w:p>
        </w:tc>
        <w:tc>
          <w:tcPr>
            <w:tcW w:w="3685" w:type="dxa"/>
          </w:tcPr>
          <w:p w14:paraId="2CA047A6" w14:textId="77777777" w:rsidR="008115DA" w:rsidRPr="00934626" w:rsidRDefault="008115DA" w:rsidP="00877074">
            <w:pPr>
              <w:pStyle w:val="paraa"/>
              <w:tabs>
                <w:tab w:val="clear" w:pos="-720"/>
              </w:tabs>
              <w:spacing w:before="60" w:after="60"/>
              <w:ind w:left="0"/>
              <w:jc w:val="left"/>
            </w:pPr>
            <w:r w:rsidRPr="00934626">
              <w:t xml:space="preserve">Reverse </w:t>
            </w:r>
            <w:r w:rsidR="00877074" w:rsidRPr="00934626">
              <w:t>t</w:t>
            </w:r>
            <w:r w:rsidRPr="00934626">
              <w:t>ranscription step</w:t>
            </w:r>
          </w:p>
        </w:tc>
      </w:tr>
      <w:tr w:rsidR="00B519CC" w:rsidRPr="00934626" w14:paraId="4D737F34" w14:textId="77777777" w:rsidTr="00DA14ED">
        <w:trPr>
          <w:trHeight w:hRule="exact" w:val="340"/>
        </w:trPr>
        <w:tc>
          <w:tcPr>
            <w:tcW w:w="2268" w:type="dxa"/>
            <w:tcBorders>
              <w:bottom w:val="single" w:sz="12" w:space="0" w:color="auto"/>
            </w:tcBorders>
          </w:tcPr>
          <w:p w14:paraId="685251DD" w14:textId="77777777" w:rsidR="008115DA" w:rsidRPr="00934626" w:rsidRDefault="008115DA" w:rsidP="00EB7011">
            <w:pPr>
              <w:pStyle w:val="paraa"/>
              <w:tabs>
                <w:tab w:val="clear" w:pos="-720"/>
              </w:tabs>
              <w:spacing w:before="60" w:after="60"/>
              <w:ind w:left="0"/>
              <w:jc w:val="left"/>
            </w:pPr>
            <w:r w:rsidRPr="00934626">
              <w:t>94°C for 2 minutes</w:t>
            </w:r>
          </w:p>
        </w:tc>
        <w:tc>
          <w:tcPr>
            <w:tcW w:w="1276" w:type="dxa"/>
            <w:tcBorders>
              <w:bottom w:val="single" w:sz="12" w:space="0" w:color="auto"/>
            </w:tcBorders>
          </w:tcPr>
          <w:p w14:paraId="391B6919" w14:textId="77777777" w:rsidR="008115DA" w:rsidRPr="00934626" w:rsidRDefault="008115DA" w:rsidP="00EB7011">
            <w:pPr>
              <w:pStyle w:val="paraa"/>
              <w:tabs>
                <w:tab w:val="clear" w:pos="-720"/>
              </w:tabs>
              <w:spacing w:before="60" w:after="60"/>
              <w:ind w:left="0"/>
              <w:jc w:val="left"/>
            </w:pPr>
            <w:r w:rsidRPr="00934626">
              <w:t>1 cycle</w:t>
            </w:r>
          </w:p>
        </w:tc>
        <w:tc>
          <w:tcPr>
            <w:tcW w:w="3685" w:type="dxa"/>
            <w:tcBorders>
              <w:bottom w:val="single" w:sz="12" w:space="0" w:color="auto"/>
            </w:tcBorders>
          </w:tcPr>
          <w:p w14:paraId="6B9BA771" w14:textId="77777777" w:rsidR="008115DA" w:rsidRPr="00934626" w:rsidRDefault="008115DA" w:rsidP="00EB7011">
            <w:pPr>
              <w:pStyle w:val="paraa"/>
              <w:tabs>
                <w:tab w:val="clear" w:pos="-720"/>
              </w:tabs>
              <w:spacing w:before="60" w:after="60"/>
              <w:ind w:left="0"/>
              <w:jc w:val="left"/>
            </w:pPr>
            <w:r w:rsidRPr="00934626">
              <w:t>Inactivates RT and activates polymerase</w:t>
            </w:r>
          </w:p>
        </w:tc>
      </w:tr>
      <w:tr w:rsidR="00B519CC" w:rsidRPr="00934626" w14:paraId="0D2E50F7" w14:textId="77777777" w:rsidTr="00DA14ED">
        <w:trPr>
          <w:trHeight w:hRule="exact" w:val="340"/>
        </w:trPr>
        <w:tc>
          <w:tcPr>
            <w:tcW w:w="2268" w:type="dxa"/>
            <w:tcBorders>
              <w:top w:val="single" w:sz="12" w:space="0" w:color="auto"/>
            </w:tcBorders>
          </w:tcPr>
          <w:p w14:paraId="62E3D01F" w14:textId="77777777" w:rsidR="008115DA" w:rsidRPr="00934626" w:rsidRDefault="008115DA" w:rsidP="00EB7011">
            <w:pPr>
              <w:pStyle w:val="paraa"/>
              <w:tabs>
                <w:tab w:val="clear" w:pos="-720"/>
              </w:tabs>
              <w:spacing w:before="60" w:after="60"/>
              <w:ind w:left="0"/>
              <w:jc w:val="left"/>
            </w:pPr>
            <w:r w:rsidRPr="00934626">
              <w:t>94°C for 1 minute</w:t>
            </w:r>
          </w:p>
        </w:tc>
        <w:tc>
          <w:tcPr>
            <w:tcW w:w="1276" w:type="dxa"/>
            <w:tcBorders>
              <w:top w:val="single" w:sz="12" w:space="0" w:color="auto"/>
            </w:tcBorders>
          </w:tcPr>
          <w:p w14:paraId="58B4141F" w14:textId="77777777" w:rsidR="008115DA" w:rsidRPr="00934626" w:rsidRDefault="008115DA" w:rsidP="00EB7011">
            <w:pPr>
              <w:pStyle w:val="paraa"/>
              <w:tabs>
                <w:tab w:val="clear" w:pos="-720"/>
              </w:tabs>
              <w:spacing w:before="60" w:after="60"/>
              <w:ind w:left="0"/>
              <w:jc w:val="left"/>
            </w:pPr>
          </w:p>
        </w:tc>
        <w:tc>
          <w:tcPr>
            <w:tcW w:w="3685" w:type="dxa"/>
            <w:tcBorders>
              <w:top w:val="single" w:sz="12" w:space="0" w:color="auto"/>
            </w:tcBorders>
          </w:tcPr>
          <w:p w14:paraId="0F74C175" w14:textId="77777777" w:rsidR="008115DA" w:rsidRPr="00934626" w:rsidRDefault="008115DA" w:rsidP="00EB7011">
            <w:pPr>
              <w:pStyle w:val="paraa"/>
              <w:tabs>
                <w:tab w:val="clear" w:pos="-720"/>
              </w:tabs>
              <w:spacing w:before="60" w:after="60"/>
              <w:ind w:left="0"/>
              <w:jc w:val="left"/>
            </w:pPr>
          </w:p>
        </w:tc>
      </w:tr>
      <w:tr w:rsidR="00B519CC" w:rsidRPr="00934626" w14:paraId="689DEC22" w14:textId="77777777" w:rsidTr="00DA14ED">
        <w:trPr>
          <w:trHeight w:hRule="exact" w:val="340"/>
        </w:trPr>
        <w:tc>
          <w:tcPr>
            <w:tcW w:w="2268" w:type="dxa"/>
          </w:tcPr>
          <w:p w14:paraId="44E4D4B1" w14:textId="77777777" w:rsidR="008115DA" w:rsidRPr="00934626" w:rsidRDefault="008115DA" w:rsidP="00EB7011">
            <w:pPr>
              <w:pStyle w:val="paraa"/>
              <w:tabs>
                <w:tab w:val="clear" w:pos="-720"/>
              </w:tabs>
              <w:spacing w:before="60" w:after="60"/>
              <w:ind w:left="0"/>
              <w:jc w:val="left"/>
            </w:pPr>
            <w:r w:rsidRPr="00934626">
              <w:t>55 °C for 1 minute</w:t>
            </w:r>
          </w:p>
        </w:tc>
        <w:tc>
          <w:tcPr>
            <w:tcW w:w="1276" w:type="dxa"/>
          </w:tcPr>
          <w:p w14:paraId="19C076A6" w14:textId="77777777" w:rsidR="008115DA" w:rsidRPr="00934626" w:rsidRDefault="008115DA" w:rsidP="00EB7011">
            <w:pPr>
              <w:pStyle w:val="paraa"/>
              <w:tabs>
                <w:tab w:val="clear" w:pos="-720"/>
              </w:tabs>
              <w:spacing w:before="60" w:after="60"/>
              <w:ind w:left="0"/>
              <w:jc w:val="left"/>
            </w:pPr>
            <w:r w:rsidRPr="00934626">
              <w:t>35 cycles</w:t>
            </w:r>
          </w:p>
        </w:tc>
        <w:tc>
          <w:tcPr>
            <w:tcW w:w="3685" w:type="dxa"/>
          </w:tcPr>
          <w:p w14:paraId="07948ACF" w14:textId="77777777" w:rsidR="008115DA" w:rsidRPr="00934626" w:rsidRDefault="008115DA" w:rsidP="00EB7011">
            <w:pPr>
              <w:pStyle w:val="paraa"/>
              <w:tabs>
                <w:tab w:val="clear" w:pos="-720"/>
              </w:tabs>
              <w:spacing w:before="60" w:after="60"/>
              <w:ind w:left="0"/>
              <w:jc w:val="left"/>
            </w:pPr>
            <w:r w:rsidRPr="00934626">
              <w:t>PCR amplification of the cDNA</w:t>
            </w:r>
          </w:p>
        </w:tc>
      </w:tr>
      <w:tr w:rsidR="00B519CC" w:rsidRPr="00934626" w14:paraId="78B375E9" w14:textId="77777777" w:rsidTr="00DA14ED">
        <w:trPr>
          <w:trHeight w:hRule="exact" w:val="340"/>
        </w:trPr>
        <w:tc>
          <w:tcPr>
            <w:tcW w:w="2268" w:type="dxa"/>
            <w:tcBorders>
              <w:bottom w:val="single" w:sz="12" w:space="0" w:color="auto"/>
            </w:tcBorders>
          </w:tcPr>
          <w:p w14:paraId="0D78B264" w14:textId="77777777" w:rsidR="008115DA" w:rsidRPr="00934626" w:rsidRDefault="008115DA" w:rsidP="00EB7011">
            <w:pPr>
              <w:pStyle w:val="paraa"/>
              <w:tabs>
                <w:tab w:val="clear" w:pos="-720"/>
              </w:tabs>
              <w:spacing w:before="60" w:after="60"/>
              <w:ind w:left="0"/>
              <w:jc w:val="left"/>
            </w:pPr>
            <w:r w:rsidRPr="00934626">
              <w:t>72°C for 1 minute</w:t>
            </w:r>
          </w:p>
        </w:tc>
        <w:tc>
          <w:tcPr>
            <w:tcW w:w="1276" w:type="dxa"/>
            <w:tcBorders>
              <w:bottom w:val="single" w:sz="12" w:space="0" w:color="auto"/>
            </w:tcBorders>
          </w:tcPr>
          <w:p w14:paraId="6A60583A" w14:textId="77777777" w:rsidR="008115DA" w:rsidRPr="00934626" w:rsidRDefault="008115DA" w:rsidP="00EB7011">
            <w:pPr>
              <w:pStyle w:val="paraa"/>
              <w:tabs>
                <w:tab w:val="clear" w:pos="-720"/>
              </w:tabs>
              <w:spacing w:before="60" w:after="60"/>
              <w:ind w:left="0"/>
              <w:jc w:val="left"/>
            </w:pPr>
          </w:p>
        </w:tc>
        <w:tc>
          <w:tcPr>
            <w:tcW w:w="3685" w:type="dxa"/>
            <w:tcBorders>
              <w:bottom w:val="single" w:sz="12" w:space="0" w:color="auto"/>
            </w:tcBorders>
          </w:tcPr>
          <w:p w14:paraId="0D25A83A" w14:textId="77777777" w:rsidR="008115DA" w:rsidRPr="00934626" w:rsidRDefault="008115DA" w:rsidP="00EB7011">
            <w:pPr>
              <w:pStyle w:val="paraa"/>
              <w:tabs>
                <w:tab w:val="clear" w:pos="-720"/>
              </w:tabs>
              <w:spacing w:before="60" w:after="60"/>
              <w:ind w:left="0"/>
              <w:jc w:val="left"/>
            </w:pPr>
          </w:p>
        </w:tc>
      </w:tr>
      <w:tr w:rsidR="00B519CC" w:rsidRPr="00934626" w14:paraId="7DCBD402" w14:textId="77777777" w:rsidTr="00DA14ED">
        <w:trPr>
          <w:trHeight w:hRule="exact" w:val="340"/>
        </w:trPr>
        <w:tc>
          <w:tcPr>
            <w:tcW w:w="2268" w:type="dxa"/>
            <w:tcBorders>
              <w:top w:val="single" w:sz="12" w:space="0" w:color="auto"/>
            </w:tcBorders>
          </w:tcPr>
          <w:p w14:paraId="17BF585E" w14:textId="77777777" w:rsidR="008115DA" w:rsidRPr="00934626" w:rsidRDefault="008115DA" w:rsidP="00EB7011">
            <w:pPr>
              <w:pStyle w:val="paraa"/>
              <w:tabs>
                <w:tab w:val="clear" w:pos="-720"/>
              </w:tabs>
              <w:spacing w:before="60" w:after="60"/>
              <w:ind w:left="0"/>
              <w:jc w:val="left"/>
            </w:pPr>
            <w:r w:rsidRPr="00934626">
              <w:t>72°C for 7 minutes</w:t>
            </w:r>
          </w:p>
        </w:tc>
        <w:tc>
          <w:tcPr>
            <w:tcW w:w="1276" w:type="dxa"/>
            <w:tcBorders>
              <w:top w:val="single" w:sz="12" w:space="0" w:color="auto"/>
            </w:tcBorders>
          </w:tcPr>
          <w:p w14:paraId="22ADD735" w14:textId="77777777" w:rsidR="008115DA" w:rsidRPr="00934626" w:rsidRDefault="008115DA" w:rsidP="00EB7011">
            <w:pPr>
              <w:pStyle w:val="paraa"/>
              <w:tabs>
                <w:tab w:val="clear" w:pos="-720"/>
              </w:tabs>
              <w:spacing w:before="60" w:after="60"/>
              <w:ind w:left="0"/>
              <w:jc w:val="left"/>
            </w:pPr>
            <w:r w:rsidRPr="00934626">
              <w:t>1 cycle</w:t>
            </w:r>
          </w:p>
        </w:tc>
        <w:tc>
          <w:tcPr>
            <w:tcW w:w="3685" w:type="dxa"/>
            <w:tcBorders>
              <w:top w:val="single" w:sz="12" w:space="0" w:color="auto"/>
            </w:tcBorders>
          </w:tcPr>
          <w:p w14:paraId="0225C38E" w14:textId="77777777" w:rsidR="008115DA" w:rsidRPr="00934626" w:rsidRDefault="008115DA" w:rsidP="00EB7011">
            <w:pPr>
              <w:pStyle w:val="paraa"/>
              <w:tabs>
                <w:tab w:val="clear" w:pos="-720"/>
              </w:tabs>
              <w:spacing w:before="60" w:after="60"/>
              <w:ind w:left="0"/>
              <w:jc w:val="left"/>
            </w:pPr>
            <w:r w:rsidRPr="00934626">
              <w:t>Final extension</w:t>
            </w:r>
          </w:p>
        </w:tc>
      </w:tr>
      <w:tr w:rsidR="00B519CC" w:rsidRPr="00934626" w14:paraId="784C83AD" w14:textId="77777777" w:rsidTr="00DA14ED">
        <w:trPr>
          <w:trHeight w:hRule="exact" w:val="340"/>
        </w:trPr>
        <w:tc>
          <w:tcPr>
            <w:tcW w:w="2268" w:type="dxa"/>
          </w:tcPr>
          <w:p w14:paraId="0F913E21" w14:textId="77777777" w:rsidR="008115DA" w:rsidRPr="00934626" w:rsidRDefault="008115DA" w:rsidP="00EB7011">
            <w:pPr>
              <w:pStyle w:val="paraa"/>
              <w:tabs>
                <w:tab w:val="clear" w:pos="-720"/>
              </w:tabs>
              <w:spacing w:before="60" w:after="60"/>
              <w:ind w:left="0"/>
              <w:jc w:val="left"/>
            </w:pPr>
            <w:r w:rsidRPr="00934626">
              <w:t>4°C (indefinite)</w:t>
            </w:r>
          </w:p>
        </w:tc>
        <w:tc>
          <w:tcPr>
            <w:tcW w:w="1276" w:type="dxa"/>
          </w:tcPr>
          <w:p w14:paraId="520923AC" w14:textId="77777777" w:rsidR="008115DA" w:rsidRPr="00934626" w:rsidRDefault="008115DA" w:rsidP="00EB7011">
            <w:pPr>
              <w:pStyle w:val="paraa"/>
              <w:tabs>
                <w:tab w:val="clear" w:pos="-720"/>
              </w:tabs>
              <w:spacing w:before="60" w:after="60"/>
              <w:ind w:left="0"/>
              <w:jc w:val="left"/>
            </w:pPr>
            <w:r w:rsidRPr="00934626">
              <w:t>–</w:t>
            </w:r>
          </w:p>
        </w:tc>
        <w:tc>
          <w:tcPr>
            <w:tcW w:w="3685" w:type="dxa"/>
          </w:tcPr>
          <w:p w14:paraId="43AA535A" w14:textId="77777777" w:rsidR="008115DA" w:rsidRPr="00934626" w:rsidRDefault="008115DA" w:rsidP="00EB7011">
            <w:pPr>
              <w:pStyle w:val="paraa"/>
              <w:tabs>
                <w:tab w:val="clear" w:pos="-720"/>
              </w:tabs>
              <w:spacing w:before="60" w:after="60"/>
              <w:ind w:left="0"/>
              <w:jc w:val="left"/>
            </w:pPr>
            <w:r w:rsidRPr="00934626">
              <w:t>–</w:t>
            </w:r>
          </w:p>
        </w:tc>
      </w:tr>
    </w:tbl>
    <w:p w14:paraId="1A11C4BF" w14:textId="152926D0" w:rsidR="008115DA" w:rsidRPr="00934626" w:rsidRDefault="008115DA" w:rsidP="00346D2E">
      <w:pPr>
        <w:pStyle w:val="i"/>
        <w:spacing w:before="120"/>
        <w:rPr>
          <w:i/>
        </w:rPr>
      </w:pPr>
      <w:r w:rsidRPr="00934626">
        <w:rPr>
          <w:lang w:val="en-US"/>
        </w:rPr>
        <w:t>v)</w:t>
      </w:r>
      <w:r w:rsidRPr="00934626">
        <w:rPr>
          <w:lang w:val="en-US"/>
        </w:rPr>
        <w:tab/>
      </w:r>
      <w:proofErr w:type="spellStart"/>
      <w:r w:rsidRPr="00934626">
        <w:rPr>
          <w:lang w:val="en-US"/>
        </w:rPr>
        <w:t>Analyse</w:t>
      </w:r>
      <w:proofErr w:type="spellEnd"/>
      <w:r w:rsidRPr="00934626">
        <w:rPr>
          <w:lang w:val="en-US"/>
        </w:rPr>
        <w:t xml:space="preserve"> 10 µl of the reaction product by agarose gel electrophoresis using a 2% agarose gel in either TBE or TAE buffers. If present, PPRV RNA will be amplified to give a DNA fragment of 447 bp. If no DNA product, or a very weak DNA product, is seen, a second round of PCR can be completed to increase the amount of PCR product. This</w:t>
      </w:r>
      <w:r w:rsidR="000E7FBD" w:rsidRPr="00934626">
        <w:rPr>
          <w:lang w:val="en-US"/>
        </w:rPr>
        <w:t xml:space="preserve"> nested PCR can be carried out using primers F1 and F2 and any good quality PCR reagents and enzyme that have been suitably validated</w:t>
      </w:r>
      <w:r w:rsidR="00346D2E" w:rsidRPr="00934626">
        <w:rPr>
          <w:lang w:val="en-US"/>
        </w:rPr>
        <w:t>.</w:t>
      </w:r>
    </w:p>
    <w:p w14:paraId="36B599BF" w14:textId="77777777" w:rsidR="008115DA" w:rsidRPr="00934626" w:rsidRDefault="008115DA" w:rsidP="008115DA">
      <w:pPr>
        <w:pStyle w:val="i"/>
      </w:pPr>
      <w:r w:rsidRPr="00934626">
        <w:rPr>
          <w:lang w:val="en-US"/>
        </w:rPr>
        <w:t>vi)</w:t>
      </w:r>
      <w:r w:rsidRPr="00934626">
        <w:rPr>
          <w:lang w:val="en-US"/>
        </w:rPr>
        <w:tab/>
      </w:r>
      <w:r w:rsidRPr="00934626">
        <w:t>Combine 24 µl reaction mix with 1 µl of the first stage PCR in a 0.5 ml PCR tube. Each assay requires, at a minimum, the sample, negative control, positive control and no-template control (RNase-free water instead of PCR product). Transfer the reactions to a thermal cycler and start the following programme:</w:t>
      </w:r>
    </w:p>
    <w:tbl>
      <w:tblPr>
        <w:tblStyle w:val="Grilledutableau"/>
        <w:tblW w:w="7229" w:type="dxa"/>
        <w:tblInd w:w="19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283"/>
        <w:gridCol w:w="3678"/>
      </w:tblGrid>
      <w:tr w:rsidR="00B519CC" w:rsidRPr="00934626" w14:paraId="5C4134FB" w14:textId="77777777" w:rsidTr="00DA14ED">
        <w:trPr>
          <w:trHeight w:hRule="exact" w:val="340"/>
        </w:trPr>
        <w:tc>
          <w:tcPr>
            <w:tcW w:w="2268" w:type="dxa"/>
            <w:tcBorders>
              <w:bottom w:val="single" w:sz="12" w:space="0" w:color="auto"/>
            </w:tcBorders>
          </w:tcPr>
          <w:p w14:paraId="6FD7FD5D" w14:textId="77777777" w:rsidR="008115DA" w:rsidRPr="00934626" w:rsidRDefault="008115DA" w:rsidP="00EB7011">
            <w:pPr>
              <w:pStyle w:val="paraa"/>
              <w:tabs>
                <w:tab w:val="clear" w:pos="-720"/>
              </w:tabs>
              <w:spacing w:before="60" w:after="60"/>
              <w:ind w:left="0"/>
              <w:jc w:val="left"/>
            </w:pPr>
            <w:r w:rsidRPr="00934626">
              <w:t>94°C for 3 minutes</w:t>
            </w:r>
          </w:p>
        </w:tc>
        <w:tc>
          <w:tcPr>
            <w:tcW w:w="1283" w:type="dxa"/>
            <w:tcBorders>
              <w:bottom w:val="single" w:sz="12" w:space="0" w:color="auto"/>
            </w:tcBorders>
          </w:tcPr>
          <w:p w14:paraId="4C1FD5D7" w14:textId="77777777" w:rsidR="008115DA" w:rsidRPr="00934626" w:rsidRDefault="008115DA" w:rsidP="00EB7011">
            <w:pPr>
              <w:pStyle w:val="paraa"/>
              <w:tabs>
                <w:tab w:val="clear" w:pos="-720"/>
              </w:tabs>
              <w:spacing w:before="60" w:after="60"/>
              <w:ind w:left="0"/>
              <w:jc w:val="left"/>
            </w:pPr>
            <w:r w:rsidRPr="00934626">
              <w:t>1 cycle</w:t>
            </w:r>
          </w:p>
        </w:tc>
        <w:tc>
          <w:tcPr>
            <w:tcW w:w="3678" w:type="dxa"/>
            <w:tcBorders>
              <w:bottom w:val="single" w:sz="12" w:space="0" w:color="auto"/>
            </w:tcBorders>
          </w:tcPr>
          <w:p w14:paraId="7C5B7916" w14:textId="77777777" w:rsidR="008115DA" w:rsidRPr="00934626" w:rsidRDefault="008115DA" w:rsidP="00EB7011">
            <w:pPr>
              <w:pStyle w:val="paraa"/>
              <w:tabs>
                <w:tab w:val="clear" w:pos="-720"/>
              </w:tabs>
              <w:spacing w:before="60" w:after="60"/>
              <w:ind w:left="0"/>
              <w:jc w:val="left"/>
            </w:pPr>
            <w:r w:rsidRPr="00934626">
              <w:t>Activates polymerase</w:t>
            </w:r>
          </w:p>
        </w:tc>
      </w:tr>
      <w:tr w:rsidR="00B519CC" w:rsidRPr="00934626" w14:paraId="69AC855F" w14:textId="77777777" w:rsidTr="00DA14ED">
        <w:trPr>
          <w:trHeight w:hRule="exact" w:val="340"/>
        </w:trPr>
        <w:tc>
          <w:tcPr>
            <w:tcW w:w="2268" w:type="dxa"/>
            <w:tcBorders>
              <w:top w:val="single" w:sz="12" w:space="0" w:color="auto"/>
            </w:tcBorders>
          </w:tcPr>
          <w:p w14:paraId="4C9A61EA" w14:textId="77777777" w:rsidR="008115DA" w:rsidRPr="00934626" w:rsidRDefault="008115DA" w:rsidP="00EB7011">
            <w:pPr>
              <w:pStyle w:val="paraa"/>
              <w:tabs>
                <w:tab w:val="clear" w:pos="-720"/>
              </w:tabs>
              <w:spacing w:before="60" w:after="60"/>
              <w:ind w:left="0"/>
              <w:jc w:val="left"/>
            </w:pPr>
            <w:r w:rsidRPr="00934626">
              <w:t>94°C for 1 minute</w:t>
            </w:r>
          </w:p>
        </w:tc>
        <w:tc>
          <w:tcPr>
            <w:tcW w:w="1283" w:type="dxa"/>
            <w:tcBorders>
              <w:top w:val="single" w:sz="12" w:space="0" w:color="auto"/>
            </w:tcBorders>
          </w:tcPr>
          <w:p w14:paraId="59AB3AF4" w14:textId="77777777" w:rsidR="008115DA" w:rsidRPr="00934626" w:rsidRDefault="008115DA" w:rsidP="00EB7011">
            <w:pPr>
              <w:pStyle w:val="paraa"/>
              <w:tabs>
                <w:tab w:val="clear" w:pos="-720"/>
              </w:tabs>
              <w:spacing w:before="60" w:after="60"/>
              <w:ind w:left="0"/>
              <w:jc w:val="left"/>
            </w:pPr>
          </w:p>
        </w:tc>
        <w:tc>
          <w:tcPr>
            <w:tcW w:w="3678" w:type="dxa"/>
            <w:tcBorders>
              <w:top w:val="single" w:sz="12" w:space="0" w:color="auto"/>
            </w:tcBorders>
          </w:tcPr>
          <w:p w14:paraId="19018087" w14:textId="77777777" w:rsidR="008115DA" w:rsidRPr="00934626" w:rsidRDefault="008115DA" w:rsidP="00EB7011">
            <w:pPr>
              <w:pStyle w:val="paraa"/>
              <w:tabs>
                <w:tab w:val="clear" w:pos="-720"/>
              </w:tabs>
              <w:spacing w:before="60" w:after="60"/>
              <w:ind w:left="0"/>
              <w:jc w:val="left"/>
            </w:pPr>
          </w:p>
        </w:tc>
      </w:tr>
      <w:tr w:rsidR="00B519CC" w:rsidRPr="00934626" w14:paraId="3752A3D3" w14:textId="77777777" w:rsidTr="00DA14ED">
        <w:trPr>
          <w:trHeight w:hRule="exact" w:val="340"/>
        </w:trPr>
        <w:tc>
          <w:tcPr>
            <w:tcW w:w="2268" w:type="dxa"/>
          </w:tcPr>
          <w:p w14:paraId="1A856E8C" w14:textId="77777777" w:rsidR="008115DA" w:rsidRPr="00934626" w:rsidRDefault="008115DA" w:rsidP="00EB7011">
            <w:pPr>
              <w:pStyle w:val="paraa"/>
              <w:tabs>
                <w:tab w:val="clear" w:pos="-720"/>
              </w:tabs>
              <w:spacing w:before="60" w:after="60"/>
              <w:ind w:left="0"/>
              <w:jc w:val="left"/>
            </w:pPr>
            <w:r w:rsidRPr="00934626">
              <w:t>55°C for 1 minute</w:t>
            </w:r>
          </w:p>
        </w:tc>
        <w:tc>
          <w:tcPr>
            <w:tcW w:w="1283" w:type="dxa"/>
          </w:tcPr>
          <w:p w14:paraId="0BEEACF5" w14:textId="77777777" w:rsidR="008115DA" w:rsidRPr="00934626" w:rsidRDefault="008115DA" w:rsidP="00EB7011">
            <w:pPr>
              <w:pStyle w:val="paraa"/>
              <w:tabs>
                <w:tab w:val="clear" w:pos="-720"/>
              </w:tabs>
              <w:spacing w:before="60" w:after="60"/>
              <w:ind w:left="0"/>
              <w:jc w:val="left"/>
            </w:pPr>
            <w:r w:rsidRPr="00934626">
              <w:t>35 cycles</w:t>
            </w:r>
          </w:p>
        </w:tc>
        <w:tc>
          <w:tcPr>
            <w:tcW w:w="3678" w:type="dxa"/>
          </w:tcPr>
          <w:p w14:paraId="5E6DDA0A" w14:textId="77777777" w:rsidR="008115DA" w:rsidRPr="00934626" w:rsidRDefault="008115DA" w:rsidP="00EB7011">
            <w:pPr>
              <w:pStyle w:val="paraa"/>
              <w:tabs>
                <w:tab w:val="clear" w:pos="-720"/>
              </w:tabs>
              <w:spacing w:before="60" w:after="60"/>
              <w:ind w:left="0"/>
              <w:jc w:val="left"/>
            </w:pPr>
            <w:r w:rsidRPr="00934626">
              <w:t>PCR amplification of the cDNA</w:t>
            </w:r>
          </w:p>
        </w:tc>
      </w:tr>
      <w:tr w:rsidR="00B519CC" w:rsidRPr="00934626" w14:paraId="6EAD0625" w14:textId="77777777" w:rsidTr="00DA14ED">
        <w:trPr>
          <w:trHeight w:hRule="exact" w:val="340"/>
        </w:trPr>
        <w:tc>
          <w:tcPr>
            <w:tcW w:w="2268" w:type="dxa"/>
            <w:tcBorders>
              <w:bottom w:val="single" w:sz="12" w:space="0" w:color="auto"/>
            </w:tcBorders>
          </w:tcPr>
          <w:p w14:paraId="7863A898" w14:textId="77777777" w:rsidR="008115DA" w:rsidRPr="00934626" w:rsidRDefault="008115DA" w:rsidP="00EB7011">
            <w:pPr>
              <w:pStyle w:val="paraa"/>
              <w:tabs>
                <w:tab w:val="clear" w:pos="-720"/>
              </w:tabs>
              <w:spacing w:before="60" w:after="60"/>
              <w:ind w:left="0"/>
              <w:jc w:val="left"/>
            </w:pPr>
            <w:r w:rsidRPr="00934626">
              <w:t>72°C for 1 minute</w:t>
            </w:r>
          </w:p>
        </w:tc>
        <w:tc>
          <w:tcPr>
            <w:tcW w:w="1283" w:type="dxa"/>
            <w:tcBorders>
              <w:bottom w:val="single" w:sz="12" w:space="0" w:color="auto"/>
            </w:tcBorders>
          </w:tcPr>
          <w:p w14:paraId="2247D258" w14:textId="77777777" w:rsidR="008115DA" w:rsidRPr="00934626" w:rsidRDefault="008115DA" w:rsidP="00EB7011">
            <w:pPr>
              <w:pStyle w:val="paraa"/>
              <w:tabs>
                <w:tab w:val="clear" w:pos="-720"/>
              </w:tabs>
              <w:spacing w:before="60" w:after="60"/>
              <w:ind w:left="0"/>
              <w:jc w:val="left"/>
            </w:pPr>
          </w:p>
        </w:tc>
        <w:tc>
          <w:tcPr>
            <w:tcW w:w="3678" w:type="dxa"/>
            <w:tcBorders>
              <w:bottom w:val="single" w:sz="12" w:space="0" w:color="auto"/>
            </w:tcBorders>
          </w:tcPr>
          <w:p w14:paraId="385D4F03" w14:textId="77777777" w:rsidR="008115DA" w:rsidRPr="00934626" w:rsidRDefault="008115DA" w:rsidP="00EB7011">
            <w:pPr>
              <w:pStyle w:val="paraa"/>
              <w:tabs>
                <w:tab w:val="clear" w:pos="-720"/>
              </w:tabs>
              <w:spacing w:before="60" w:after="60"/>
              <w:ind w:left="0"/>
              <w:jc w:val="left"/>
            </w:pPr>
          </w:p>
        </w:tc>
      </w:tr>
      <w:tr w:rsidR="00B519CC" w:rsidRPr="00934626" w14:paraId="6FB91F63" w14:textId="77777777" w:rsidTr="00DA14ED">
        <w:trPr>
          <w:trHeight w:hRule="exact" w:val="340"/>
        </w:trPr>
        <w:tc>
          <w:tcPr>
            <w:tcW w:w="2268" w:type="dxa"/>
            <w:tcBorders>
              <w:top w:val="single" w:sz="12" w:space="0" w:color="auto"/>
            </w:tcBorders>
          </w:tcPr>
          <w:p w14:paraId="7ED1B465" w14:textId="77777777" w:rsidR="008115DA" w:rsidRPr="00934626" w:rsidRDefault="008115DA" w:rsidP="00EB7011">
            <w:pPr>
              <w:pStyle w:val="paraa"/>
              <w:tabs>
                <w:tab w:val="clear" w:pos="-720"/>
              </w:tabs>
              <w:spacing w:before="60" w:after="60"/>
              <w:ind w:left="0"/>
              <w:jc w:val="left"/>
            </w:pPr>
            <w:r w:rsidRPr="00934626">
              <w:t>72°C for 10 minutes</w:t>
            </w:r>
          </w:p>
        </w:tc>
        <w:tc>
          <w:tcPr>
            <w:tcW w:w="1283" w:type="dxa"/>
            <w:tcBorders>
              <w:top w:val="single" w:sz="12" w:space="0" w:color="auto"/>
            </w:tcBorders>
          </w:tcPr>
          <w:p w14:paraId="4E0289BE" w14:textId="77777777" w:rsidR="008115DA" w:rsidRPr="00934626" w:rsidRDefault="008115DA" w:rsidP="00EB7011">
            <w:pPr>
              <w:pStyle w:val="paraa"/>
              <w:tabs>
                <w:tab w:val="clear" w:pos="-720"/>
              </w:tabs>
              <w:spacing w:before="60" w:after="60"/>
              <w:ind w:left="0"/>
              <w:jc w:val="left"/>
            </w:pPr>
            <w:r w:rsidRPr="00934626">
              <w:t>1 cycle</w:t>
            </w:r>
          </w:p>
        </w:tc>
        <w:tc>
          <w:tcPr>
            <w:tcW w:w="3678" w:type="dxa"/>
            <w:tcBorders>
              <w:top w:val="single" w:sz="12" w:space="0" w:color="auto"/>
            </w:tcBorders>
          </w:tcPr>
          <w:p w14:paraId="526B0C06" w14:textId="77777777" w:rsidR="008115DA" w:rsidRPr="00934626" w:rsidRDefault="008115DA" w:rsidP="00EB7011">
            <w:pPr>
              <w:pStyle w:val="paraa"/>
              <w:tabs>
                <w:tab w:val="clear" w:pos="-720"/>
              </w:tabs>
              <w:spacing w:before="60" w:after="60"/>
              <w:ind w:left="0"/>
              <w:jc w:val="left"/>
            </w:pPr>
            <w:r w:rsidRPr="00934626">
              <w:t>Final extension</w:t>
            </w:r>
          </w:p>
        </w:tc>
      </w:tr>
      <w:tr w:rsidR="00B519CC" w:rsidRPr="00934626" w14:paraId="64667746" w14:textId="77777777" w:rsidTr="00DA14ED">
        <w:trPr>
          <w:trHeight w:hRule="exact" w:val="340"/>
        </w:trPr>
        <w:tc>
          <w:tcPr>
            <w:tcW w:w="2268" w:type="dxa"/>
          </w:tcPr>
          <w:p w14:paraId="2BF617AC" w14:textId="77777777" w:rsidR="008115DA" w:rsidRPr="00934626" w:rsidRDefault="008115DA" w:rsidP="00EB7011">
            <w:pPr>
              <w:pStyle w:val="paraa"/>
              <w:tabs>
                <w:tab w:val="clear" w:pos="-720"/>
              </w:tabs>
              <w:spacing w:before="60" w:after="60"/>
              <w:ind w:left="0"/>
              <w:jc w:val="left"/>
            </w:pPr>
            <w:r w:rsidRPr="00934626">
              <w:t>4°C (indefinite)</w:t>
            </w:r>
          </w:p>
        </w:tc>
        <w:tc>
          <w:tcPr>
            <w:tcW w:w="1283" w:type="dxa"/>
          </w:tcPr>
          <w:p w14:paraId="1AF6DAF5" w14:textId="77777777" w:rsidR="008115DA" w:rsidRPr="00934626" w:rsidRDefault="008115DA" w:rsidP="00EB7011">
            <w:pPr>
              <w:pStyle w:val="paraa"/>
              <w:tabs>
                <w:tab w:val="clear" w:pos="-720"/>
              </w:tabs>
              <w:spacing w:before="60" w:after="60"/>
              <w:ind w:left="0"/>
              <w:jc w:val="left"/>
            </w:pPr>
            <w:r w:rsidRPr="00934626">
              <w:t>–</w:t>
            </w:r>
          </w:p>
        </w:tc>
        <w:tc>
          <w:tcPr>
            <w:tcW w:w="3678" w:type="dxa"/>
          </w:tcPr>
          <w:p w14:paraId="0B3AA8B2" w14:textId="77777777" w:rsidR="008115DA" w:rsidRPr="00934626" w:rsidRDefault="008115DA" w:rsidP="00EB7011">
            <w:pPr>
              <w:pStyle w:val="paraa"/>
              <w:tabs>
                <w:tab w:val="clear" w:pos="-720"/>
              </w:tabs>
              <w:spacing w:before="60" w:after="60"/>
              <w:ind w:left="0"/>
              <w:jc w:val="left"/>
            </w:pPr>
            <w:r w:rsidRPr="00934626">
              <w:t>–</w:t>
            </w:r>
          </w:p>
        </w:tc>
      </w:tr>
    </w:tbl>
    <w:p w14:paraId="49FAA4A0" w14:textId="31AD7910" w:rsidR="008115DA" w:rsidRPr="00934626" w:rsidRDefault="008115DA" w:rsidP="008115DA">
      <w:pPr>
        <w:pStyle w:val="i"/>
        <w:spacing w:before="120"/>
        <w:rPr>
          <w:lang w:val="en-US"/>
        </w:rPr>
      </w:pPr>
      <w:r w:rsidRPr="00934626">
        <w:rPr>
          <w:lang w:val="en-US"/>
        </w:rPr>
        <w:t>vii)</w:t>
      </w:r>
      <w:r w:rsidRPr="00934626">
        <w:rPr>
          <w:lang w:val="en-US"/>
        </w:rPr>
        <w:tab/>
      </w:r>
      <w:proofErr w:type="spellStart"/>
      <w:r w:rsidRPr="00934626">
        <w:rPr>
          <w:lang w:val="en-US"/>
        </w:rPr>
        <w:t>Analyse</w:t>
      </w:r>
      <w:proofErr w:type="spellEnd"/>
      <w:r w:rsidRPr="00934626">
        <w:rPr>
          <w:lang w:val="en-US"/>
        </w:rPr>
        <w:t xml:space="preserve"> 10 µl of the reaction product by agarose gel electrophoresis using a 2% agarose gel in either TBE or TAE buffers. If present, PPRV </w:t>
      </w:r>
      <w:r w:rsidR="00035AD4" w:rsidRPr="00934626">
        <w:rPr>
          <w:lang w:val="en-US"/>
        </w:rPr>
        <w:t xml:space="preserve">PCR product </w:t>
      </w:r>
      <w:r w:rsidRPr="00934626">
        <w:rPr>
          <w:lang w:val="en-US"/>
        </w:rPr>
        <w:t>will be amplified to give a DNA fragment of 371 bp.</w:t>
      </w:r>
    </w:p>
    <w:p w14:paraId="2F8A730E" w14:textId="77777777" w:rsidR="008115DA" w:rsidRPr="00934626" w:rsidRDefault="008115DA" w:rsidP="008115DA">
      <w:pPr>
        <w:pStyle w:val="i"/>
        <w:spacing w:after="240"/>
        <w:rPr>
          <w:lang w:val="en-US"/>
        </w:rPr>
      </w:pPr>
      <w:r w:rsidRPr="00934626">
        <w:rPr>
          <w:lang w:val="en-US"/>
        </w:rPr>
        <w:t>viii)</w:t>
      </w:r>
      <w:r w:rsidRPr="00934626">
        <w:rPr>
          <w:lang w:val="en-US"/>
        </w:rPr>
        <w:tab/>
        <w:t xml:space="preserve">DNA product remaining from positive samples identified in </w:t>
      </w:r>
      <w:r w:rsidR="00A66B49" w:rsidRPr="00934626">
        <w:rPr>
          <w:lang w:val="en-US"/>
        </w:rPr>
        <w:t>Section 2.4.2 steps v or vii</w:t>
      </w:r>
      <w:r w:rsidRPr="00934626">
        <w:rPr>
          <w:lang w:val="en-US"/>
        </w:rPr>
        <w:t xml:space="preserve"> can be purified and subjected to DNA sequencing.</w:t>
      </w:r>
    </w:p>
    <w:p w14:paraId="786DFE30" w14:textId="77777777" w:rsidR="007B1ED3" w:rsidRDefault="007B1ED3">
      <w:pPr>
        <w:tabs>
          <w:tab w:val="clear" w:pos="-720"/>
        </w:tabs>
        <w:spacing w:line="240" w:lineRule="auto"/>
        <w:jc w:val="left"/>
        <w:rPr>
          <w:rFonts w:ascii="Ottawa" w:eastAsiaTheme="minorHAnsi" w:hAnsi="Ottawa" w:cs="Arial"/>
          <w:b/>
          <w:sz w:val="20"/>
          <w:szCs w:val="22"/>
          <w:lang w:eastAsia="en-US"/>
        </w:rPr>
      </w:pPr>
      <w:r>
        <w:br w:type="page"/>
      </w:r>
    </w:p>
    <w:p w14:paraId="6D6CAD42" w14:textId="24AC1352" w:rsidR="00431B81" w:rsidRPr="00934626" w:rsidRDefault="00ED47BC" w:rsidP="00DA14ED">
      <w:pPr>
        <w:pStyle w:val="11"/>
      </w:pPr>
      <w:r w:rsidRPr="00934626">
        <w:lastRenderedPageBreak/>
        <w:t>2.</w:t>
      </w:r>
      <w:r w:rsidR="00075EE9" w:rsidRPr="00934626">
        <w:t>3</w:t>
      </w:r>
      <w:r w:rsidRPr="00934626">
        <w:t>.</w:t>
      </w:r>
      <w:r w:rsidR="00431B81" w:rsidRPr="00934626">
        <w:tab/>
        <w:t>Culture and isolation methods</w:t>
      </w:r>
    </w:p>
    <w:p w14:paraId="7D3FC09F" w14:textId="3D13BE7E" w:rsidR="00431B81" w:rsidRPr="00934626" w:rsidRDefault="00431B81" w:rsidP="00DA14ED">
      <w:pPr>
        <w:pStyle w:val="11Para"/>
      </w:pPr>
      <w:r w:rsidRPr="00934626">
        <w:t>Even when diagnosis has been carried out by rapid techniques, the virus should always be isolated from field samples in tissue</w:t>
      </w:r>
      <w:r w:rsidR="001B1186" w:rsidRPr="00934626">
        <w:t xml:space="preserve"> culture for further studies</w:t>
      </w:r>
      <w:r w:rsidRPr="00934626">
        <w:t>.</w:t>
      </w:r>
    </w:p>
    <w:p w14:paraId="11CD9983" w14:textId="397FCD27" w:rsidR="00431B81" w:rsidRPr="00934626" w:rsidRDefault="00FC5C7C" w:rsidP="00DA14ED">
      <w:pPr>
        <w:pStyle w:val="11Para"/>
      </w:pPr>
      <w:r w:rsidRPr="00934626">
        <w:t>PPRV</w:t>
      </w:r>
      <w:r w:rsidR="00431B81" w:rsidRPr="00934626">
        <w:t xml:space="preserve"> may be isolated in primary lamb kidney</w:t>
      </w:r>
      <w:r w:rsidR="00CD59B0" w:rsidRPr="00934626">
        <w:t>/lung cells</w:t>
      </w:r>
      <w:r w:rsidR="007D513E" w:rsidRPr="00934626">
        <w:t xml:space="preserve"> and </w:t>
      </w:r>
      <w:r w:rsidR="00A61D6B" w:rsidRPr="00934626">
        <w:t xml:space="preserve">some </w:t>
      </w:r>
      <w:r w:rsidR="007D513E" w:rsidRPr="00934626">
        <w:t>cell lines (Vero, B95</w:t>
      </w:r>
      <w:r w:rsidR="00A61D6B" w:rsidRPr="00934626">
        <w:t>a</w:t>
      </w:r>
      <w:r w:rsidR="007D513E" w:rsidRPr="00934626">
        <w:t>)</w:t>
      </w:r>
      <w:r w:rsidR="00CD59B0" w:rsidRPr="00934626">
        <w:t xml:space="preserve">. Unfortunately, PPRV isolation using </w:t>
      </w:r>
      <w:r w:rsidR="00A61D6B" w:rsidRPr="00934626">
        <w:t xml:space="preserve">such </w:t>
      </w:r>
      <w:r w:rsidR="00CD59B0" w:rsidRPr="00934626">
        <w:t xml:space="preserve">cells is </w:t>
      </w:r>
      <w:r w:rsidR="007D513E" w:rsidRPr="00934626">
        <w:t xml:space="preserve">not always successful </w:t>
      </w:r>
      <w:r w:rsidR="008667DD" w:rsidRPr="00934626">
        <w:t xml:space="preserve">on first passage </w:t>
      </w:r>
      <w:r w:rsidR="007D513E" w:rsidRPr="00934626">
        <w:t>and may require multiple blind passages</w:t>
      </w:r>
      <w:r w:rsidR="00CD59B0" w:rsidRPr="00934626">
        <w:t>. Recently</w:t>
      </w:r>
      <w:r w:rsidR="004E27C9" w:rsidRPr="00934626">
        <w:t>,</w:t>
      </w:r>
      <w:r w:rsidR="00CD59B0" w:rsidRPr="00934626">
        <w:t xml:space="preserve"> </w:t>
      </w:r>
      <w:r w:rsidR="00A61D6B" w:rsidRPr="00934626">
        <w:t>derivatives of cell lines</w:t>
      </w:r>
      <w:r w:rsidR="00CD59B0" w:rsidRPr="00934626">
        <w:t xml:space="preserve"> </w:t>
      </w:r>
      <w:r w:rsidR="00A61D6B" w:rsidRPr="00934626">
        <w:t xml:space="preserve">(Vero, </w:t>
      </w:r>
      <w:r w:rsidR="00CD59B0" w:rsidRPr="00934626">
        <w:t>CV1</w:t>
      </w:r>
      <w:r w:rsidR="00A61D6B" w:rsidRPr="00934626">
        <w:t>)</w:t>
      </w:r>
      <w:r w:rsidR="00CD59B0" w:rsidRPr="00934626">
        <w:t xml:space="preserve"> expressing the </w:t>
      </w:r>
      <w:r w:rsidR="00A61D6B" w:rsidRPr="00934626">
        <w:t xml:space="preserve">morbillivirus </w:t>
      </w:r>
      <w:r w:rsidR="00CD59B0" w:rsidRPr="00934626">
        <w:t>receptor</w:t>
      </w:r>
      <w:r w:rsidR="007D513E" w:rsidRPr="00934626">
        <w:t>,</w:t>
      </w:r>
      <w:r w:rsidR="00CD59B0" w:rsidRPr="00934626">
        <w:t xml:space="preserve"> </w:t>
      </w:r>
      <w:r w:rsidR="003A51EF" w:rsidRPr="00934626">
        <w:t xml:space="preserve">the </w:t>
      </w:r>
      <w:r w:rsidR="007D513E" w:rsidRPr="00934626">
        <w:t>signalling lymphocyte activation molecule (SLAM</w:t>
      </w:r>
      <w:r w:rsidR="00A61D6B" w:rsidRPr="00934626">
        <w:t xml:space="preserve"> or CD</w:t>
      </w:r>
      <w:r w:rsidR="00B25C26" w:rsidRPr="00934626">
        <w:t>150</w:t>
      </w:r>
      <w:r w:rsidR="007D513E" w:rsidRPr="00934626">
        <w:t>)</w:t>
      </w:r>
      <w:r w:rsidR="006B4B8F" w:rsidRPr="00934626">
        <w:t>,</w:t>
      </w:r>
      <w:r w:rsidR="007D513E" w:rsidRPr="00934626">
        <w:t xml:space="preserve"> </w:t>
      </w:r>
      <w:r w:rsidR="00B25C26" w:rsidRPr="00934626">
        <w:t xml:space="preserve">have </w:t>
      </w:r>
      <w:r w:rsidR="00CD59B0" w:rsidRPr="00934626">
        <w:t>been developed</w:t>
      </w:r>
      <w:r w:rsidR="000B23E8" w:rsidRPr="00934626">
        <w:t xml:space="preserve"> </w:t>
      </w:r>
      <w:r w:rsidR="0097245E" w:rsidRPr="00934626">
        <w:t>that</w:t>
      </w:r>
      <w:r w:rsidR="00B25C26" w:rsidRPr="00934626">
        <w:t xml:space="preserve"> enable </w:t>
      </w:r>
      <w:r w:rsidR="00CD59B0" w:rsidRPr="00934626">
        <w:t>isolation of field viruses from pathological specim</w:t>
      </w:r>
      <w:r w:rsidR="007D513E" w:rsidRPr="00934626">
        <w:t xml:space="preserve">ens in less than </w:t>
      </w:r>
      <w:r w:rsidR="005B3934" w:rsidRPr="00934626">
        <w:t>1</w:t>
      </w:r>
      <w:r w:rsidR="007D513E" w:rsidRPr="00934626">
        <w:t xml:space="preserve"> week, </w:t>
      </w:r>
      <w:r w:rsidR="00CD59B0" w:rsidRPr="00934626">
        <w:t xml:space="preserve">without requirement </w:t>
      </w:r>
      <w:r w:rsidR="00B25C26" w:rsidRPr="00934626">
        <w:t xml:space="preserve">for </w:t>
      </w:r>
      <w:r w:rsidR="00CD59B0" w:rsidRPr="00934626">
        <w:t>blind passages</w:t>
      </w:r>
      <w:r w:rsidR="00B25C26" w:rsidRPr="00934626">
        <w:t>.</w:t>
      </w:r>
      <w:r w:rsidR="00CD59B0" w:rsidRPr="00934626">
        <w:t xml:space="preserve"> </w:t>
      </w:r>
      <w:r w:rsidR="00B25C26" w:rsidRPr="00934626">
        <w:t xml:space="preserve">These include a derivative of the monkey cell line CV1 expressing goat SLAM </w:t>
      </w:r>
      <w:r w:rsidR="00CD59B0" w:rsidRPr="00934626">
        <w:t>(</w:t>
      </w:r>
      <w:proofErr w:type="spellStart"/>
      <w:r w:rsidR="008A6E01" w:rsidRPr="00934626">
        <w:t>Ad</w:t>
      </w:r>
      <w:r w:rsidR="005A1116" w:rsidRPr="00934626">
        <w:t>ombi</w:t>
      </w:r>
      <w:proofErr w:type="spellEnd"/>
      <w:r w:rsidR="005A1116" w:rsidRPr="00934626">
        <w:t xml:space="preserve"> </w:t>
      </w:r>
      <w:r w:rsidR="00580D9F" w:rsidRPr="00934626">
        <w:rPr>
          <w:i/>
        </w:rPr>
        <w:t>et al.</w:t>
      </w:r>
      <w:r w:rsidR="005A1116" w:rsidRPr="00934626">
        <w:t>, 2011)</w:t>
      </w:r>
      <w:r w:rsidR="00B25C26" w:rsidRPr="00934626">
        <w:t xml:space="preserve"> and derivatives of Vero cells expressing dog SLAM</w:t>
      </w:r>
      <w:r w:rsidR="00431B81" w:rsidRPr="00934626">
        <w:t>.</w:t>
      </w:r>
      <w:r w:rsidR="00A9160B" w:rsidRPr="00934626">
        <w:t xml:space="preserve"> </w:t>
      </w:r>
      <w:r w:rsidR="00431B81" w:rsidRPr="00934626">
        <w:t xml:space="preserve">Monolayer cultures are inoculated with suspect material (swab material, buffy coat or 10% tissue suspensions) and examined daily for evidence of cytopathic effect (CPE). The CPE produced by </w:t>
      </w:r>
      <w:r w:rsidRPr="00934626">
        <w:t>PPRV</w:t>
      </w:r>
      <w:r w:rsidR="00431B81" w:rsidRPr="00934626">
        <w:t xml:space="preserve"> can develop within 5</w:t>
      </w:r>
      <w:r w:rsidR="00BD7BEC" w:rsidRPr="00934626">
        <w:t> </w:t>
      </w:r>
      <w:r w:rsidR="00431B81" w:rsidRPr="00934626">
        <w:t>days and consists of cell rounding and aggregation culminating in syncytia formation in lamb kidney cells</w:t>
      </w:r>
      <w:r w:rsidR="007D513E" w:rsidRPr="00934626">
        <w:t xml:space="preserve"> and cell line</w:t>
      </w:r>
      <w:r w:rsidR="00B25C26" w:rsidRPr="00934626">
        <w:t>s</w:t>
      </w:r>
      <w:r w:rsidR="007D513E" w:rsidRPr="00934626">
        <w:t xml:space="preserve"> expressing</w:t>
      </w:r>
      <w:r w:rsidR="00B6539F" w:rsidRPr="00934626">
        <w:t xml:space="preserve"> SLAM</w:t>
      </w:r>
      <w:r w:rsidR="00431B81" w:rsidRPr="00934626">
        <w:t xml:space="preserve">. In </w:t>
      </w:r>
      <w:r w:rsidR="00E21667" w:rsidRPr="00934626">
        <w:t xml:space="preserve">unmodified </w:t>
      </w:r>
      <w:r w:rsidR="00431B81" w:rsidRPr="00934626">
        <w:t xml:space="preserve">Vero cells, it is sometimes difficult to see the syncytia. If they exist, they are very small. However, </w:t>
      </w:r>
      <w:r w:rsidR="008B4A0C" w:rsidRPr="00934626">
        <w:t xml:space="preserve">small syncytia are always seen </w:t>
      </w:r>
      <w:r w:rsidR="00431B81" w:rsidRPr="00934626">
        <w:t>in infected Vero cells</w:t>
      </w:r>
      <w:r w:rsidR="0032101D" w:rsidRPr="00934626">
        <w:t xml:space="preserve"> stained with </w:t>
      </w:r>
      <w:r w:rsidR="005C530C" w:rsidRPr="00934626">
        <w:t>haematoxylin</w:t>
      </w:r>
      <w:r w:rsidR="0032101D" w:rsidRPr="00934626">
        <w:t xml:space="preserve"> </w:t>
      </w:r>
      <w:r w:rsidR="005C530C" w:rsidRPr="00934626">
        <w:t>and eosin</w:t>
      </w:r>
      <w:r w:rsidR="00431B81" w:rsidRPr="00934626">
        <w:t xml:space="preserve">. Syncytia are recognised by a circular arrangement of nuclei giving a ‘clock face’ appearance. Cover-slip cultures may </w:t>
      </w:r>
      <w:r w:rsidR="00E21667" w:rsidRPr="00934626">
        <w:t>show</w:t>
      </w:r>
      <w:r w:rsidR="00431B81" w:rsidRPr="00934626">
        <w:t xml:space="preserve"> CPE earlier than day 5. </w:t>
      </w:r>
      <w:r w:rsidR="000922F0" w:rsidRPr="00934626">
        <w:t>Some cells may contain</w:t>
      </w:r>
      <w:r w:rsidR="00431B81" w:rsidRPr="00934626">
        <w:t xml:space="preserve"> intracytoplasmic and intranuclear inclusions</w:t>
      </w:r>
      <w:r w:rsidR="000922F0" w:rsidRPr="00934626">
        <w:t>, others may be</w:t>
      </w:r>
      <w:r w:rsidR="00431B81" w:rsidRPr="00934626">
        <w:t xml:space="preserve"> vacuolated. Similar cellular changes may be seen in stained histopathological sections of infected tissues. After 5–6 days, blind passages should always be carried out as CPE may take time to appear.</w:t>
      </w:r>
    </w:p>
    <w:p w14:paraId="4E485A8A" w14:textId="57DEEBFA" w:rsidR="00075EE9" w:rsidRPr="00934626" w:rsidRDefault="00075EE9" w:rsidP="00075EE9">
      <w:pPr>
        <w:pStyle w:val="11"/>
      </w:pPr>
      <w:r w:rsidRPr="00934626">
        <w:t>2.4.</w:t>
      </w:r>
      <w:r w:rsidRPr="00934626">
        <w:tab/>
      </w:r>
      <w:proofErr w:type="spellStart"/>
      <w:r w:rsidRPr="00934626">
        <w:t>Penside</w:t>
      </w:r>
      <w:proofErr w:type="spellEnd"/>
      <w:r w:rsidRPr="00934626">
        <w:t xml:space="preserve"> (field) test for PPRV antigen</w:t>
      </w:r>
    </w:p>
    <w:p w14:paraId="48C62D9C" w14:textId="2EBD69A1" w:rsidR="00075EE9" w:rsidRPr="00934626" w:rsidRDefault="00AF6F80" w:rsidP="00075EE9">
      <w:pPr>
        <w:pStyle w:val="11Para"/>
        <w:rPr>
          <w:bCs/>
        </w:rPr>
      </w:pPr>
      <w:r w:rsidRPr="00934626">
        <w:rPr>
          <w:bCs/>
        </w:rPr>
        <w:t xml:space="preserve">Commercial </w:t>
      </w:r>
      <w:r w:rsidR="00075EE9" w:rsidRPr="00934626">
        <w:rPr>
          <w:bCs/>
        </w:rPr>
        <w:t>test</w:t>
      </w:r>
      <w:r w:rsidR="002E5E67" w:rsidRPr="00934626">
        <w:rPr>
          <w:bCs/>
        </w:rPr>
        <w:t>s</w:t>
      </w:r>
      <w:r w:rsidR="00075EE9" w:rsidRPr="00934626">
        <w:rPr>
          <w:bCs/>
        </w:rPr>
        <w:t xml:space="preserve"> for PPRV antigen </w:t>
      </w:r>
      <w:r w:rsidR="002E5E67" w:rsidRPr="00934626">
        <w:rPr>
          <w:bCs/>
        </w:rPr>
        <w:t xml:space="preserve">are </w:t>
      </w:r>
      <w:r w:rsidR="00075EE9" w:rsidRPr="00934626">
        <w:rPr>
          <w:bCs/>
        </w:rPr>
        <w:t>available for use in the field. The</w:t>
      </w:r>
      <w:r w:rsidR="001E52EF" w:rsidRPr="00934626">
        <w:rPr>
          <w:bCs/>
        </w:rPr>
        <w:t>se</w:t>
      </w:r>
      <w:r w:rsidR="00075EE9" w:rsidRPr="00934626">
        <w:rPr>
          <w:bCs/>
        </w:rPr>
        <w:t xml:space="preserve"> test</w:t>
      </w:r>
      <w:r w:rsidR="007B1ED3">
        <w:rPr>
          <w:bCs/>
        </w:rPr>
        <w:t>s</w:t>
      </w:r>
      <w:r w:rsidR="00075EE9" w:rsidRPr="00934626">
        <w:rPr>
          <w:bCs/>
        </w:rPr>
        <w:t xml:space="preserve"> </w:t>
      </w:r>
      <w:r w:rsidR="001E52EF" w:rsidRPr="00934626">
        <w:rPr>
          <w:bCs/>
        </w:rPr>
        <w:t>are</w:t>
      </w:r>
      <w:r w:rsidR="00075EE9" w:rsidRPr="00934626">
        <w:rPr>
          <w:bCs/>
        </w:rPr>
        <w:t xml:space="preserve"> based on so-called lateral flow technology. Conjunctival, nasal or oral swabs are taken from suspect animals, the swabs are rinsed with buffer and this buffer is applied to one end of a chromatographic strip. The sample mixes with coloured beads coated with a specific </w:t>
      </w:r>
      <w:proofErr w:type="spellStart"/>
      <w:r w:rsidR="00075EE9" w:rsidRPr="00934626">
        <w:rPr>
          <w:bCs/>
        </w:rPr>
        <w:t>MAb</w:t>
      </w:r>
      <w:proofErr w:type="spellEnd"/>
      <w:r w:rsidR="00075EE9" w:rsidRPr="00934626">
        <w:rPr>
          <w:bCs/>
        </w:rPr>
        <w:t xml:space="preserve"> that recognises PPRV antigen. Buffer flow moves the beads along the chromatographic strip. If the sample contains PPRV antigen captured by the swab, this binds to the beads, and the antigen and beads complex is then captured by a line of anti-PPRV </w:t>
      </w:r>
      <w:proofErr w:type="spellStart"/>
      <w:r w:rsidR="00075EE9" w:rsidRPr="00934626">
        <w:rPr>
          <w:bCs/>
        </w:rPr>
        <w:t>MAb</w:t>
      </w:r>
      <w:proofErr w:type="spellEnd"/>
      <w:r w:rsidR="00075EE9" w:rsidRPr="00934626">
        <w:rPr>
          <w:bCs/>
        </w:rPr>
        <w:t xml:space="preserve"> part-way along the strip, making a coloured line to indicate a positive result. In the absence of PPRV antigen, no beads are bound by the test line. The test</w:t>
      </w:r>
      <w:r w:rsidR="005E612F" w:rsidRPr="00934626">
        <w:rPr>
          <w:bCs/>
        </w:rPr>
        <w:t>s</w:t>
      </w:r>
      <w:r w:rsidR="00075EE9" w:rsidRPr="00934626">
        <w:rPr>
          <w:bCs/>
        </w:rPr>
        <w:t xml:space="preserve"> take </w:t>
      </w:r>
      <w:r w:rsidR="001E52EF" w:rsidRPr="00934626">
        <w:rPr>
          <w:bCs/>
        </w:rPr>
        <w:t>20</w:t>
      </w:r>
      <w:r w:rsidR="00075EE9" w:rsidRPr="00934626">
        <w:rPr>
          <w:bCs/>
        </w:rPr>
        <w:t> minutes and require no additional equipment</w:t>
      </w:r>
      <w:r w:rsidR="00DB76F4" w:rsidRPr="00934626">
        <w:rPr>
          <w:bCs/>
        </w:rPr>
        <w:t xml:space="preserve">. </w:t>
      </w:r>
      <w:r w:rsidR="001E52EF" w:rsidRPr="00934626">
        <w:rPr>
          <w:bCs/>
        </w:rPr>
        <w:t>Both</w:t>
      </w:r>
      <w:r w:rsidR="00DB76F4" w:rsidRPr="00934626">
        <w:rPr>
          <w:bCs/>
        </w:rPr>
        <w:t xml:space="preserve"> test</w:t>
      </w:r>
      <w:r w:rsidR="001E52EF" w:rsidRPr="00934626">
        <w:rPr>
          <w:bCs/>
        </w:rPr>
        <w:t>s</w:t>
      </w:r>
      <w:r w:rsidR="00DB76F4" w:rsidRPr="00934626">
        <w:rPr>
          <w:bCs/>
        </w:rPr>
        <w:t xml:space="preserve"> ha</w:t>
      </w:r>
      <w:r w:rsidR="001E52EF" w:rsidRPr="00934626">
        <w:rPr>
          <w:bCs/>
        </w:rPr>
        <w:t>ve</w:t>
      </w:r>
      <w:r w:rsidR="00DB76F4" w:rsidRPr="00934626">
        <w:rPr>
          <w:bCs/>
        </w:rPr>
        <w:t xml:space="preserve"> been validated against PPRV isolates from all four lineages</w:t>
      </w:r>
      <w:r w:rsidR="001E52EF" w:rsidRPr="00934626">
        <w:rPr>
          <w:bCs/>
        </w:rPr>
        <w:t>, and show sensitivity</w:t>
      </w:r>
      <w:r w:rsidR="005E612F" w:rsidRPr="00934626">
        <w:rPr>
          <w:bCs/>
        </w:rPr>
        <w:t xml:space="preserve"> similar to IC-ELISA,</w:t>
      </w:r>
      <w:r w:rsidR="001E52EF" w:rsidRPr="00934626">
        <w:rPr>
          <w:bCs/>
        </w:rPr>
        <w:t xml:space="preserve"> and </w:t>
      </w:r>
      <w:r w:rsidR="005E612F" w:rsidRPr="00934626">
        <w:rPr>
          <w:bCs/>
        </w:rPr>
        <w:t xml:space="preserve">100% </w:t>
      </w:r>
      <w:r w:rsidR="001E52EF" w:rsidRPr="00934626">
        <w:rPr>
          <w:bCs/>
        </w:rPr>
        <w:t>specificity in laboratory testing</w:t>
      </w:r>
      <w:r w:rsidR="00191FD9" w:rsidRPr="00934626">
        <w:rPr>
          <w:bCs/>
        </w:rPr>
        <w:t>.</w:t>
      </w:r>
      <w:r w:rsidR="00DB76F4" w:rsidRPr="00934626">
        <w:rPr>
          <w:bCs/>
        </w:rPr>
        <w:t xml:space="preserve"> </w:t>
      </w:r>
      <w:r w:rsidR="001E52EF" w:rsidRPr="00934626">
        <w:rPr>
          <w:bCs/>
        </w:rPr>
        <w:t>One test has</w:t>
      </w:r>
      <w:r w:rsidR="00DB76F4" w:rsidRPr="00934626">
        <w:rPr>
          <w:bCs/>
        </w:rPr>
        <w:t xml:space="preserve"> also </w:t>
      </w:r>
      <w:r w:rsidR="001E52EF" w:rsidRPr="00934626">
        <w:rPr>
          <w:bCs/>
        </w:rPr>
        <w:t xml:space="preserve">been </w:t>
      </w:r>
      <w:r w:rsidR="00DB76F4" w:rsidRPr="00934626">
        <w:rPr>
          <w:bCs/>
        </w:rPr>
        <w:t xml:space="preserve">validated in field use in </w:t>
      </w:r>
      <w:r w:rsidR="00191FD9" w:rsidRPr="00934626">
        <w:rPr>
          <w:bCs/>
        </w:rPr>
        <w:t>the Côte d’Ivoire</w:t>
      </w:r>
      <w:r w:rsidR="00DB76F4" w:rsidRPr="00934626">
        <w:rPr>
          <w:bCs/>
        </w:rPr>
        <w:t xml:space="preserve">, </w:t>
      </w:r>
      <w:r w:rsidR="00191FD9" w:rsidRPr="00934626">
        <w:rPr>
          <w:bCs/>
        </w:rPr>
        <w:t xml:space="preserve">Ethiopia, </w:t>
      </w:r>
      <w:r w:rsidR="00DB76F4" w:rsidRPr="00934626">
        <w:rPr>
          <w:bCs/>
        </w:rPr>
        <w:t>Pakista</w:t>
      </w:r>
      <w:r w:rsidR="001E52EF" w:rsidRPr="00934626">
        <w:rPr>
          <w:bCs/>
        </w:rPr>
        <w:t>n</w:t>
      </w:r>
      <w:r w:rsidR="00DB76F4" w:rsidRPr="00934626">
        <w:rPr>
          <w:bCs/>
        </w:rPr>
        <w:t xml:space="preserve"> and Uganda</w:t>
      </w:r>
      <w:r w:rsidR="001E52EF" w:rsidRPr="00934626">
        <w:rPr>
          <w:bCs/>
        </w:rPr>
        <w:t xml:space="preserve"> (Baron </w:t>
      </w:r>
      <w:r w:rsidR="001E52EF" w:rsidRPr="00934626">
        <w:rPr>
          <w:bCs/>
          <w:i/>
        </w:rPr>
        <w:t>et al</w:t>
      </w:r>
      <w:r w:rsidR="00191FD9" w:rsidRPr="00934626">
        <w:rPr>
          <w:bCs/>
          <w:i/>
        </w:rPr>
        <w:t>.,</w:t>
      </w:r>
      <w:r w:rsidR="001E52EF" w:rsidRPr="00934626">
        <w:rPr>
          <w:bCs/>
        </w:rPr>
        <w:t xml:space="preserve"> 2014)</w:t>
      </w:r>
      <w:r w:rsidR="00DB76F4" w:rsidRPr="00934626">
        <w:rPr>
          <w:bCs/>
        </w:rPr>
        <w:t>. The test</w:t>
      </w:r>
      <w:r w:rsidR="001E52EF" w:rsidRPr="00934626">
        <w:rPr>
          <w:bCs/>
        </w:rPr>
        <w:t>s</w:t>
      </w:r>
      <w:r w:rsidR="00DB76F4" w:rsidRPr="00934626">
        <w:rPr>
          <w:bCs/>
        </w:rPr>
        <w:t xml:space="preserve"> </w:t>
      </w:r>
      <w:r w:rsidR="001E52EF" w:rsidRPr="00934626">
        <w:rPr>
          <w:bCs/>
        </w:rPr>
        <w:t>are</w:t>
      </w:r>
      <w:r w:rsidR="00DB76F4" w:rsidRPr="00934626">
        <w:rPr>
          <w:bCs/>
        </w:rPr>
        <w:t xml:space="preserve"> designed for use with external swabs and </w:t>
      </w:r>
      <w:r w:rsidR="001E52EF" w:rsidRPr="00934626">
        <w:rPr>
          <w:bCs/>
        </w:rPr>
        <w:t>are</w:t>
      </w:r>
      <w:r w:rsidR="00DB76F4" w:rsidRPr="00934626">
        <w:rPr>
          <w:bCs/>
        </w:rPr>
        <w:t xml:space="preserve"> not suitable for use on blood or tissue samples.</w:t>
      </w:r>
    </w:p>
    <w:p w14:paraId="431D735A" w14:textId="7B9D1571" w:rsidR="00075EE9" w:rsidRPr="00934626" w:rsidRDefault="00075EE9" w:rsidP="00075EE9">
      <w:pPr>
        <w:pStyle w:val="11"/>
      </w:pPr>
      <w:r w:rsidRPr="00934626">
        <w:t>2.5.</w:t>
      </w:r>
      <w:r w:rsidRPr="00934626">
        <w:tab/>
        <w:t>Agar gel immunodiffusion</w:t>
      </w:r>
    </w:p>
    <w:p w14:paraId="5BDF094D" w14:textId="00C38F27" w:rsidR="00075EE9" w:rsidRPr="00934626" w:rsidRDefault="00075EE9" w:rsidP="00075EE9">
      <w:pPr>
        <w:pStyle w:val="11Para"/>
      </w:pPr>
      <w:r w:rsidRPr="00934626">
        <w:t>Agar gel immunodiffusion (AGID) is a very simple and inexpensive test that can be performed in any laboratory and even in the field. Standard PPR</w:t>
      </w:r>
      <w:r w:rsidR="0067139F" w:rsidRPr="00934626">
        <w:t>V</w:t>
      </w:r>
      <w:r w:rsidRPr="00934626">
        <w:t xml:space="preserve"> antigen is prepared from infected mesenteric or bronchial lymph nodes, spleen or lung material and ground up as 1/3 suspensions (w/v) in buffered saline </w:t>
      </w:r>
      <w:r w:rsidRPr="00934626">
        <w:rPr>
          <w:rStyle w:val="iparalastCar"/>
        </w:rPr>
        <w:t>(</w:t>
      </w:r>
      <w:proofErr w:type="spellStart"/>
      <w:r w:rsidRPr="00934626">
        <w:rPr>
          <w:rStyle w:val="iparalastCar"/>
        </w:rPr>
        <w:t>Durojaiye</w:t>
      </w:r>
      <w:proofErr w:type="spellEnd"/>
      <w:r w:rsidRPr="00934626">
        <w:rPr>
          <w:rStyle w:val="iparalastCar"/>
        </w:rPr>
        <w:t xml:space="preserve"> </w:t>
      </w:r>
      <w:r w:rsidRPr="00934626">
        <w:rPr>
          <w:rStyle w:val="iparalastCar"/>
          <w:i/>
        </w:rPr>
        <w:t>et al.</w:t>
      </w:r>
      <w:r w:rsidRPr="00934626">
        <w:rPr>
          <w:rStyle w:val="iparalastCar"/>
        </w:rPr>
        <w:t>, 1983)</w:t>
      </w:r>
      <w:r w:rsidRPr="00934626">
        <w:t>. These are centrifuged at 500 </w:t>
      </w:r>
      <w:r w:rsidRPr="00934626">
        <w:rPr>
          <w:b/>
          <w:bCs/>
          <w:i/>
          <w:iCs/>
        </w:rPr>
        <w:t>g</w:t>
      </w:r>
      <w:r w:rsidRPr="00934626">
        <w:t xml:space="preserve"> for 10–20 minutes, and the supernatant fluids are stored in aliquots at –20°C. The cotton material from the cotton bud used to collect </w:t>
      </w:r>
      <w:r w:rsidR="00EF63D1" w:rsidRPr="00934626">
        <w:t xml:space="preserve">conjunctival </w:t>
      </w:r>
      <w:r w:rsidRPr="00934626">
        <w:t xml:space="preserve">or nasal swabs is removed using a scalpel and inserted into a 1 ml syringe. With 0.2 ml of phosphate buffered saline (PBS), the sample is extracted by repeatedly expelling and filling the 0.2 ml of PBS into an Eppendorf tube using the syringe plunger. The resulting </w:t>
      </w:r>
      <w:r w:rsidR="001F657F" w:rsidRPr="00934626">
        <w:t>conjunctival</w:t>
      </w:r>
      <w:r w:rsidRPr="00934626">
        <w:t xml:space="preserve">/nasal swab extracted sample, like the tissue ground material prepared above, may be stored at –20°C until used. They may be retained for 1–3 years. Negative control antigen is prepared similarly from normal tissues. Standard antiserum is made by </w:t>
      </w:r>
      <w:proofErr w:type="spellStart"/>
      <w:r w:rsidRPr="00934626">
        <w:t>hyperimmunising</w:t>
      </w:r>
      <w:proofErr w:type="spellEnd"/>
      <w:r w:rsidRPr="00934626">
        <w:t xml:space="preserve"> sheep with 1 ml of PPRV with a titre of 10</w:t>
      </w:r>
      <w:r w:rsidRPr="00934626">
        <w:rPr>
          <w:vertAlign w:val="superscript"/>
        </w:rPr>
        <w:t>4</w:t>
      </w:r>
      <w:r w:rsidRPr="00934626">
        <w:t> TCID</w:t>
      </w:r>
      <w:r w:rsidRPr="00934626">
        <w:rPr>
          <w:vertAlign w:val="subscript"/>
        </w:rPr>
        <w:t>50</w:t>
      </w:r>
      <w:r w:rsidRPr="00934626">
        <w:t xml:space="preserve"> (50% tissue culture infective dose) per ml given at weekly intervals for 4 weeks. The animals are bled 5–7 days after the last injection (</w:t>
      </w:r>
      <w:proofErr w:type="spellStart"/>
      <w:r w:rsidRPr="00934626">
        <w:t>Durojaiye</w:t>
      </w:r>
      <w:proofErr w:type="spellEnd"/>
      <w:r w:rsidRPr="00934626">
        <w:t xml:space="preserve">, 1982). </w:t>
      </w:r>
    </w:p>
    <w:p w14:paraId="1674C55D" w14:textId="77777777" w:rsidR="00075EE9" w:rsidRPr="00934626" w:rsidRDefault="00075EE9" w:rsidP="00075EE9">
      <w:pPr>
        <w:pStyle w:val="11ilist"/>
      </w:pPr>
      <w:proofErr w:type="spellStart"/>
      <w:r w:rsidRPr="00934626">
        <w:t>i</w:t>
      </w:r>
      <w:proofErr w:type="spellEnd"/>
      <w:r w:rsidRPr="00934626">
        <w:t>)</w:t>
      </w:r>
      <w:r w:rsidRPr="00934626">
        <w:tab/>
        <w:t xml:space="preserve">Dispense 1% agar in normal saline, containing thiomersal (0.4 g/litre) or sodium </w:t>
      </w:r>
      <w:proofErr w:type="spellStart"/>
      <w:r w:rsidRPr="00934626">
        <w:t>azide</w:t>
      </w:r>
      <w:proofErr w:type="spellEnd"/>
      <w:r w:rsidRPr="00934626">
        <w:t xml:space="preserve"> (1.25 g/litre) as a bacteriostatic agent, into Petri dishes (6 ml/5 cm dish).</w:t>
      </w:r>
    </w:p>
    <w:p w14:paraId="18C433F7" w14:textId="77777777" w:rsidR="00075EE9" w:rsidRPr="00934626" w:rsidRDefault="00075EE9" w:rsidP="00075EE9">
      <w:pPr>
        <w:pStyle w:val="11ilist"/>
      </w:pPr>
      <w:r w:rsidRPr="00934626">
        <w:t>ii)</w:t>
      </w:r>
      <w:r w:rsidRPr="00934626">
        <w:tab/>
        <w:t>Six wells are punched in the agar following a hexagonal pattern with a central well. The wells are 5 mm in diameter and 5 mm apart.</w:t>
      </w:r>
    </w:p>
    <w:p w14:paraId="3A0A4088" w14:textId="77777777" w:rsidR="00075EE9" w:rsidRPr="00934626" w:rsidRDefault="00075EE9" w:rsidP="00075EE9">
      <w:pPr>
        <w:pStyle w:val="11ilist"/>
      </w:pPr>
      <w:r w:rsidRPr="00934626">
        <w:t>iii)</w:t>
      </w:r>
      <w:r w:rsidRPr="00934626">
        <w:tab/>
        <w:t>The central well is filled with positive antiserum, three peripheral wells with positive antigen, and one well with negative antigen. The two remaining peripheral wells are filled with test antigen, such that the test and negative control antigens alternate with the positive control antigens.</w:t>
      </w:r>
    </w:p>
    <w:p w14:paraId="365A64EB" w14:textId="77777777" w:rsidR="00075EE9" w:rsidRPr="00934626" w:rsidRDefault="00075EE9" w:rsidP="00075EE9">
      <w:pPr>
        <w:pStyle w:val="11ilist"/>
        <w:rPr>
          <w:rStyle w:val="iparalastCar"/>
        </w:rPr>
      </w:pPr>
      <w:r w:rsidRPr="00934626">
        <w:t>iv)</w:t>
      </w:r>
      <w:r w:rsidRPr="00934626">
        <w:tab/>
      </w:r>
      <w:r w:rsidRPr="00934626">
        <w:rPr>
          <w:rStyle w:val="iparalastCar"/>
        </w:rPr>
        <w:t>Usually, 1–3</w:t>
      </w:r>
      <w:r w:rsidRPr="00934626">
        <w:t> </w:t>
      </w:r>
      <w:r w:rsidRPr="00934626">
        <w:rPr>
          <w:rStyle w:val="iparalastCar"/>
        </w:rPr>
        <w:t>precipitin lines will develop between the serum and antigens within 18–24 hours at room temperature (</w:t>
      </w:r>
      <w:proofErr w:type="spellStart"/>
      <w:r w:rsidRPr="00934626">
        <w:rPr>
          <w:rStyle w:val="iparalastCar"/>
        </w:rPr>
        <w:t>Durojaiye</w:t>
      </w:r>
      <w:proofErr w:type="spellEnd"/>
      <w:r w:rsidRPr="00934626">
        <w:rPr>
          <w:rStyle w:val="iparalastCar"/>
        </w:rPr>
        <w:t xml:space="preserve"> </w:t>
      </w:r>
      <w:r w:rsidRPr="00934626">
        <w:rPr>
          <w:rStyle w:val="iparalastCar"/>
          <w:i/>
        </w:rPr>
        <w:t>et al.</w:t>
      </w:r>
      <w:r w:rsidRPr="00934626">
        <w:rPr>
          <w:rStyle w:val="iparalastCar"/>
        </w:rPr>
        <w:t>, 1983). These are intensified by washing the agar with 5% glacial acetic acid for 5</w:t>
      </w:r>
      <w:r w:rsidRPr="00934626">
        <w:t> </w:t>
      </w:r>
      <w:r w:rsidRPr="00934626">
        <w:rPr>
          <w:rStyle w:val="iparalastCar"/>
        </w:rPr>
        <w:t xml:space="preserve">minutes (this procedure should be carried out with all apparently negative tests </w:t>
      </w:r>
      <w:r w:rsidRPr="00934626">
        <w:rPr>
          <w:rStyle w:val="iparalastCar"/>
        </w:rPr>
        <w:lastRenderedPageBreak/>
        <w:t>before recording a negative result). Positive reactions show lines of identity with the positive control antigen.</w:t>
      </w:r>
    </w:p>
    <w:p w14:paraId="44DE5819" w14:textId="77777777" w:rsidR="00075EE9" w:rsidRPr="00934626" w:rsidRDefault="00075EE9" w:rsidP="00075EE9">
      <w:pPr>
        <w:pStyle w:val="11Para"/>
      </w:pPr>
      <w:r w:rsidRPr="00934626">
        <w:t>Results are obtained in one day, but the test is not sensitive enough to detect mild forms of PPR due to the low quantity of viral antigen that is excreted.</w:t>
      </w:r>
    </w:p>
    <w:p w14:paraId="20E690EC" w14:textId="187F529F" w:rsidR="00075EE9" w:rsidRPr="00934626" w:rsidRDefault="00075EE9" w:rsidP="00075EE9">
      <w:pPr>
        <w:pStyle w:val="11"/>
      </w:pPr>
      <w:r w:rsidRPr="00934626">
        <w:t>2.6.</w:t>
      </w:r>
      <w:r w:rsidRPr="00934626">
        <w:tab/>
        <w:t xml:space="preserve">Counter </w:t>
      </w:r>
      <w:proofErr w:type="spellStart"/>
      <w:r w:rsidRPr="00934626">
        <w:t>immunoelectrophoresis</w:t>
      </w:r>
      <w:proofErr w:type="spellEnd"/>
    </w:p>
    <w:p w14:paraId="48527F68" w14:textId="14007F0A" w:rsidR="00075EE9" w:rsidRPr="00934626" w:rsidRDefault="00075EE9" w:rsidP="00075EE9">
      <w:pPr>
        <w:pStyle w:val="11Para"/>
      </w:pPr>
      <w:r w:rsidRPr="00934626">
        <w:t xml:space="preserve">Counter </w:t>
      </w:r>
      <w:proofErr w:type="spellStart"/>
      <w:r w:rsidRPr="00934626">
        <w:t>immunoelectrophoresis</w:t>
      </w:r>
      <w:proofErr w:type="spellEnd"/>
      <w:r w:rsidRPr="00934626">
        <w:t xml:space="preserve"> (CIEP) is a more rapid version of the AGID test</w:t>
      </w:r>
      <w:r w:rsidR="00086114" w:rsidRPr="00934626">
        <w:t xml:space="preserve"> </w:t>
      </w:r>
      <w:r w:rsidRPr="00934626">
        <w:t>(</w:t>
      </w:r>
      <w:proofErr w:type="spellStart"/>
      <w:r w:rsidRPr="00934626">
        <w:t>Majiyagbe</w:t>
      </w:r>
      <w:proofErr w:type="spellEnd"/>
      <w:r w:rsidRPr="00934626">
        <w:t xml:space="preserve"> </w:t>
      </w:r>
      <w:r w:rsidRPr="00934626">
        <w:rPr>
          <w:i/>
        </w:rPr>
        <w:t>et al.</w:t>
      </w:r>
      <w:r w:rsidRPr="00934626">
        <w:t xml:space="preserve">, 1984). It is carried out on a horizontal surface using a suitable electrophoresis bath, which consists of two compartments connected through a bridge. The apparatus is connected to a high-voltage source. Agar or agarose (1–2%, [w/v]) dissolved in 0.025 M </w:t>
      </w:r>
      <w:proofErr w:type="spellStart"/>
      <w:r w:rsidRPr="00934626">
        <w:t>barbitone</w:t>
      </w:r>
      <w:proofErr w:type="spellEnd"/>
      <w:r w:rsidRPr="00934626">
        <w:t xml:space="preserve"> acetate buffer is dispensed on to microscope slides in 3-ml volumes. From six to nine pairs of wells are punched in the solidified agar. The reagents are the same as those used for the AGID test. The electrophoresis bath is filled with 0.1 M </w:t>
      </w:r>
      <w:proofErr w:type="spellStart"/>
      <w:r w:rsidRPr="00934626">
        <w:t>barbitone</w:t>
      </w:r>
      <w:proofErr w:type="spellEnd"/>
      <w:r w:rsidRPr="00934626">
        <w:t xml:space="preserve"> acetate buffer. The pairs of wells in the agar are filled with the reactants: sera in the anodal wells and antigen in the cathodal wells. The slide is placed on the connecting bridge and the ends are connected to the buffer in the troughs by wetted porous paper. The apparatus is covered, and a current of 10–12 milliamps per slide is applied for 30–60 minutes. The current is switched off and the slides are viewed by intense light: the presence of 1–3 precipitation lines between pairs of wells is a positive reaction. There should be no reactions between wells containing the negative controls.</w:t>
      </w:r>
    </w:p>
    <w:p w14:paraId="1786F2E9" w14:textId="693B9998" w:rsidR="00431B81" w:rsidRPr="00934626" w:rsidRDefault="00DB456B" w:rsidP="00C3312C">
      <w:pPr>
        <w:pStyle w:val="1"/>
      </w:pPr>
      <w:r w:rsidRPr="00934626">
        <w:t>3</w:t>
      </w:r>
      <w:r w:rsidR="00431B81" w:rsidRPr="00934626">
        <w:t>.</w:t>
      </w:r>
      <w:r w:rsidR="00431B81" w:rsidRPr="00934626">
        <w:tab/>
        <w:t>Serological tests</w:t>
      </w:r>
    </w:p>
    <w:p w14:paraId="2F219097" w14:textId="5B4FCB5C" w:rsidR="00431B81" w:rsidRPr="00934626" w:rsidRDefault="000922F0" w:rsidP="00BD61B4">
      <w:pPr>
        <w:pStyle w:val="para1"/>
      </w:pPr>
      <w:r w:rsidRPr="00934626">
        <w:t xml:space="preserve">The demonstration of antibodies in PPRV infected goats </w:t>
      </w:r>
      <w:r w:rsidR="00431B81" w:rsidRPr="00934626">
        <w:t xml:space="preserve">and sheep </w:t>
      </w:r>
      <w:r w:rsidRPr="00934626">
        <w:t xml:space="preserve">can be used </w:t>
      </w:r>
      <w:r w:rsidR="00431B81" w:rsidRPr="00934626">
        <w:t xml:space="preserve">to support a diagnosis </w:t>
      </w:r>
      <w:r w:rsidR="00E43280" w:rsidRPr="00934626">
        <w:t>based on clinical signs, but such antibodies may also arise from vaccination with any of the current PPRV vaccines</w:t>
      </w:r>
      <w:r w:rsidR="00431B81" w:rsidRPr="00934626">
        <w:t>. Tests that are routinely used are the virus neutralisation test</w:t>
      </w:r>
      <w:r w:rsidR="0038322E" w:rsidRPr="00934626">
        <w:t xml:space="preserve"> (VNT)</w:t>
      </w:r>
      <w:r w:rsidR="000E7FBD" w:rsidRPr="00934626">
        <w:t xml:space="preserve"> </w:t>
      </w:r>
      <w:r w:rsidR="00431B81" w:rsidRPr="00934626">
        <w:t>and the competitive ELISA.</w:t>
      </w:r>
    </w:p>
    <w:p w14:paraId="35B4B052" w14:textId="2CD5E6A0" w:rsidR="00431B81" w:rsidRPr="00934626" w:rsidRDefault="00ED47BC" w:rsidP="00E13B8E">
      <w:pPr>
        <w:pStyle w:val="11"/>
      </w:pPr>
      <w:r w:rsidRPr="00934626">
        <w:t>3.1.</w:t>
      </w:r>
      <w:r w:rsidR="00431B81" w:rsidRPr="00934626">
        <w:tab/>
        <w:t>Virus neutralisation</w:t>
      </w:r>
    </w:p>
    <w:p w14:paraId="6FDD0DDB" w14:textId="77777777" w:rsidR="00431B81" w:rsidRPr="00934626" w:rsidRDefault="00431B81" w:rsidP="00E13B8E">
      <w:pPr>
        <w:pStyle w:val="11Para"/>
      </w:pPr>
      <w:r w:rsidRPr="00934626">
        <w:t xml:space="preserve">This test is sensitive and specific, but it is time-consuming. The standard neutralisation test is </w:t>
      </w:r>
      <w:r w:rsidR="00C316BE" w:rsidRPr="00934626">
        <w:t xml:space="preserve">now usually </w:t>
      </w:r>
      <w:r w:rsidRPr="00934626">
        <w:t xml:space="preserve">carried out in </w:t>
      </w:r>
      <w:r w:rsidR="00484FB6" w:rsidRPr="00934626">
        <w:t xml:space="preserve">96-well </w:t>
      </w:r>
      <w:proofErr w:type="spellStart"/>
      <w:r w:rsidR="00484FB6" w:rsidRPr="00934626">
        <w:t>microtitre</w:t>
      </w:r>
      <w:proofErr w:type="spellEnd"/>
      <w:r w:rsidR="00484FB6" w:rsidRPr="00934626">
        <w:t xml:space="preserve"> plates although </w:t>
      </w:r>
      <w:r w:rsidRPr="00934626">
        <w:t>roller-tube cultures</w:t>
      </w:r>
      <w:r w:rsidR="00484FB6" w:rsidRPr="00934626">
        <w:t xml:space="preserve"> may also be used.</w:t>
      </w:r>
      <w:r w:rsidR="00853E4A" w:rsidRPr="00934626">
        <w:t xml:space="preserve"> </w:t>
      </w:r>
      <w:r w:rsidRPr="00934626">
        <w:t xml:space="preserve">Vero cells </w:t>
      </w:r>
      <w:r w:rsidR="00977B39" w:rsidRPr="00934626">
        <w:t xml:space="preserve">are preferred, but primary lamb kidney cells may also be used. </w:t>
      </w:r>
    </w:p>
    <w:p w14:paraId="0E69831F" w14:textId="77777777" w:rsidR="00484FB6" w:rsidRPr="00934626" w:rsidRDefault="00484FB6" w:rsidP="00E13B8E">
      <w:pPr>
        <w:pStyle w:val="11Para"/>
      </w:pPr>
      <w:r w:rsidRPr="00934626">
        <w:t>This test requires the following</w:t>
      </w:r>
      <w:r w:rsidR="00977B39" w:rsidRPr="00934626">
        <w:t xml:space="preserve"> materials</w:t>
      </w:r>
      <w:r w:rsidRPr="00934626">
        <w:t xml:space="preserve">: cell suspensions at 600,000/ml; 96-well cell culture plates; sera to be titrated (inactivated by heating to 56°C for 30 minutes); complete cell culture medium; PPRV diluted to give 1000, 100, 10 and 1 </w:t>
      </w:r>
      <w:r w:rsidR="00A7081D" w:rsidRPr="00934626">
        <w:t>TCID</w:t>
      </w:r>
      <w:r w:rsidR="00A7081D" w:rsidRPr="00934626">
        <w:rPr>
          <w:vertAlign w:val="subscript"/>
        </w:rPr>
        <w:t>50</w:t>
      </w:r>
      <w:r w:rsidRPr="00934626">
        <w:t>/ml.</w:t>
      </w:r>
    </w:p>
    <w:p w14:paraId="00D7F9C8" w14:textId="77777777" w:rsidR="00977B39" w:rsidRPr="00934626" w:rsidRDefault="00E01CC3" w:rsidP="00E13B8E">
      <w:pPr>
        <w:pStyle w:val="11ilist"/>
      </w:pPr>
      <w:proofErr w:type="spellStart"/>
      <w:r w:rsidRPr="00934626">
        <w:t>i</w:t>
      </w:r>
      <w:proofErr w:type="spellEnd"/>
      <w:r w:rsidRPr="00934626">
        <w:t>)</w:t>
      </w:r>
      <w:r w:rsidRPr="00934626">
        <w:tab/>
      </w:r>
      <w:r w:rsidR="00484FB6" w:rsidRPr="00934626">
        <w:t xml:space="preserve">Dilute the sera 1/5, </w:t>
      </w:r>
      <w:r w:rsidR="00853E4A" w:rsidRPr="00934626">
        <w:t>and then make</w:t>
      </w:r>
      <w:r w:rsidR="00484FB6" w:rsidRPr="00934626">
        <w:t xml:space="preserve"> twofold serial dilutions in cell culture medium. </w:t>
      </w:r>
    </w:p>
    <w:p w14:paraId="78962600" w14:textId="77777777" w:rsidR="00977B39" w:rsidRPr="00934626" w:rsidRDefault="00E01CC3" w:rsidP="00E13B8E">
      <w:pPr>
        <w:pStyle w:val="11ilist"/>
      </w:pPr>
      <w:r w:rsidRPr="00934626">
        <w:t>ii)</w:t>
      </w:r>
      <w:r w:rsidRPr="00934626">
        <w:tab/>
      </w:r>
      <w:r w:rsidR="00484FB6" w:rsidRPr="00934626">
        <w:t xml:space="preserve">Mix 100 µl of virus at 1000 </w:t>
      </w:r>
      <w:r w:rsidR="00A7081D" w:rsidRPr="00934626">
        <w:t>TCID</w:t>
      </w:r>
      <w:r w:rsidR="00A7081D" w:rsidRPr="00934626">
        <w:rPr>
          <w:vertAlign w:val="subscript"/>
        </w:rPr>
        <w:t>50</w:t>
      </w:r>
      <w:r w:rsidR="00484FB6" w:rsidRPr="00934626">
        <w:t xml:space="preserve">/ml (to give 100 </w:t>
      </w:r>
      <w:r w:rsidR="00A7081D" w:rsidRPr="00934626">
        <w:t>TCID</w:t>
      </w:r>
      <w:r w:rsidR="00A7081D" w:rsidRPr="00934626">
        <w:rPr>
          <w:vertAlign w:val="subscript"/>
        </w:rPr>
        <w:t>50</w:t>
      </w:r>
      <w:r w:rsidR="00484FB6" w:rsidRPr="00934626">
        <w:t xml:space="preserve"> in each well) and 100 µl of a given dilution of serum (using six wells per dilution) in the wells of the cell culture plate. </w:t>
      </w:r>
    </w:p>
    <w:p w14:paraId="333CBE9F" w14:textId="77777777" w:rsidR="00977B39" w:rsidRPr="00934626" w:rsidRDefault="00E01CC3" w:rsidP="00E13B8E">
      <w:pPr>
        <w:pStyle w:val="11ilist"/>
      </w:pPr>
      <w:r w:rsidRPr="00934626">
        <w:t>iii)</w:t>
      </w:r>
      <w:r w:rsidRPr="00934626">
        <w:tab/>
      </w:r>
      <w:r w:rsidR="00484FB6" w:rsidRPr="00934626">
        <w:t>Arrange a series of control wells for virus and uninfected cells</w:t>
      </w:r>
      <w:r w:rsidR="00A66B49" w:rsidRPr="00934626">
        <w:t xml:space="preserve"> as follows: six wells with 100 </w:t>
      </w:r>
      <w:r w:rsidR="00A7081D" w:rsidRPr="00934626">
        <w:t>TCID</w:t>
      </w:r>
      <w:r w:rsidR="00A7081D" w:rsidRPr="00934626">
        <w:rPr>
          <w:vertAlign w:val="subscript"/>
        </w:rPr>
        <w:t>50</w:t>
      </w:r>
      <w:r w:rsidR="00484FB6" w:rsidRPr="00934626">
        <w:t xml:space="preserve"> (100 µl) per well; six wells with 10 </w:t>
      </w:r>
      <w:r w:rsidR="00A7081D" w:rsidRPr="00934626">
        <w:t>TCID</w:t>
      </w:r>
      <w:r w:rsidR="00A7081D" w:rsidRPr="00934626">
        <w:rPr>
          <w:vertAlign w:val="subscript"/>
        </w:rPr>
        <w:t>50</w:t>
      </w:r>
      <w:r w:rsidR="00A7081D" w:rsidRPr="00934626">
        <w:t xml:space="preserve"> </w:t>
      </w:r>
      <w:r w:rsidR="00484FB6" w:rsidRPr="00934626">
        <w:t xml:space="preserve">(100 µl) per well; six wells with 1 </w:t>
      </w:r>
      <w:r w:rsidR="00A7081D" w:rsidRPr="00934626">
        <w:t>TCID</w:t>
      </w:r>
      <w:r w:rsidR="00A7081D" w:rsidRPr="00934626">
        <w:rPr>
          <w:vertAlign w:val="subscript"/>
        </w:rPr>
        <w:t>50</w:t>
      </w:r>
      <w:r w:rsidR="00484FB6" w:rsidRPr="00934626">
        <w:t xml:space="preserve"> (100 µl) per well; six wells with 0.1 </w:t>
      </w:r>
      <w:r w:rsidR="00A7081D" w:rsidRPr="00934626">
        <w:t>TCID</w:t>
      </w:r>
      <w:r w:rsidR="00A7081D" w:rsidRPr="00934626">
        <w:rPr>
          <w:vertAlign w:val="subscript"/>
        </w:rPr>
        <w:t>50</w:t>
      </w:r>
      <w:r w:rsidR="00A7081D" w:rsidRPr="00934626">
        <w:t xml:space="preserve"> </w:t>
      </w:r>
      <w:r w:rsidR="00484FB6" w:rsidRPr="00934626">
        <w:t>(100 µl) per well; and six wells with 200 µl of virus-free culture</w:t>
      </w:r>
      <w:r w:rsidR="003D7D7D" w:rsidRPr="00934626">
        <w:t xml:space="preserve"> medium</w:t>
      </w:r>
      <w:r w:rsidR="00484FB6" w:rsidRPr="00934626">
        <w:t xml:space="preserve"> per well.</w:t>
      </w:r>
      <w:r w:rsidR="003D7D7D" w:rsidRPr="00934626">
        <w:t xml:space="preserve"> </w:t>
      </w:r>
      <w:r w:rsidR="00977B39" w:rsidRPr="00934626">
        <w:t xml:space="preserve">Make the wells containing the virus </w:t>
      </w:r>
      <w:r w:rsidR="00A7081D" w:rsidRPr="00934626">
        <w:t>dilutions</w:t>
      </w:r>
      <w:r w:rsidR="00977B39" w:rsidRPr="00934626">
        <w:t xml:space="preserve"> up to </w:t>
      </w:r>
      <w:r w:rsidR="003D7D7D" w:rsidRPr="00934626">
        <w:t>2</w:t>
      </w:r>
      <w:r w:rsidR="00977B39" w:rsidRPr="00934626">
        <w:t xml:space="preserve">00 µl with complete culture medium, and incubate the plates for 1 hour at 37°C. </w:t>
      </w:r>
    </w:p>
    <w:p w14:paraId="3C699914" w14:textId="77777777" w:rsidR="00977B39" w:rsidRPr="00934626" w:rsidRDefault="00E01CC3" w:rsidP="00E13B8E">
      <w:pPr>
        <w:pStyle w:val="11ilist"/>
      </w:pPr>
      <w:r w:rsidRPr="00934626">
        <w:t>v)</w:t>
      </w:r>
      <w:r w:rsidRPr="00934626">
        <w:tab/>
      </w:r>
      <w:r w:rsidR="00977B39" w:rsidRPr="00934626">
        <w:t>Add 50 µl of cell suspension to each well</w:t>
      </w:r>
      <w:r w:rsidR="00A7081D" w:rsidRPr="00934626">
        <w:t>, pat the sides of the plate lightly to distribute the cells in the well and cover</w:t>
      </w:r>
      <w:r w:rsidR="00977B39" w:rsidRPr="00934626">
        <w:t>. Incubate the plates at 37°C in the presence of CO</w:t>
      </w:r>
      <w:r w:rsidR="00977B39" w:rsidRPr="00934626">
        <w:rPr>
          <w:vertAlign w:val="subscript"/>
        </w:rPr>
        <w:t>2</w:t>
      </w:r>
      <w:r w:rsidR="00977B39" w:rsidRPr="00934626">
        <w:t xml:space="preserve">. </w:t>
      </w:r>
    </w:p>
    <w:p w14:paraId="3A225A66" w14:textId="77777777" w:rsidR="006B3397" w:rsidRPr="00934626" w:rsidRDefault="00E01CC3" w:rsidP="00E13B8E">
      <w:pPr>
        <w:pStyle w:val="11ilist"/>
      </w:pPr>
      <w:r w:rsidRPr="00934626">
        <w:t>vi)</w:t>
      </w:r>
      <w:r w:rsidRPr="00934626">
        <w:tab/>
      </w:r>
      <w:r w:rsidR="00977B39" w:rsidRPr="00934626">
        <w:t xml:space="preserve">Read the plates after 1 and 2 weeks of incubation. The results should be as follows: </w:t>
      </w:r>
    </w:p>
    <w:p w14:paraId="52F2D57E" w14:textId="77777777" w:rsidR="006B3397" w:rsidRPr="00934626" w:rsidRDefault="006B3397" w:rsidP="00E13B8E">
      <w:pPr>
        <w:pStyle w:val="11Para"/>
      </w:pPr>
      <w:r w:rsidRPr="00934626">
        <w:t>If the virus dilution has been done correctly, all the virus control wells with</w:t>
      </w:r>
      <w:r w:rsidR="00977B39" w:rsidRPr="00934626">
        <w:t xml:space="preserve"> 100 and 10 TCID</w:t>
      </w:r>
      <w:r w:rsidR="00A7081D" w:rsidRPr="00934626">
        <w:rPr>
          <w:vertAlign w:val="subscript"/>
        </w:rPr>
        <w:t>50</w:t>
      </w:r>
      <w:r w:rsidRPr="00934626">
        <w:t xml:space="preserve">/well will show CPE, </w:t>
      </w:r>
      <w:r w:rsidR="00977B39" w:rsidRPr="00934626">
        <w:t xml:space="preserve">50% </w:t>
      </w:r>
      <w:r w:rsidRPr="00934626">
        <w:t xml:space="preserve">of the wells will show </w:t>
      </w:r>
      <w:r w:rsidR="00977B39" w:rsidRPr="00934626">
        <w:t xml:space="preserve">CPE for the 1 </w:t>
      </w:r>
      <w:r w:rsidR="00A7081D" w:rsidRPr="00934626">
        <w:t>TCID</w:t>
      </w:r>
      <w:r w:rsidR="00A7081D" w:rsidRPr="00934626">
        <w:rPr>
          <w:vertAlign w:val="subscript"/>
        </w:rPr>
        <w:t>50</w:t>
      </w:r>
      <w:r w:rsidRPr="00934626">
        <w:t xml:space="preserve">/well </w:t>
      </w:r>
      <w:r w:rsidR="00977B39" w:rsidRPr="00934626">
        <w:t xml:space="preserve">dilution, </w:t>
      </w:r>
      <w:r w:rsidRPr="00934626">
        <w:t xml:space="preserve">and </w:t>
      </w:r>
      <w:r w:rsidR="00977B39" w:rsidRPr="00934626">
        <w:t>no</w:t>
      </w:r>
      <w:r w:rsidRPr="00934626">
        <w:t>ne should show</w:t>
      </w:r>
      <w:r w:rsidR="00977B39" w:rsidRPr="00934626">
        <w:t xml:space="preserve"> CPE for the 0.1 </w:t>
      </w:r>
      <w:r w:rsidR="00A7081D" w:rsidRPr="00934626">
        <w:t>TCID</w:t>
      </w:r>
      <w:r w:rsidR="00A7081D" w:rsidRPr="00934626">
        <w:rPr>
          <w:vertAlign w:val="subscript"/>
        </w:rPr>
        <w:t>50</w:t>
      </w:r>
      <w:r w:rsidRPr="00934626">
        <w:t>/well dilution. The test is only valid if the virus has been suitably diluted.</w:t>
      </w:r>
    </w:p>
    <w:p w14:paraId="48F525D4" w14:textId="77777777" w:rsidR="00977B39" w:rsidRPr="00934626" w:rsidRDefault="006B3397" w:rsidP="00E13B8E">
      <w:pPr>
        <w:pStyle w:val="11Para"/>
      </w:pPr>
      <w:r w:rsidRPr="00934626">
        <w:t>For the serum titration, there will be</w:t>
      </w:r>
      <w:r w:rsidR="00977B39" w:rsidRPr="00934626">
        <w:t xml:space="preserve"> no CPE in wells where the virus had been neutr</w:t>
      </w:r>
      <w:r w:rsidRPr="00934626">
        <w:t>alised by serum during the test; any level of</w:t>
      </w:r>
      <w:r w:rsidR="00977B39" w:rsidRPr="00934626">
        <w:t xml:space="preserve"> CPE </w:t>
      </w:r>
      <w:r w:rsidRPr="00934626">
        <w:t>means that</w:t>
      </w:r>
      <w:r w:rsidR="00977B39" w:rsidRPr="00934626">
        <w:t xml:space="preserve"> the virus had not been neutralised by serum.</w:t>
      </w:r>
      <w:r w:rsidRPr="00934626">
        <w:t xml:space="preserve"> The neutralising titre is the dilution of serum that neutralises virus in half the wells. </w:t>
      </w:r>
      <w:r w:rsidR="00A7081D" w:rsidRPr="00934626">
        <w:t>A neutralising titre of greater than 10 is positive.</w:t>
      </w:r>
    </w:p>
    <w:p w14:paraId="7FB914CC" w14:textId="77777777" w:rsidR="003A126E" w:rsidRPr="00934626" w:rsidRDefault="00ED47BC" w:rsidP="00E13B8E">
      <w:pPr>
        <w:pStyle w:val="11"/>
      </w:pPr>
      <w:r w:rsidRPr="00934626">
        <w:t>3.2.</w:t>
      </w:r>
      <w:r w:rsidR="003A126E" w:rsidRPr="00934626">
        <w:rPr>
          <w:rFonts w:ascii="Arial" w:hAnsi="Arial"/>
        </w:rPr>
        <w:tab/>
      </w:r>
      <w:r w:rsidR="003A126E" w:rsidRPr="00934626">
        <w:t>Competitive enzyme-linked immunosorbent assay</w:t>
      </w:r>
    </w:p>
    <w:p w14:paraId="7A5FCDB1" w14:textId="77777777" w:rsidR="003A126E" w:rsidRPr="00934626" w:rsidRDefault="003A126E" w:rsidP="00E13B8E">
      <w:pPr>
        <w:pStyle w:val="11Para"/>
      </w:pPr>
      <w:r w:rsidRPr="00934626">
        <w:t xml:space="preserve">Several competitive ELISAs (C-ELISA) have been described, based on the use of </w:t>
      </w:r>
      <w:proofErr w:type="spellStart"/>
      <w:r w:rsidRPr="00934626">
        <w:t>MAbs</w:t>
      </w:r>
      <w:proofErr w:type="spellEnd"/>
      <w:r w:rsidRPr="00934626">
        <w:t xml:space="preserve"> that recognise virus proteins. They are of two types: those where the </w:t>
      </w:r>
      <w:proofErr w:type="spellStart"/>
      <w:r w:rsidRPr="00934626">
        <w:t>MAb</w:t>
      </w:r>
      <w:proofErr w:type="spellEnd"/>
      <w:r w:rsidRPr="00934626">
        <w:t xml:space="preserve"> recognises the N protein and use recombinant N protein produced in </w:t>
      </w:r>
      <w:proofErr w:type="spellStart"/>
      <w:r w:rsidRPr="00934626">
        <w:t>baculovirus</w:t>
      </w:r>
      <w:proofErr w:type="spellEnd"/>
      <w:r w:rsidRPr="00934626">
        <w:t xml:space="preserve"> as the antigen (</w:t>
      </w:r>
      <w:r w:rsidR="00144F29" w:rsidRPr="00934626">
        <w:t xml:space="preserve">e.g. </w:t>
      </w:r>
      <w:r w:rsidRPr="00934626">
        <w:t xml:space="preserve">Libeau </w:t>
      </w:r>
      <w:r w:rsidRPr="00934626">
        <w:rPr>
          <w:i/>
          <w:iCs/>
        </w:rPr>
        <w:t>et al.</w:t>
      </w:r>
      <w:r w:rsidRPr="00934626">
        <w:t xml:space="preserve">, 1995); and those with a viral </w:t>
      </w:r>
      <w:r w:rsidRPr="00934626">
        <w:lastRenderedPageBreak/>
        <w:t xml:space="preserve">attachment protein (H) specific </w:t>
      </w:r>
      <w:proofErr w:type="spellStart"/>
      <w:r w:rsidRPr="00934626">
        <w:t>MAb</w:t>
      </w:r>
      <w:proofErr w:type="spellEnd"/>
      <w:r w:rsidRPr="00934626">
        <w:t xml:space="preserve"> and antigen consisting of purified or part-purified PPRV (vaccine strain) (</w:t>
      </w:r>
      <w:r w:rsidR="00144F29" w:rsidRPr="00934626">
        <w:t xml:space="preserve">e.g. </w:t>
      </w:r>
      <w:r w:rsidRPr="00934626">
        <w:t xml:space="preserve">Anderson &amp; McKay, 1994; </w:t>
      </w:r>
      <w:proofErr w:type="spellStart"/>
      <w:r w:rsidRPr="00934626">
        <w:t>Saliki</w:t>
      </w:r>
      <w:proofErr w:type="spellEnd"/>
      <w:r w:rsidRPr="00934626">
        <w:t xml:space="preserve"> </w:t>
      </w:r>
      <w:r w:rsidRPr="00934626">
        <w:rPr>
          <w:i/>
          <w:iCs/>
        </w:rPr>
        <w:t>et al.,</w:t>
      </w:r>
      <w:r w:rsidRPr="00934626">
        <w:t xml:space="preserve"> 1993). All the assays work on the principle that antibodies to PPRV in test sera can block the binding of the </w:t>
      </w:r>
      <w:proofErr w:type="spellStart"/>
      <w:r w:rsidRPr="00934626">
        <w:t>MAb</w:t>
      </w:r>
      <w:proofErr w:type="spellEnd"/>
      <w:r w:rsidRPr="00934626">
        <w:t xml:space="preserve"> to the antigen. </w:t>
      </w:r>
    </w:p>
    <w:p w14:paraId="4862FB9B" w14:textId="1AF9D669" w:rsidR="003A126E" w:rsidRPr="00934626" w:rsidRDefault="003A126E" w:rsidP="00E13B8E">
      <w:pPr>
        <w:pStyle w:val="11Para"/>
        <w:spacing w:after="480"/>
      </w:pPr>
      <w:r w:rsidRPr="00934626">
        <w:t>Advice on the use and applicability of ELISA methods is available from the OIE Reference Laboratories for PPR. Some methods are available as commercial kits; these are the only practicable way to carry out this test. Before use</w:t>
      </w:r>
      <w:r w:rsidR="004E27C9" w:rsidRPr="00934626">
        <w:t>,</w:t>
      </w:r>
      <w:r w:rsidRPr="00934626">
        <w:t xml:space="preserve"> laboratories should seek assurance that the kit has been validated in accordance with the OIE Validation Standard (see </w:t>
      </w:r>
      <w:r w:rsidR="005542DE" w:rsidRPr="00934626">
        <w:t>C</w:t>
      </w:r>
      <w:r w:rsidRPr="00934626">
        <w:t>hapter 1.1.</w:t>
      </w:r>
      <w:r w:rsidR="00ED47BC" w:rsidRPr="00934626">
        <w:t>6</w:t>
      </w:r>
      <w:r w:rsidR="005542DE" w:rsidRPr="00934626">
        <w:t xml:space="preserve"> </w:t>
      </w:r>
      <w:r w:rsidR="005542DE" w:rsidRPr="00934626">
        <w:rPr>
          <w:i/>
        </w:rPr>
        <w:t>Principles and methods of validation of diagnostic tests for infectious diseases</w:t>
      </w:r>
      <w:r w:rsidRPr="00934626">
        <w:t>). The only alternative would be for a laboratory to develop and validate all the reagents (</w:t>
      </w:r>
      <w:proofErr w:type="spellStart"/>
      <w:r w:rsidRPr="00934626">
        <w:t>monoclonals</w:t>
      </w:r>
      <w:proofErr w:type="spellEnd"/>
      <w:r w:rsidRPr="00934626">
        <w:t xml:space="preserve"> and antigens) in house. </w:t>
      </w:r>
    </w:p>
    <w:p w14:paraId="185B5056" w14:textId="69E7631C" w:rsidR="00431B81" w:rsidRPr="00934626" w:rsidRDefault="0071400B" w:rsidP="00BF126A">
      <w:pPr>
        <w:pStyle w:val="A0"/>
        <w:spacing w:after="280"/>
        <w:outlineLvl w:val="0"/>
      </w:pPr>
      <w:r w:rsidRPr="00934626">
        <w:t>c</w:t>
      </w:r>
      <w:r w:rsidR="00D4097A" w:rsidRPr="00934626">
        <w:t>.  REQUIREMENTS FOR VACCINES</w:t>
      </w:r>
    </w:p>
    <w:p w14:paraId="0225C3B8" w14:textId="77777777" w:rsidR="005474BA" w:rsidRPr="00934626" w:rsidRDefault="005474BA" w:rsidP="005474BA">
      <w:pPr>
        <w:pStyle w:val="1"/>
      </w:pPr>
      <w:r w:rsidRPr="00934626">
        <w:t>1.</w:t>
      </w:r>
      <w:r w:rsidRPr="00934626">
        <w:tab/>
        <w:t>Background</w:t>
      </w:r>
    </w:p>
    <w:p w14:paraId="7DD22077" w14:textId="77777777" w:rsidR="00D27553" w:rsidRPr="00934626" w:rsidRDefault="00D27553" w:rsidP="00D27553">
      <w:pPr>
        <w:pStyle w:val="para1"/>
      </w:pPr>
      <w:r w:rsidRPr="00934626">
        <w:t>Guidelines for the production of veterinary vaccines are given in Chapter 1.1.</w:t>
      </w:r>
      <w:r w:rsidR="00ED47BC" w:rsidRPr="00934626">
        <w:t>8</w:t>
      </w:r>
      <w:r w:rsidRPr="00934626">
        <w:t xml:space="preserve"> </w:t>
      </w:r>
      <w:r w:rsidRPr="00934626">
        <w:rPr>
          <w:i/>
        </w:rPr>
        <w:t>Principles of veterinary vaccine production</w:t>
      </w:r>
      <w:r w:rsidRPr="00934626">
        <w:t>. The guidelines given below and in chapter 1.1.</w:t>
      </w:r>
      <w:r w:rsidR="00ED47BC" w:rsidRPr="00934626">
        <w:t>8</w:t>
      </w:r>
      <w:r w:rsidRPr="00934626">
        <w:t xml:space="preserve"> are intended to be general in nature and may be supplemented by national and regional requirements.</w:t>
      </w:r>
    </w:p>
    <w:p w14:paraId="01345F09" w14:textId="77777777" w:rsidR="005474BA" w:rsidRPr="00934626" w:rsidRDefault="00ED47BC" w:rsidP="00E13B8E">
      <w:pPr>
        <w:pStyle w:val="11"/>
      </w:pPr>
      <w:r w:rsidRPr="00934626">
        <w:t>1.1.</w:t>
      </w:r>
      <w:r w:rsidR="005474BA" w:rsidRPr="00934626">
        <w:tab/>
        <w:t>Rationale and intended use of the product</w:t>
      </w:r>
    </w:p>
    <w:p w14:paraId="25FB3BC6" w14:textId="77777777" w:rsidR="0046212A" w:rsidRDefault="005474BA" w:rsidP="00E13B8E">
      <w:pPr>
        <w:pStyle w:val="11Para"/>
      </w:pPr>
      <w:r w:rsidRPr="00934626">
        <w:t xml:space="preserve">Sheep and goats </w:t>
      </w:r>
      <w:r w:rsidR="002058B0" w:rsidRPr="00934626">
        <w:t xml:space="preserve">vaccinated with an attenuated strain of PPR or </w:t>
      </w:r>
      <w:r w:rsidRPr="00934626">
        <w:t>that recover from PPR develop an active life-long immunity against the disease (</w:t>
      </w:r>
      <w:proofErr w:type="spellStart"/>
      <w:r w:rsidRPr="00934626">
        <w:t>Durojaiye</w:t>
      </w:r>
      <w:proofErr w:type="spellEnd"/>
      <w:r w:rsidRPr="00934626">
        <w:t xml:space="preserve">, 1982). Several PPR vaccines are available, </w:t>
      </w:r>
      <w:r w:rsidR="0089158D" w:rsidRPr="00934626">
        <w:t>all of which are</w:t>
      </w:r>
      <w:r w:rsidRPr="00934626">
        <w:t xml:space="preserve"> cell culture-attenuated strains of natural PPRV (Sen </w:t>
      </w:r>
      <w:r w:rsidRPr="00934626">
        <w:rPr>
          <w:i/>
        </w:rPr>
        <w:t>et al.,</w:t>
      </w:r>
      <w:r w:rsidRPr="00934626">
        <w:t xml:space="preserve"> 2010). </w:t>
      </w:r>
      <w:r w:rsidR="00EE7FFD" w:rsidRPr="00934626">
        <w:t>The two most</w:t>
      </w:r>
      <w:r w:rsidR="00923ABB" w:rsidRPr="00934626">
        <w:t xml:space="preserve"> </w:t>
      </w:r>
      <w:r w:rsidR="00EE7FFD" w:rsidRPr="00934626">
        <w:t xml:space="preserve">commonly used vaccine strains (Nigeria/75/1 and </w:t>
      </w:r>
      <w:proofErr w:type="spellStart"/>
      <w:r w:rsidR="00EE7FFD" w:rsidRPr="00934626">
        <w:t>Sungri</w:t>
      </w:r>
      <w:proofErr w:type="spellEnd"/>
      <w:r w:rsidR="00EE7FFD" w:rsidRPr="00934626">
        <w:t>/96) have both been shown in experimental trials to protect animals against PPRV isolates of all lineages</w:t>
      </w:r>
      <w:r w:rsidR="002E5632" w:rsidRPr="00934626">
        <w:t xml:space="preserve"> (Hodgson </w:t>
      </w:r>
      <w:r w:rsidR="002E5632" w:rsidRPr="00934626">
        <w:rPr>
          <w:i/>
        </w:rPr>
        <w:t>et al.</w:t>
      </w:r>
      <w:r w:rsidR="002E5632" w:rsidRPr="00934626">
        <w:t>, 2018</w:t>
      </w:r>
      <w:r w:rsidR="00DB76F4" w:rsidRPr="00934626">
        <w:t>)</w:t>
      </w:r>
      <w:r w:rsidR="00EE7FFD" w:rsidRPr="00934626">
        <w:t xml:space="preserve">; the Nigeria/75/1 vaccine has also been proven to provide such complete cross-lineage protection in field use in a large number of countries. </w:t>
      </w:r>
    </w:p>
    <w:p w14:paraId="1CEC4BA1" w14:textId="10F851A6" w:rsidR="0046212A" w:rsidRPr="00E7382B" w:rsidRDefault="005474BA" w:rsidP="00E13B8E">
      <w:pPr>
        <w:pStyle w:val="11Para"/>
        <w:rPr>
          <w:strike/>
        </w:rPr>
      </w:pPr>
      <w:r w:rsidRPr="00E7382B">
        <w:rPr>
          <w:strike/>
        </w:rPr>
        <w:t>The production and validation of vaccine from the commercially available attenuated PPRV</w:t>
      </w:r>
      <w:r w:rsidR="0089158D" w:rsidRPr="00E7382B">
        <w:rPr>
          <w:strike/>
        </w:rPr>
        <w:t xml:space="preserve"> strains</w:t>
      </w:r>
      <w:r w:rsidRPr="00E7382B">
        <w:rPr>
          <w:strike/>
        </w:rPr>
        <w:t xml:space="preserve"> is described here.</w:t>
      </w:r>
    </w:p>
    <w:p w14:paraId="02C05EE4" w14:textId="77777777" w:rsidR="005474BA" w:rsidRPr="00934626" w:rsidRDefault="005474BA" w:rsidP="005474BA">
      <w:pPr>
        <w:pStyle w:val="1"/>
      </w:pPr>
      <w:r w:rsidRPr="00934626">
        <w:t>2.</w:t>
      </w:r>
      <w:r w:rsidRPr="00934626">
        <w:tab/>
        <w:t>Outline of production and minimum requirements for conventional vaccines</w:t>
      </w:r>
    </w:p>
    <w:p w14:paraId="290503EE" w14:textId="77777777" w:rsidR="005474BA" w:rsidRPr="00934626" w:rsidRDefault="00ED47BC" w:rsidP="00E13B8E">
      <w:pPr>
        <w:pStyle w:val="11"/>
      </w:pPr>
      <w:r w:rsidRPr="00934626">
        <w:t>2.1.</w:t>
      </w:r>
      <w:r w:rsidR="005474BA" w:rsidRPr="00934626">
        <w:tab/>
        <w:t>Characteristics of the seed</w:t>
      </w:r>
    </w:p>
    <w:p w14:paraId="407496A8" w14:textId="77777777" w:rsidR="005474BA" w:rsidRPr="00934626" w:rsidRDefault="00ED47BC" w:rsidP="00E13B8E">
      <w:pPr>
        <w:pStyle w:val="111"/>
      </w:pPr>
      <w:r w:rsidRPr="00934626">
        <w:t>2.1.1.</w:t>
      </w:r>
      <w:r w:rsidR="005474BA" w:rsidRPr="00934626">
        <w:tab/>
        <w:t>Biological characteristics</w:t>
      </w:r>
    </w:p>
    <w:p w14:paraId="53C489AA" w14:textId="3F5BE5FE" w:rsidR="005474BA" w:rsidRPr="00934626" w:rsidRDefault="005474BA" w:rsidP="00E13B8E">
      <w:pPr>
        <w:pStyle w:val="111Para"/>
      </w:pPr>
      <w:r w:rsidRPr="00934626">
        <w:t xml:space="preserve">The history of the vaccine received and stored in the laboratory as master seed should be well known and registered: </w:t>
      </w:r>
      <w:r w:rsidR="0089158D" w:rsidRPr="00934626">
        <w:t xml:space="preserve">the </w:t>
      </w:r>
      <w:r w:rsidRPr="00934626">
        <w:t>origin</w:t>
      </w:r>
      <w:r w:rsidR="009D5345" w:rsidRPr="00934626">
        <w:t xml:space="preserve"> of the vaccine</w:t>
      </w:r>
      <w:r w:rsidRPr="00934626">
        <w:t xml:space="preserve">, </w:t>
      </w:r>
      <w:r w:rsidR="009D5345" w:rsidRPr="00934626">
        <w:t xml:space="preserve">the </w:t>
      </w:r>
      <w:r w:rsidR="0089158D" w:rsidRPr="00934626">
        <w:t>number</w:t>
      </w:r>
      <w:r w:rsidRPr="00934626">
        <w:t xml:space="preserve"> of passages in cell culture, </w:t>
      </w:r>
      <w:r w:rsidR="005B2FA9" w:rsidRPr="00333374">
        <w:rPr>
          <w:highlight w:val="yellow"/>
          <w:u w:val="double"/>
        </w:rPr>
        <w:t>and</w:t>
      </w:r>
      <w:r w:rsidR="005B2FA9">
        <w:t xml:space="preserve"> </w:t>
      </w:r>
      <w:r w:rsidRPr="00934626">
        <w:t xml:space="preserve">the range of the number of passages in cell culture </w:t>
      </w:r>
      <w:r w:rsidRPr="00333374">
        <w:rPr>
          <w:strike/>
          <w:highlight w:val="yellow"/>
        </w:rPr>
        <w:t>that has been tested and</w:t>
      </w:r>
      <w:r w:rsidRPr="00333374">
        <w:rPr>
          <w:strike/>
        </w:rPr>
        <w:t xml:space="preserve"> </w:t>
      </w:r>
      <w:r w:rsidRPr="00934626">
        <w:t xml:space="preserve">shown to be effective in providing protection </w:t>
      </w:r>
      <w:r w:rsidRPr="0092519D">
        <w:rPr>
          <w:strike/>
          <w:color w:val="000000" w:themeColor="text1"/>
          <w:highlight w:val="yellow"/>
        </w:rPr>
        <w:t xml:space="preserve">in animals </w:t>
      </w:r>
      <w:r w:rsidRPr="00934626">
        <w:t>against PPR</w:t>
      </w:r>
      <w:r w:rsidR="0089158D" w:rsidRPr="00934626">
        <w:t xml:space="preserve"> for at least 3 years</w:t>
      </w:r>
      <w:r w:rsidR="0089158D" w:rsidRPr="00687133">
        <w:rPr>
          <w:color w:val="000000" w:themeColor="text1"/>
        </w:rPr>
        <w:t xml:space="preserve"> </w:t>
      </w:r>
      <w:r w:rsidR="0089158D" w:rsidRPr="0092519D">
        <w:rPr>
          <w:color w:val="000000" w:themeColor="text1"/>
        </w:rPr>
        <w:t>when administered at</w:t>
      </w:r>
      <w:r w:rsidRPr="0092519D">
        <w:rPr>
          <w:color w:val="000000" w:themeColor="text1"/>
        </w:rPr>
        <w:t xml:space="preserve"> the recommended dose</w:t>
      </w:r>
      <w:r w:rsidRPr="00934626">
        <w:t xml:space="preserve">. </w:t>
      </w:r>
      <w:r w:rsidR="0089158D" w:rsidRPr="00934626">
        <w:t>Such a</w:t>
      </w:r>
      <w:r w:rsidRPr="00934626">
        <w:t xml:space="preserve"> PPR virus vaccine strain should not be excreted by inoculated animals </w:t>
      </w:r>
      <w:r w:rsidR="0089158D" w:rsidRPr="00934626">
        <w:t>in such a way that it can</w:t>
      </w:r>
      <w:r w:rsidRPr="00934626">
        <w:t xml:space="preserve"> spread to in-contact animals. It should be proven that the vaccine strain has not reverted to virulence following at least three back passages in sheep and goats (Diallo </w:t>
      </w:r>
      <w:r w:rsidRPr="00934626">
        <w:rPr>
          <w:i/>
        </w:rPr>
        <w:t>et al.,</w:t>
      </w:r>
      <w:r w:rsidRPr="00934626">
        <w:t xml:space="preserve"> 1989). </w:t>
      </w:r>
    </w:p>
    <w:p w14:paraId="35E22868" w14:textId="77777777" w:rsidR="005474BA" w:rsidRPr="00934626" w:rsidRDefault="00ED47BC" w:rsidP="00E13B8E">
      <w:pPr>
        <w:pStyle w:val="111"/>
      </w:pPr>
      <w:r w:rsidRPr="00934626">
        <w:t>2.1.2.</w:t>
      </w:r>
      <w:r w:rsidR="005474BA" w:rsidRPr="00934626">
        <w:tab/>
        <w:t>Quality criteria (sterility, purity, freedom from extraneous agents)</w:t>
      </w:r>
    </w:p>
    <w:p w14:paraId="4034FBF7" w14:textId="267DC3B7" w:rsidR="005474BA" w:rsidRPr="00934626" w:rsidRDefault="005474BA" w:rsidP="00E13B8E">
      <w:pPr>
        <w:pStyle w:val="111Para"/>
      </w:pPr>
      <w:r w:rsidRPr="00934626">
        <w:t xml:space="preserve">The seed should be controlled and tested free from bacterial, </w:t>
      </w:r>
      <w:r w:rsidRPr="00333374">
        <w:rPr>
          <w:highlight w:val="yellow"/>
          <w:u w:val="double"/>
        </w:rPr>
        <w:t>fung</w:t>
      </w:r>
      <w:r w:rsidR="003E2AFC" w:rsidRPr="00333374">
        <w:rPr>
          <w:highlight w:val="yellow"/>
          <w:u w:val="double"/>
        </w:rPr>
        <w:t>al</w:t>
      </w:r>
      <w:r w:rsidRPr="00333374">
        <w:rPr>
          <w:highlight w:val="yellow"/>
        </w:rPr>
        <w:t xml:space="preserve"> </w:t>
      </w:r>
      <w:r w:rsidR="00333374" w:rsidRPr="00333374">
        <w:rPr>
          <w:strike/>
          <w:highlight w:val="yellow"/>
        </w:rPr>
        <w:t>fungus</w:t>
      </w:r>
      <w:r w:rsidR="00333374" w:rsidRPr="00333374">
        <w:rPr>
          <w:strike/>
        </w:rPr>
        <w:t xml:space="preserve"> </w:t>
      </w:r>
      <w:r w:rsidRPr="00934626">
        <w:t xml:space="preserve">and mycoplasma contamination. It should be tested free from </w:t>
      </w:r>
      <w:proofErr w:type="spellStart"/>
      <w:r w:rsidRPr="00934626">
        <w:t>pestivirus</w:t>
      </w:r>
      <w:proofErr w:type="spellEnd"/>
      <w:r w:rsidRPr="00934626">
        <w:t xml:space="preserve"> and </w:t>
      </w:r>
      <w:r w:rsidRPr="00333374">
        <w:rPr>
          <w:strike/>
          <w:highlight w:val="yellow"/>
        </w:rPr>
        <w:t>any</w:t>
      </w:r>
      <w:r w:rsidRPr="00333374">
        <w:rPr>
          <w:strike/>
        </w:rPr>
        <w:t xml:space="preserve"> </w:t>
      </w:r>
      <w:r w:rsidRPr="00934626">
        <w:t xml:space="preserve">other </w:t>
      </w:r>
      <w:r w:rsidR="0089158D" w:rsidRPr="00934626">
        <w:t>potentially contaminating</w:t>
      </w:r>
      <w:r w:rsidRPr="00934626">
        <w:t xml:space="preserve"> virus</w:t>
      </w:r>
      <w:r w:rsidR="005474FB" w:rsidRPr="00333374">
        <w:rPr>
          <w:highlight w:val="yellow"/>
          <w:u w:val="double"/>
        </w:rPr>
        <w:t>es</w:t>
      </w:r>
      <w:r w:rsidRPr="00934626">
        <w:t xml:space="preserve">. Only live attenuated PPR virus should be present. </w:t>
      </w:r>
      <w:r w:rsidR="008D407F" w:rsidRPr="00E7382B">
        <w:rPr>
          <w:u w:val="double"/>
        </w:rPr>
        <w:t>The seed should either have passed an innocuity test in animals (rodents, sheep and goats) or have been shown to be free of harmful contaminants by other validated means</w:t>
      </w:r>
      <w:r w:rsidR="008D407F" w:rsidRPr="00333374">
        <w:rPr>
          <w:strike/>
        </w:rPr>
        <w:t xml:space="preserve"> </w:t>
      </w:r>
      <w:r w:rsidR="008D407F" w:rsidRPr="00333374">
        <w:rPr>
          <w:strike/>
          <w:highlight w:val="yellow"/>
        </w:rPr>
        <w:t>(e.g. deep sequencing)</w:t>
      </w:r>
      <w:r w:rsidR="008D407F" w:rsidRPr="00E7382B">
        <w:rPr>
          <w:u w:val="double"/>
        </w:rPr>
        <w:t>; it should</w:t>
      </w:r>
      <w:r w:rsidR="00E7382B" w:rsidRPr="00E7382B">
        <w:t xml:space="preserve"> </w:t>
      </w:r>
      <w:r w:rsidRPr="00E7382B">
        <w:rPr>
          <w:strike/>
        </w:rPr>
        <w:t xml:space="preserve">The seed should have passed an innocuity test in animals (rodents, sheep and goats) and </w:t>
      </w:r>
      <w:r w:rsidRPr="00934626">
        <w:t xml:space="preserve">have demonstrated its efficacy to protect sheep and goats against PPR with the recommended dose. </w:t>
      </w:r>
    </w:p>
    <w:p w14:paraId="4BB318EF" w14:textId="77777777" w:rsidR="005474BA" w:rsidRPr="00934626" w:rsidRDefault="00ED47BC" w:rsidP="00E13B8E">
      <w:pPr>
        <w:pStyle w:val="11"/>
      </w:pPr>
      <w:r w:rsidRPr="00934626">
        <w:t>2.2.</w:t>
      </w:r>
      <w:r w:rsidR="005474BA" w:rsidRPr="00934626">
        <w:tab/>
        <w:t>Method of</w:t>
      </w:r>
      <w:r w:rsidR="006F067D" w:rsidRPr="00934626">
        <w:t xml:space="preserve"> </w:t>
      </w:r>
      <w:r w:rsidR="005474BA" w:rsidRPr="00934626">
        <w:t>manufacture</w:t>
      </w:r>
    </w:p>
    <w:p w14:paraId="0DA82A3F" w14:textId="77777777" w:rsidR="00B203FB" w:rsidRPr="00E7382B" w:rsidRDefault="00ED47BC" w:rsidP="00B203FB">
      <w:pPr>
        <w:pStyle w:val="111"/>
        <w:rPr>
          <w:u w:val="double"/>
        </w:rPr>
      </w:pPr>
      <w:r w:rsidRPr="00934626">
        <w:t>2.2.1.</w:t>
      </w:r>
      <w:r w:rsidR="005474BA" w:rsidRPr="00934626">
        <w:tab/>
      </w:r>
      <w:r w:rsidR="00B203FB" w:rsidRPr="00E7382B">
        <w:rPr>
          <w:u w:val="double"/>
        </w:rPr>
        <w:t>Requirements for substrates and media</w:t>
      </w:r>
    </w:p>
    <w:p w14:paraId="1ACD190E" w14:textId="12534E35" w:rsidR="006C0C6F" w:rsidRPr="00E7382B" w:rsidRDefault="006C0C6F" w:rsidP="008A4B5A">
      <w:pPr>
        <w:pStyle w:val="111Para"/>
        <w:rPr>
          <w:u w:val="double"/>
        </w:rPr>
      </w:pPr>
      <w:r w:rsidRPr="00E7382B">
        <w:rPr>
          <w:u w:val="double"/>
        </w:rPr>
        <w:t>Tests for sterility and freedom from contamination of biological materials intended for veterinary use may be found in chapter 1.1.9.</w:t>
      </w:r>
    </w:p>
    <w:p w14:paraId="07696372" w14:textId="77777777" w:rsidR="00B203FB" w:rsidRPr="00E7382B" w:rsidRDefault="00B203FB" w:rsidP="00B203FB">
      <w:pPr>
        <w:pStyle w:val="i"/>
        <w:rPr>
          <w:u w:val="double"/>
        </w:rPr>
      </w:pPr>
      <w:proofErr w:type="spellStart"/>
      <w:r w:rsidRPr="00E7382B">
        <w:rPr>
          <w:u w:val="double"/>
        </w:rPr>
        <w:lastRenderedPageBreak/>
        <w:t>i</w:t>
      </w:r>
      <w:proofErr w:type="spellEnd"/>
      <w:r w:rsidRPr="00E7382B">
        <w:rPr>
          <w:u w:val="double"/>
        </w:rPr>
        <w:t>)</w:t>
      </w:r>
      <w:r w:rsidRPr="00E7382B">
        <w:rPr>
          <w:u w:val="double"/>
        </w:rPr>
        <w:tab/>
        <w:t>Cells</w:t>
      </w:r>
    </w:p>
    <w:p w14:paraId="7118B47F" w14:textId="77777777" w:rsidR="00B203FB" w:rsidRPr="00E7382B" w:rsidRDefault="00B203FB" w:rsidP="00B203FB">
      <w:pPr>
        <w:pStyle w:val="afourthpara"/>
        <w:rPr>
          <w:u w:val="double"/>
        </w:rPr>
      </w:pPr>
      <w:r w:rsidRPr="00E7382B">
        <w:rPr>
          <w:u w:val="double"/>
        </w:rPr>
        <w:t>All current PPRV vaccine strains are grown in Vero cells. Cells used for the production of PPR vaccine must be free from bacterial, fungal and viral contaminations. The source of these cells should be known and documented.</w:t>
      </w:r>
    </w:p>
    <w:p w14:paraId="5BD17328" w14:textId="77777777" w:rsidR="00B203FB" w:rsidRPr="00E7382B" w:rsidRDefault="00B203FB" w:rsidP="00B203FB">
      <w:pPr>
        <w:pStyle w:val="i"/>
        <w:rPr>
          <w:u w:val="double"/>
        </w:rPr>
      </w:pPr>
      <w:r w:rsidRPr="00E7382B">
        <w:rPr>
          <w:u w:val="double"/>
        </w:rPr>
        <w:t>ii)</w:t>
      </w:r>
      <w:r w:rsidRPr="00E7382B">
        <w:rPr>
          <w:u w:val="double"/>
        </w:rPr>
        <w:tab/>
        <w:t>Serum</w:t>
      </w:r>
    </w:p>
    <w:p w14:paraId="0D3BABA9" w14:textId="3F033D9C" w:rsidR="00B203FB" w:rsidRPr="00E7382B" w:rsidRDefault="00B203FB" w:rsidP="00B203FB">
      <w:pPr>
        <w:pStyle w:val="afourthpara"/>
        <w:rPr>
          <w:u w:val="double"/>
        </w:rPr>
      </w:pPr>
      <w:r w:rsidRPr="00E7382B">
        <w:rPr>
          <w:u w:val="double"/>
        </w:rPr>
        <w:t xml:space="preserve">The serum used in the cell </w:t>
      </w:r>
      <w:r w:rsidRPr="0092519D">
        <w:rPr>
          <w:u w:val="double"/>
        </w:rPr>
        <w:t xml:space="preserve">culture should </w:t>
      </w:r>
      <w:r w:rsidR="000766C3" w:rsidRPr="0092519D">
        <w:rPr>
          <w:u w:val="double"/>
        </w:rPr>
        <w:t>be</w:t>
      </w:r>
      <w:r w:rsidR="004C570B" w:rsidRPr="0092519D">
        <w:rPr>
          <w:u w:val="double"/>
        </w:rPr>
        <w:t xml:space="preserve"> </w:t>
      </w:r>
      <w:r w:rsidRPr="0092519D">
        <w:rPr>
          <w:u w:val="double"/>
        </w:rPr>
        <w:t xml:space="preserve">free from adventitious virus, in particular </w:t>
      </w:r>
      <w:proofErr w:type="spellStart"/>
      <w:r w:rsidRPr="0092519D">
        <w:rPr>
          <w:u w:val="double"/>
        </w:rPr>
        <w:t>pestiviruses</w:t>
      </w:r>
      <w:proofErr w:type="spellEnd"/>
      <w:r w:rsidRPr="0092519D">
        <w:rPr>
          <w:u w:val="double"/>
        </w:rPr>
        <w:t xml:space="preserve">. It is recommended to use irradiated serum. The country of origin of the serum must be known (use of serum from countries with high risk of transmissible spongiform encephalopathy [TSE] infections </w:t>
      </w:r>
      <w:r w:rsidR="00333374" w:rsidRPr="0092519D">
        <w:rPr>
          <w:u w:val="double"/>
        </w:rPr>
        <w:t xml:space="preserve">should be </w:t>
      </w:r>
      <w:r w:rsidRPr="0092519D">
        <w:rPr>
          <w:u w:val="double"/>
        </w:rPr>
        <w:t>av</w:t>
      </w:r>
      <w:r w:rsidRPr="00E7382B">
        <w:rPr>
          <w:u w:val="double"/>
        </w:rPr>
        <w:t>oided).</w:t>
      </w:r>
    </w:p>
    <w:p w14:paraId="45353BF9" w14:textId="77777777" w:rsidR="00B203FB" w:rsidRPr="00E7382B" w:rsidRDefault="00B203FB" w:rsidP="00B203FB">
      <w:pPr>
        <w:pStyle w:val="i"/>
        <w:rPr>
          <w:u w:val="double"/>
        </w:rPr>
      </w:pPr>
      <w:r w:rsidRPr="00E7382B">
        <w:rPr>
          <w:u w:val="double"/>
        </w:rPr>
        <w:t>iii)</w:t>
      </w:r>
      <w:r w:rsidRPr="00E7382B">
        <w:rPr>
          <w:u w:val="double"/>
        </w:rPr>
        <w:tab/>
        <w:t>Culture medium</w:t>
      </w:r>
    </w:p>
    <w:p w14:paraId="264AA789" w14:textId="77777777" w:rsidR="00B203FB" w:rsidRPr="00E7382B" w:rsidRDefault="00B203FB" w:rsidP="00B203FB">
      <w:pPr>
        <w:pStyle w:val="afourthpara"/>
        <w:rPr>
          <w:u w:val="double"/>
        </w:rPr>
      </w:pPr>
      <w:r w:rsidRPr="00E7382B">
        <w:rPr>
          <w:u w:val="double"/>
        </w:rPr>
        <w:t xml:space="preserve">The traditional culture medium is minimal essential medium (MEM); recent work has shown that Dulbecco’s modified Eagle’s medium (DMEM) containing 25mM glucose or 25mM fructose gives significantly higher (tenfold) yields of virus (Silva </w:t>
      </w:r>
      <w:r w:rsidRPr="00E7382B">
        <w:rPr>
          <w:i/>
          <w:u w:val="double"/>
        </w:rPr>
        <w:t>et al</w:t>
      </w:r>
      <w:r w:rsidRPr="00E7382B">
        <w:rPr>
          <w:u w:val="double"/>
        </w:rPr>
        <w:t xml:space="preserve">., 2011). The medium can be supplemented with antibiotics (e.g. penicillin + streptomycin at final concentrations of 100 IU [International Units]/ml and 100 µg/ml, respectively) and an antifungal agent (e.g. nystatin at a final concentration of 50 µg/ml) if required. The medium is enriched with 10% (v/v) </w:t>
      </w:r>
      <w:proofErr w:type="spellStart"/>
      <w:r w:rsidRPr="00E7382B">
        <w:rPr>
          <w:u w:val="double"/>
        </w:rPr>
        <w:t>fetal</w:t>
      </w:r>
      <w:proofErr w:type="spellEnd"/>
      <w:r w:rsidRPr="00E7382B">
        <w:rPr>
          <w:u w:val="double"/>
        </w:rPr>
        <w:t xml:space="preserve"> calf serum (complete medium) for cell growth. This proportion of serum is reduced to 2% (v/v) for maintenance medium when the cell monolayer is complete.</w:t>
      </w:r>
    </w:p>
    <w:p w14:paraId="284D3292" w14:textId="104AF166" w:rsidR="00B203FB" w:rsidRPr="00E7382B" w:rsidRDefault="00B203FB" w:rsidP="00B203FB">
      <w:pPr>
        <w:pStyle w:val="111"/>
        <w:rPr>
          <w:u w:val="double"/>
        </w:rPr>
      </w:pPr>
      <w:r w:rsidRPr="00E7382B">
        <w:rPr>
          <w:u w:val="double"/>
        </w:rPr>
        <w:t>2.2.2.</w:t>
      </w:r>
      <w:r w:rsidRPr="00E7382B">
        <w:rPr>
          <w:u w:val="double"/>
        </w:rPr>
        <w:tab/>
        <w:t>In-process controls</w:t>
      </w:r>
    </w:p>
    <w:p w14:paraId="1E4E0394" w14:textId="443AF80C" w:rsidR="009415D8" w:rsidRPr="00E7382B" w:rsidRDefault="009415D8" w:rsidP="008A4B5A">
      <w:pPr>
        <w:pStyle w:val="i"/>
        <w:rPr>
          <w:u w:val="double"/>
        </w:rPr>
      </w:pPr>
      <w:proofErr w:type="spellStart"/>
      <w:r w:rsidRPr="00E7382B">
        <w:rPr>
          <w:u w:val="double"/>
        </w:rPr>
        <w:t>i</w:t>
      </w:r>
      <w:proofErr w:type="spellEnd"/>
      <w:r w:rsidRPr="00E7382B">
        <w:rPr>
          <w:u w:val="double"/>
        </w:rPr>
        <w:t>)</w:t>
      </w:r>
      <w:r w:rsidR="008A4B5A" w:rsidRPr="00E7382B">
        <w:rPr>
          <w:u w:val="double"/>
        </w:rPr>
        <w:tab/>
      </w:r>
      <w:r w:rsidR="00B203FB" w:rsidRPr="00E7382B">
        <w:rPr>
          <w:u w:val="double"/>
        </w:rPr>
        <w:t>Cells used in cultures must be checked for normal appearance and</w:t>
      </w:r>
      <w:r w:rsidR="00B203FB" w:rsidRPr="0092519D">
        <w:t xml:space="preserve"> </w:t>
      </w:r>
      <w:r w:rsidR="00351538" w:rsidRPr="0092519D">
        <w:rPr>
          <w:strike/>
          <w:highlight w:val="yellow"/>
        </w:rPr>
        <w:t>be</w:t>
      </w:r>
      <w:r w:rsidR="00351538" w:rsidRPr="0092519D">
        <w:rPr>
          <w:strike/>
        </w:rPr>
        <w:t xml:space="preserve"> </w:t>
      </w:r>
      <w:r w:rsidR="00B203FB" w:rsidRPr="00E7382B">
        <w:rPr>
          <w:u w:val="double"/>
        </w:rPr>
        <w:t xml:space="preserve">shown to be free from contaminating </w:t>
      </w:r>
      <w:r w:rsidR="008D407F" w:rsidRPr="00E7382B">
        <w:rPr>
          <w:u w:val="double"/>
        </w:rPr>
        <w:t xml:space="preserve">mycoplasma and </w:t>
      </w:r>
      <w:r w:rsidR="00B203FB" w:rsidRPr="00E7382B">
        <w:rPr>
          <w:u w:val="double"/>
        </w:rPr>
        <w:t xml:space="preserve">viruses, especially bovine viral diarrhoea virus. </w:t>
      </w:r>
    </w:p>
    <w:p w14:paraId="78E3EE63" w14:textId="06B804C5" w:rsidR="009415D8" w:rsidRPr="00E7382B" w:rsidRDefault="009415D8" w:rsidP="008A4B5A">
      <w:pPr>
        <w:pStyle w:val="i"/>
        <w:rPr>
          <w:u w:val="double"/>
        </w:rPr>
      </w:pPr>
      <w:r w:rsidRPr="00E7382B">
        <w:rPr>
          <w:u w:val="double"/>
        </w:rPr>
        <w:t>ii)</w:t>
      </w:r>
      <w:r w:rsidR="008A4B5A" w:rsidRPr="00E7382B">
        <w:rPr>
          <w:u w:val="double"/>
        </w:rPr>
        <w:tab/>
      </w:r>
      <w:r w:rsidR="00B203FB" w:rsidRPr="00E7382B">
        <w:rPr>
          <w:u w:val="double"/>
        </w:rPr>
        <w:t>A virus titration must be undertaken on the working and production seed lots</w:t>
      </w:r>
      <w:r w:rsidRPr="00E7382B">
        <w:rPr>
          <w:u w:val="double"/>
        </w:rPr>
        <w:t xml:space="preserve"> and on samples from the final product. </w:t>
      </w:r>
    </w:p>
    <w:p w14:paraId="5AB0F328" w14:textId="5C9D8168" w:rsidR="009415D8" w:rsidRPr="00E7382B" w:rsidRDefault="008A4B5A" w:rsidP="008A4B5A">
      <w:pPr>
        <w:pStyle w:val="afourthlevel"/>
        <w:rPr>
          <w:u w:val="double"/>
        </w:rPr>
      </w:pPr>
      <w:r w:rsidRPr="00E7382B">
        <w:rPr>
          <w:rFonts w:ascii="Arial" w:hAnsi="Arial"/>
          <w:u w:val="double"/>
        </w:rPr>
        <w:t>●</w:t>
      </w:r>
      <w:r w:rsidRPr="00E7382B">
        <w:rPr>
          <w:u w:val="double"/>
        </w:rPr>
        <w:tab/>
      </w:r>
      <w:r w:rsidR="009415D8" w:rsidRPr="00E7382B">
        <w:rPr>
          <w:u w:val="double"/>
        </w:rPr>
        <w:t>Test procedure</w:t>
      </w:r>
    </w:p>
    <w:p w14:paraId="0544A529" w14:textId="711AD4F9" w:rsidR="009415D8" w:rsidRPr="00E7382B" w:rsidRDefault="009415D8" w:rsidP="008A4B5A">
      <w:pPr>
        <w:pStyle w:val="ififthlevellist"/>
        <w:rPr>
          <w:u w:val="double"/>
        </w:rPr>
      </w:pPr>
      <w:r w:rsidRPr="00E7382B">
        <w:rPr>
          <w:u w:val="double"/>
        </w:rPr>
        <w:t>a)</w:t>
      </w:r>
      <w:r w:rsidRPr="00E7382B">
        <w:rPr>
          <w:u w:val="double"/>
        </w:rPr>
        <w:tab/>
        <w:t>U</w:t>
      </w:r>
      <w:r w:rsidR="00B203FB" w:rsidRPr="00E7382B">
        <w:rPr>
          <w:u w:val="double"/>
        </w:rPr>
        <w:t xml:space="preserve">sing serum-free medium, </w:t>
      </w:r>
      <w:r w:rsidRPr="00E7382B">
        <w:rPr>
          <w:u w:val="double"/>
        </w:rPr>
        <w:t xml:space="preserve">make </w:t>
      </w:r>
      <w:r w:rsidR="00B203FB" w:rsidRPr="00E7382B">
        <w:rPr>
          <w:u w:val="double"/>
        </w:rPr>
        <w:t>a series of tenfold dilutions (0.5 ml virus + 4.5 ml diluent) down to 10</w:t>
      </w:r>
      <w:r w:rsidR="00B203FB" w:rsidRPr="00E7382B">
        <w:rPr>
          <w:position w:val="6"/>
          <w:sz w:val="14"/>
          <w:u w:val="double"/>
        </w:rPr>
        <w:t>–6</w:t>
      </w:r>
      <w:r w:rsidR="00B203FB" w:rsidRPr="00E7382B">
        <w:rPr>
          <w:u w:val="double"/>
        </w:rPr>
        <w:t xml:space="preserve"> of the material to be titrated. </w:t>
      </w:r>
    </w:p>
    <w:p w14:paraId="45278F75" w14:textId="3A2A4323" w:rsidR="009415D8" w:rsidRPr="00E7382B" w:rsidRDefault="009415D8" w:rsidP="008A4B5A">
      <w:pPr>
        <w:pStyle w:val="ififthlevellist"/>
        <w:rPr>
          <w:u w:val="double"/>
        </w:rPr>
      </w:pPr>
      <w:r w:rsidRPr="00E7382B">
        <w:rPr>
          <w:u w:val="double"/>
        </w:rPr>
        <w:t>b)</w:t>
      </w:r>
      <w:r w:rsidRPr="00E7382B">
        <w:rPr>
          <w:u w:val="double"/>
        </w:rPr>
        <w:tab/>
      </w:r>
      <w:proofErr w:type="spellStart"/>
      <w:r w:rsidRPr="00E7382B">
        <w:rPr>
          <w:u w:val="double"/>
        </w:rPr>
        <w:t>Trypsinise</w:t>
      </w:r>
      <w:proofErr w:type="spellEnd"/>
      <w:r w:rsidRPr="00E7382B">
        <w:rPr>
          <w:u w:val="double"/>
        </w:rPr>
        <w:t xml:space="preserve"> </w:t>
      </w:r>
      <w:r w:rsidR="00B203FB" w:rsidRPr="00E7382B">
        <w:rPr>
          <w:u w:val="double"/>
        </w:rPr>
        <w:t xml:space="preserve">Vero cells </w:t>
      </w:r>
      <w:r w:rsidRPr="00E7382B">
        <w:rPr>
          <w:u w:val="double"/>
        </w:rPr>
        <w:t>and suspend</w:t>
      </w:r>
      <w:r w:rsidR="00B203FB" w:rsidRPr="00E7382B">
        <w:rPr>
          <w:u w:val="double"/>
        </w:rPr>
        <w:t xml:space="preserve"> in complete culture medium at 300,000/ml. </w:t>
      </w:r>
      <w:r w:rsidRPr="00E7382B">
        <w:rPr>
          <w:u w:val="double"/>
        </w:rPr>
        <w:t xml:space="preserve">Distribute the cells </w:t>
      </w:r>
      <w:r w:rsidR="00B203FB" w:rsidRPr="00E7382B">
        <w:rPr>
          <w:u w:val="double"/>
        </w:rPr>
        <w:t xml:space="preserve">on a 96-well plate (30,000 cells per well, equivalent to 100 µl of cell suspension). </w:t>
      </w:r>
    </w:p>
    <w:p w14:paraId="093DB214" w14:textId="77777777" w:rsidR="00632AD2" w:rsidRPr="00E7382B" w:rsidRDefault="009415D8" w:rsidP="008A4B5A">
      <w:pPr>
        <w:pStyle w:val="ififthlevellist"/>
        <w:rPr>
          <w:u w:val="double"/>
        </w:rPr>
      </w:pPr>
      <w:r w:rsidRPr="00E7382B">
        <w:rPr>
          <w:u w:val="double"/>
        </w:rPr>
        <w:t>c)</w:t>
      </w:r>
      <w:r w:rsidRPr="00E7382B">
        <w:rPr>
          <w:u w:val="double"/>
        </w:rPr>
        <w:tab/>
        <w:t xml:space="preserve">Add </w:t>
      </w:r>
      <w:r w:rsidR="00B203FB" w:rsidRPr="00E7382B">
        <w:rPr>
          <w:u w:val="double"/>
        </w:rPr>
        <w:t xml:space="preserve">100 µl of </w:t>
      </w:r>
      <w:r w:rsidRPr="00E7382B">
        <w:rPr>
          <w:u w:val="double"/>
        </w:rPr>
        <w:t xml:space="preserve">diluted </w:t>
      </w:r>
      <w:r w:rsidR="00B203FB" w:rsidRPr="00E7382B">
        <w:rPr>
          <w:u w:val="double"/>
        </w:rPr>
        <w:t>virus to the cells (dilutions ranging from 10</w:t>
      </w:r>
      <w:r w:rsidR="00B203FB" w:rsidRPr="00E7382B">
        <w:rPr>
          <w:position w:val="6"/>
          <w:sz w:val="14"/>
          <w:u w:val="double"/>
        </w:rPr>
        <w:t>–2</w:t>
      </w:r>
      <w:r w:rsidR="00B203FB" w:rsidRPr="00E7382B">
        <w:rPr>
          <w:u w:val="double"/>
        </w:rPr>
        <w:t xml:space="preserve"> to 10</w:t>
      </w:r>
      <w:r w:rsidR="00B203FB" w:rsidRPr="00E7382B">
        <w:rPr>
          <w:position w:val="6"/>
          <w:sz w:val="14"/>
          <w:u w:val="double"/>
        </w:rPr>
        <w:t>–6</w:t>
      </w:r>
      <w:r w:rsidR="00B203FB" w:rsidRPr="00E7382B">
        <w:rPr>
          <w:u w:val="double"/>
        </w:rPr>
        <w:t xml:space="preserve">). </w:t>
      </w:r>
      <w:r w:rsidRPr="00E7382B">
        <w:rPr>
          <w:u w:val="double"/>
        </w:rPr>
        <w:t>Use one row</w:t>
      </w:r>
      <w:r w:rsidR="00632AD2" w:rsidRPr="00E7382B">
        <w:rPr>
          <w:u w:val="double"/>
        </w:rPr>
        <w:t xml:space="preserve"> for each virus dilution; o</w:t>
      </w:r>
      <w:r w:rsidR="00B203FB" w:rsidRPr="00E7382B">
        <w:rPr>
          <w:u w:val="double"/>
        </w:rPr>
        <w:t xml:space="preserve">ne row of wells serves as a negative control consisting of uninfected cells to which virus-free culture medium (100 µl) is added. </w:t>
      </w:r>
    </w:p>
    <w:p w14:paraId="748475D9" w14:textId="4A6C6994" w:rsidR="00632AD2" w:rsidRPr="00E7382B" w:rsidRDefault="00632AD2" w:rsidP="008A4B5A">
      <w:pPr>
        <w:pStyle w:val="ififthlevellist"/>
        <w:rPr>
          <w:u w:val="double"/>
        </w:rPr>
      </w:pPr>
      <w:r w:rsidRPr="00E7382B">
        <w:rPr>
          <w:u w:val="double"/>
        </w:rPr>
        <w:t xml:space="preserve">d) </w:t>
      </w:r>
      <w:r w:rsidR="00102581" w:rsidRPr="00E7382B">
        <w:rPr>
          <w:u w:val="double"/>
        </w:rPr>
        <w:tab/>
      </w:r>
      <w:r w:rsidRPr="00E7382B">
        <w:rPr>
          <w:u w:val="double"/>
        </w:rPr>
        <w:t>Incubate t</w:t>
      </w:r>
      <w:r w:rsidR="00B203FB" w:rsidRPr="00E7382B">
        <w:rPr>
          <w:u w:val="double"/>
        </w:rPr>
        <w:t>he plate at 37°C in the presence of CO</w:t>
      </w:r>
      <w:r w:rsidR="00B203FB" w:rsidRPr="00E7382B">
        <w:rPr>
          <w:szCs w:val="14"/>
          <w:u w:val="double"/>
          <w:vertAlign w:val="subscript"/>
        </w:rPr>
        <w:t>2</w:t>
      </w:r>
      <w:r w:rsidR="00B203FB" w:rsidRPr="00E7382B">
        <w:rPr>
          <w:u w:val="double"/>
        </w:rPr>
        <w:t xml:space="preserve">. </w:t>
      </w:r>
    </w:p>
    <w:p w14:paraId="261B8FD4" w14:textId="6AAFC54C" w:rsidR="00B203FB" w:rsidRPr="00E7382B" w:rsidRDefault="00632AD2" w:rsidP="008A4B5A">
      <w:pPr>
        <w:pStyle w:val="ififthlevellist"/>
        <w:rPr>
          <w:u w:val="double"/>
        </w:rPr>
      </w:pPr>
      <w:r w:rsidRPr="00E7382B">
        <w:rPr>
          <w:u w:val="double"/>
        </w:rPr>
        <w:t>e)</w:t>
      </w:r>
      <w:r w:rsidRPr="00E7382B">
        <w:rPr>
          <w:u w:val="double"/>
        </w:rPr>
        <w:tab/>
        <w:t>Read t</w:t>
      </w:r>
      <w:r w:rsidR="00B203FB" w:rsidRPr="00E7382B">
        <w:rPr>
          <w:u w:val="double"/>
        </w:rPr>
        <w:t>he plates (by examining for CPE) 7–10 days after infection. Virus titre is calculated by the Spearman–</w:t>
      </w:r>
      <w:proofErr w:type="spellStart"/>
      <w:r w:rsidR="00B203FB" w:rsidRPr="00E7382B">
        <w:rPr>
          <w:u w:val="double"/>
        </w:rPr>
        <w:t>Kärber</w:t>
      </w:r>
      <w:proofErr w:type="spellEnd"/>
      <w:r w:rsidR="00B203FB" w:rsidRPr="00E7382B">
        <w:rPr>
          <w:u w:val="double"/>
        </w:rPr>
        <w:t xml:space="preserve"> method. </w:t>
      </w:r>
    </w:p>
    <w:p w14:paraId="4F08AF79" w14:textId="1B0F4739" w:rsidR="009415D8" w:rsidRPr="00E7382B" w:rsidRDefault="00632AD2" w:rsidP="008A4B5A">
      <w:pPr>
        <w:pStyle w:val="i"/>
        <w:rPr>
          <w:u w:val="double"/>
        </w:rPr>
      </w:pPr>
      <w:r w:rsidRPr="00E7382B">
        <w:rPr>
          <w:u w:val="double"/>
        </w:rPr>
        <w:t>iii)</w:t>
      </w:r>
      <w:r w:rsidR="008A4B5A" w:rsidRPr="00E7382B">
        <w:rPr>
          <w:u w:val="double"/>
        </w:rPr>
        <w:tab/>
      </w:r>
      <w:r w:rsidR="009415D8" w:rsidRPr="00E7382B">
        <w:rPr>
          <w:u w:val="double"/>
        </w:rPr>
        <w:t>The identity of the virus is confirmed a</w:t>
      </w:r>
      <w:r w:rsidR="00CE60FB" w:rsidRPr="00E7382B">
        <w:rPr>
          <w:u w:val="double"/>
        </w:rPr>
        <w:t>t the final batch stage</w:t>
      </w:r>
      <w:r w:rsidR="009415D8" w:rsidRPr="00E7382B">
        <w:rPr>
          <w:u w:val="double"/>
        </w:rPr>
        <w:t>. For this purpose, anti-PPRV serum is used to neutralise the virus in cell culture.</w:t>
      </w:r>
    </w:p>
    <w:p w14:paraId="1B4098FD" w14:textId="77777777" w:rsidR="009415D8" w:rsidRPr="00E7382B" w:rsidRDefault="009415D8" w:rsidP="008A4B5A">
      <w:pPr>
        <w:pStyle w:val="afourthlevel"/>
        <w:rPr>
          <w:u w:val="double"/>
        </w:rPr>
      </w:pPr>
      <w:r w:rsidRPr="00E7382B">
        <w:rPr>
          <w:u w:val="double"/>
        </w:rPr>
        <w:t>•</w:t>
      </w:r>
      <w:r w:rsidRPr="00E7382B">
        <w:rPr>
          <w:u w:val="double"/>
        </w:rPr>
        <w:tab/>
        <w:t>Test procedure</w:t>
      </w:r>
    </w:p>
    <w:p w14:paraId="1839E832" w14:textId="77777777" w:rsidR="009415D8" w:rsidRPr="00E7382B" w:rsidRDefault="009415D8" w:rsidP="009415D8">
      <w:pPr>
        <w:pStyle w:val="ififthlevellist"/>
        <w:rPr>
          <w:u w:val="double"/>
        </w:rPr>
      </w:pPr>
      <w:r w:rsidRPr="00E7382B">
        <w:rPr>
          <w:u w:val="double"/>
        </w:rPr>
        <w:t>a)</w:t>
      </w:r>
      <w:r w:rsidRPr="00E7382B">
        <w:rPr>
          <w:u w:val="double"/>
        </w:rPr>
        <w:tab/>
        <w:t>Mix the contents of two vaccine bottles with sterile double-distilled water to provide a volume equal to the volume before freeze-drying.</w:t>
      </w:r>
    </w:p>
    <w:p w14:paraId="008D882E" w14:textId="77777777" w:rsidR="009415D8" w:rsidRPr="00E7382B" w:rsidRDefault="009415D8" w:rsidP="009415D8">
      <w:pPr>
        <w:pStyle w:val="ififthlevellist"/>
        <w:rPr>
          <w:u w:val="double"/>
        </w:rPr>
      </w:pPr>
      <w:r w:rsidRPr="00E7382B">
        <w:rPr>
          <w:u w:val="double"/>
        </w:rPr>
        <w:t>b)</w:t>
      </w:r>
      <w:r w:rsidRPr="00E7382B">
        <w:rPr>
          <w:u w:val="double"/>
        </w:rPr>
        <w:tab/>
        <w:t>Make tenfold dilutions of the reconstituted vaccine in serum-free culture medium (0.5 ml of viral suspension + 4.5 ml of medium).</w:t>
      </w:r>
    </w:p>
    <w:p w14:paraId="50AE0129" w14:textId="77777777" w:rsidR="009415D8" w:rsidRPr="00E7382B" w:rsidRDefault="009415D8" w:rsidP="009415D8">
      <w:pPr>
        <w:pStyle w:val="ififthlevellist"/>
        <w:rPr>
          <w:u w:val="double"/>
        </w:rPr>
      </w:pPr>
      <w:r w:rsidRPr="00E7382B">
        <w:rPr>
          <w:u w:val="double"/>
        </w:rPr>
        <w:t>c)</w:t>
      </w:r>
      <w:r w:rsidRPr="00E7382B">
        <w:rPr>
          <w:u w:val="double"/>
        </w:rPr>
        <w:tab/>
        <w:t>Make two series of mixtures for virus dilutions from each bottle on a 96-well plate as follows:</w:t>
      </w:r>
    </w:p>
    <w:p w14:paraId="3E6F616E" w14:textId="77777777" w:rsidR="009415D8" w:rsidRPr="00E7382B" w:rsidRDefault="009415D8" w:rsidP="009415D8">
      <w:pPr>
        <w:pStyle w:val="ipara"/>
        <w:ind w:left="2268"/>
        <w:rPr>
          <w:u w:val="double"/>
        </w:rPr>
      </w:pPr>
      <w:r w:rsidRPr="00E7382B">
        <w:rPr>
          <w:u w:val="double"/>
        </w:rPr>
        <w:t xml:space="preserve">Series 1: </w:t>
      </w:r>
      <w:r w:rsidRPr="00E7382B">
        <w:rPr>
          <w:u w:val="double"/>
        </w:rPr>
        <w:tab/>
        <w:t>Dilutions of viral suspension:</w:t>
      </w:r>
      <w:r w:rsidRPr="00E7382B">
        <w:rPr>
          <w:u w:val="double"/>
        </w:rPr>
        <w:tab/>
        <w:t>–1</w:t>
      </w:r>
      <w:r w:rsidRPr="00E7382B">
        <w:rPr>
          <w:u w:val="double"/>
        </w:rPr>
        <w:tab/>
        <w:t>–2</w:t>
      </w:r>
      <w:r w:rsidRPr="00E7382B">
        <w:rPr>
          <w:u w:val="double"/>
        </w:rPr>
        <w:tab/>
        <w:t>–3</w:t>
      </w:r>
      <w:r w:rsidRPr="00E7382B">
        <w:rPr>
          <w:u w:val="double"/>
        </w:rPr>
        <w:tab/>
        <w:t>–4</w:t>
      </w:r>
      <w:r w:rsidRPr="00E7382B">
        <w:rPr>
          <w:u w:val="double"/>
        </w:rPr>
        <w:br/>
      </w:r>
      <w:r w:rsidRPr="00E7382B">
        <w:rPr>
          <w:u w:val="double"/>
        </w:rPr>
        <w:tab/>
      </w:r>
      <w:r w:rsidRPr="00E7382B">
        <w:rPr>
          <w:u w:val="double"/>
        </w:rPr>
        <w:tab/>
        <w:t>Viral suspension (in µl)</w:t>
      </w:r>
      <w:r w:rsidRPr="00E7382B">
        <w:rPr>
          <w:u w:val="double"/>
        </w:rPr>
        <w:tab/>
      </w:r>
      <w:r w:rsidRPr="00E7382B">
        <w:rPr>
          <w:u w:val="double"/>
        </w:rPr>
        <w:tab/>
        <w:t>50</w:t>
      </w:r>
      <w:r w:rsidRPr="00E7382B">
        <w:rPr>
          <w:u w:val="double"/>
        </w:rPr>
        <w:tab/>
        <w:t>50</w:t>
      </w:r>
      <w:r w:rsidRPr="00E7382B">
        <w:rPr>
          <w:u w:val="double"/>
        </w:rPr>
        <w:tab/>
        <w:t>50</w:t>
      </w:r>
      <w:r w:rsidRPr="00E7382B">
        <w:rPr>
          <w:u w:val="double"/>
        </w:rPr>
        <w:tab/>
        <w:t>50</w:t>
      </w:r>
      <w:r w:rsidRPr="00E7382B">
        <w:rPr>
          <w:u w:val="double"/>
        </w:rPr>
        <w:br/>
      </w:r>
      <w:r w:rsidRPr="00E7382B">
        <w:rPr>
          <w:u w:val="double"/>
        </w:rPr>
        <w:tab/>
      </w:r>
      <w:r w:rsidRPr="00E7382B">
        <w:rPr>
          <w:u w:val="double"/>
        </w:rPr>
        <w:tab/>
        <w:t>Culture medium (in µl)</w:t>
      </w:r>
      <w:r w:rsidRPr="00E7382B">
        <w:rPr>
          <w:u w:val="double"/>
        </w:rPr>
        <w:tab/>
      </w:r>
      <w:r w:rsidRPr="00E7382B">
        <w:rPr>
          <w:u w:val="double"/>
        </w:rPr>
        <w:tab/>
        <w:t>50</w:t>
      </w:r>
      <w:r w:rsidRPr="00E7382B">
        <w:rPr>
          <w:u w:val="double"/>
        </w:rPr>
        <w:tab/>
        <w:t>50</w:t>
      </w:r>
      <w:r w:rsidRPr="00E7382B">
        <w:rPr>
          <w:u w:val="double"/>
        </w:rPr>
        <w:tab/>
        <w:t>50</w:t>
      </w:r>
      <w:r w:rsidRPr="00E7382B">
        <w:rPr>
          <w:u w:val="double"/>
        </w:rPr>
        <w:tab/>
        <w:t>50</w:t>
      </w:r>
    </w:p>
    <w:p w14:paraId="51F98E9A" w14:textId="77777777" w:rsidR="009415D8" w:rsidRPr="00E7382B" w:rsidRDefault="009415D8" w:rsidP="009415D8">
      <w:pPr>
        <w:pStyle w:val="ipara"/>
        <w:ind w:left="2268"/>
        <w:rPr>
          <w:u w:val="double"/>
        </w:rPr>
      </w:pPr>
      <w:r w:rsidRPr="00E7382B">
        <w:rPr>
          <w:u w:val="double"/>
        </w:rPr>
        <w:t>Series 2:</w:t>
      </w:r>
      <w:r w:rsidRPr="00E7382B">
        <w:rPr>
          <w:u w:val="double"/>
        </w:rPr>
        <w:tab/>
        <w:t>Dilutions of viral suspension:</w:t>
      </w:r>
      <w:r w:rsidRPr="00E7382B">
        <w:rPr>
          <w:u w:val="double"/>
        </w:rPr>
        <w:tab/>
        <w:t>–1</w:t>
      </w:r>
      <w:r w:rsidRPr="00E7382B">
        <w:rPr>
          <w:u w:val="double"/>
        </w:rPr>
        <w:tab/>
        <w:t>–2</w:t>
      </w:r>
      <w:r w:rsidRPr="00E7382B">
        <w:rPr>
          <w:u w:val="double"/>
        </w:rPr>
        <w:tab/>
        <w:t>–3</w:t>
      </w:r>
      <w:r w:rsidRPr="00E7382B">
        <w:rPr>
          <w:u w:val="double"/>
        </w:rPr>
        <w:tab/>
        <w:t>–4</w:t>
      </w:r>
      <w:r w:rsidRPr="00E7382B">
        <w:rPr>
          <w:u w:val="double"/>
        </w:rPr>
        <w:br/>
      </w:r>
      <w:r w:rsidRPr="00E7382B">
        <w:rPr>
          <w:u w:val="double"/>
        </w:rPr>
        <w:tab/>
      </w:r>
      <w:r w:rsidRPr="00E7382B">
        <w:rPr>
          <w:u w:val="double"/>
        </w:rPr>
        <w:tab/>
        <w:t>Viral suspension (in µl)</w:t>
      </w:r>
      <w:r w:rsidRPr="00E7382B">
        <w:rPr>
          <w:u w:val="double"/>
        </w:rPr>
        <w:tab/>
      </w:r>
      <w:r w:rsidRPr="00E7382B">
        <w:rPr>
          <w:u w:val="double"/>
        </w:rPr>
        <w:tab/>
        <w:t>50</w:t>
      </w:r>
      <w:r w:rsidRPr="00E7382B">
        <w:rPr>
          <w:u w:val="double"/>
        </w:rPr>
        <w:tab/>
        <w:t>50</w:t>
      </w:r>
      <w:r w:rsidRPr="00E7382B">
        <w:rPr>
          <w:u w:val="double"/>
        </w:rPr>
        <w:tab/>
        <w:t>50</w:t>
      </w:r>
      <w:r w:rsidRPr="00E7382B">
        <w:rPr>
          <w:u w:val="double"/>
        </w:rPr>
        <w:tab/>
        <w:t>50</w:t>
      </w:r>
      <w:r w:rsidRPr="00E7382B">
        <w:rPr>
          <w:u w:val="double"/>
        </w:rPr>
        <w:br/>
      </w:r>
      <w:r w:rsidRPr="00E7382B">
        <w:rPr>
          <w:u w:val="double"/>
        </w:rPr>
        <w:tab/>
      </w:r>
      <w:r w:rsidRPr="00E7382B">
        <w:rPr>
          <w:u w:val="double"/>
        </w:rPr>
        <w:tab/>
        <w:t>PPR antiserum (in µl)</w:t>
      </w:r>
      <w:r w:rsidRPr="00E7382B">
        <w:rPr>
          <w:u w:val="double"/>
        </w:rPr>
        <w:tab/>
      </w:r>
      <w:r w:rsidRPr="00E7382B">
        <w:rPr>
          <w:u w:val="double"/>
        </w:rPr>
        <w:tab/>
        <w:t>50</w:t>
      </w:r>
      <w:r w:rsidRPr="00E7382B">
        <w:rPr>
          <w:u w:val="double"/>
        </w:rPr>
        <w:tab/>
        <w:t>50</w:t>
      </w:r>
      <w:r w:rsidRPr="00E7382B">
        <w:rPr>
          <w:u w:val="double"/>
        </w:rPr>
        <w:tab/>
        <w:t>50</w:t>
      </w:r>
      <w:r w:rsidRPr="00E7382B">
        <w:rPr>
          <w:u w:val="double"/>
        </w:rPr>
        <w:tab/>
        <w:t>50</w:t>
      </w:r>
    </w:p>
    <w:p w14:paraId="6DE09B62" w14:textId="77777777" w:rsidR="009415D8" w:rsidRPr="00E7382B" w:rsidRDefault="009415D8" w:rsidP="009415D8">
      <w:pPr>
        <w:pStyle w:val="ififthpara"/>
        <w:rPr>
          <w:u w:val="double"/>
        </w:rPr>
      </w:pPr>
      <w:r w:rsidRPr="00E7382B">
        <w:rPr>
          <w:u w:val="double"/>
        </w:rPr>
        <w:t>(</w:t>
      </w:r>
      <w:r w:rsidRPr="00E7382B">
        <w:rPr>
          <w:b/>
          <w:u w:val="double"/>
        </w:rPr>
        <w:t xml:space="preserve">Note: </w:t>
      </w:r>
      <w:r w:rsidRPr="00E7382B">
        <w:rPr>
          <w:u w:val="double"/>
        </w:rPr>
        <w:t>PPR antiserum used for this purpose is prepared in goats and freeze-dried. It is reconstituted with 1 ml of sterile double-distilled water in a dilution of 1/10.)</w:t>
      </w:r>
    </w:p>
    <w:p w14:paraId="5CB5FEF4" w14:textId="77777777" w:rsidR="009415D8" w:rsidRPr="00E7382B" w:rsidRDefault="009415D8" w:rsidP="009415D8">
      <w:pPr>
        <w:pStyle w:val="ififthlevellist"/>
        <w:rPr>
          <w:u w:val="double"/>
        </w:rPr>
      </w:pPr>
      <w:r w:rsidRPr="00E7382B">
        <w:rPr>
          <w:u w:val="double"/>
        </w:rPr>
        <w:lastRenderedPageBreak/>
        <w:t>d)</w:t>
      </w:r>
      <w:r w:rsidRPr="00E7382B">
        <w:rPr>
          <w:u w:val="double"/>
        </w:rPr>
        <w:tab/>
        <w:t>Incubate the mixtures at 37°C for 1 hour</w:t>
      </w:r>
    </w:p>
    <w:p w14:paraId="4D02B653" w14:textId="77777777" w:rsidR="009415D8" w:rsidRPr="00E7382B" w:rsidRDefault="009415D8" w:rsidP="009415D8">
      <w:pPr>
        <w:pStyle w:val="ififthlevellist"/>
        <w:rPr>
          <w:u w:val="double"/>
        </w:rPr>
      </w:pPr>
      <w:r w:rsidRPr="00E7382B">
        <w:rPr>
          <w:u w:val="double"/>
        </w:rPr>
        <w:t>e)</w:t>
      </w:r>
      <w:r w:rsidRPr="00E7382B">
        <w:rPr>
          <w:u w:val="double"/>
        </w:rPr>
        <w:tab/>
        <w:t>Add to each well 100 µl of cells suspended in complete culture medium (30,000 cells/well).</w:t>
      </w:r>
    </w:p>
    <w:p w14:paraId="7C196644" w14:textId="77777777" w:rsidR="009415D8" w:rsidRPr="00E7382B" w:rsidRDefault="009415D8" w:rsidP="009415D8">
      <w:pPr>
        <w:pStyle w:val="ififthlevellist"/>
        <w:rPr>
          <w:u w:val="double"/>
        </w:rPr>
      </w:pPr>
      <w:r w:rsidRPr="00E7382B">
        <w:rPr>
          <w:u w:val="double"/>
        </w:rPr>
        <w:t>f)</w:t>
      </w:r>
      <w:r w:rsidRPr="00E7382B">
        <w:rPr>
          <w:u w:val="double"/>
        </w:rPr>
        <w:tab/>
        <w:t>Incubate the microplate at 37°C in the presence of CO</w:t>
      </w:r>
      <w:r w:rsidRPr="00E7382B">
        <w:rPr>
          <w:u w:val="double"/>
          <w:vertAlign w:val="subscript"/>
        </w:rPr>
        <w:t>2</w:t>
      </w:r>
      <w:r w:rsidRPr="00E7382B">
        <w:rPr>
          <w:u w:val="double"/>
        </w:rPr>
        <w:t>.</w:t>
      </w:r>
    </w:p>
    <w:p w14:paraId="75752FEB" w14:textId="781AC7A7" w:rsidR="009415D8" w:rsidRPr="00E7382B" w:rsidRDefault="009415D8" w:rsidP="009415D8">
      <w:pPr>
        <w:pStyle w:val="ififthlevellist"/>
        <w:rPr>
          <w:u w:val="double"/>
        </w:rPr>
      </w:pPr>
      <w:r w:rsidRPr="00E7382B">
        <w:rPr>
          <w:u w:val="double"/>
        </w:rPr>
        <w:t>g)</w:t>
      </w:r>
      <w:r w:rsidRPr="00E7382B">
        <w:rPr>
          <w:u w:val="double"/>
        </w:rPr>
        <w:tab/>
      </w:r>
      <w:r w:rsidRPr="00333374">
        <w:rPr>
          <w:u w:val="double"/>
        </w:rPr>
        <w:t xml:space="preserve">Read </w:t>
      </w:r>
      <w:r w:rsidRPr="00E7382B">
        <w:rPr>
          <w:u w:val="double"/>
        </w:rPr>
        <w:t>the plate after 7–10 days of incubation.</w:t>
      </w:r>
    </w:p>
    <w:p w14:paraId="2BBC35E5" w14:textId="77777777" w:rsidR="009415D8" w:rsidRPr="00E7382B" w:rsidRDefault="009415D8" w:rsidP="009415D8">
      <w:pPr>
        <w:pStyle w:val="afourthpara"/>
        <w:rPr>
          <w:u w:val="double"/>
        </w:rPr>
      </w:pPr>
      <w:r w:rsidRPr="00E7382B">
        <w:rPr>
          <w:u w:val="double"/>
        </w:rPr>
        <w:t>Normally CPE is present only in the wells containing cells infected with the mixture of virus and culture me</w:t>
      </w:r>
      <w:bookmarkStart w:id="0" w:name="_GoBack"/>
      <w:bookmarkEnd w:id="0"/>
      <w:r w:rsidRPr="00E7382B">
        <w:rPr>
          <w:u w:val="double"/>
        </w:rPr>
        <w:t xml:space="preserve">dium. If it is detected in the wells of Series 2, it will be necessary to identify PPRV by immunofluorescence, using a PPR </w:t>
      </w:r>
      <w:proofErr w:type="spellStart"/>
      <w:r w:rsidRPr="00E7382B">
        <w:rPr>
          <w:u w:val="double"/>
        </w:rPr>
        <w:t>MAb</w:t>
      </w:r>
      <w:proofErr w:type="spellEnd"/>
      <w:r w:rsidRPr="00E7382B">
        <w:rPr>
          <w:u w:val="double"/>
        </w:rPr>
        <w:t xml:space="preserve">, or by immunocapture ELISA (using the commercially available kit). If this identification confirms the presence of PPRV, the PPR antiserum used must have been too weak, or the batch must be changed. If immunofluorescence or immunocapture is negative, or if repeating the test with a new PPRV antiserum gives the same result, a viral contaminant must be present, and the material under test must be destroyed. </w:t>
      </w:r>
    </w:p>
    <w:p w14:paraId="30D05960" w14:textId="215FCEFE" w:rsidR="005474BA" w:rsidRPr="00934626" w:rsidRDefault="00B203FB" w:rsidP="00B203FB">
      <w:pPr>
        <w:pStyle w:val="111"/>
      </w:pPr>
      <w:r>
        <w:t>2.2.3</w:t>
      </w:r>
      <w:r>
        <w:tab/>
      </w:r>
      <w:r w:rsidR="007D26C1">
        <w:t>Manufacturing p</w:t>
      </w:r>
      <w:r w:rsidR="005474BA" w:rsidRPr="00934626">
        <w:t>rocedure</w:t>
      </w:r>
    </w:p>
    <w:p w14:paraId="22030359" w14:textId="42DE938C" w:rsidR="0046212A" w:rsidRPr="00E7382B" w:rsidRDefault="0046212A" w:rsidP="0046212A">
      <w:pPr>
        <w:pStyle w:val="11Para"/>
        <w:ind w:left="1418"/>
        <w:rPr>
          <w:u w:val="double"/>
        </w:rPr>
      </w:pPr>
      <w:r w:rsidRPr="00E7382B">
        <w:rPr>
          <w:u w:val="double"/>
        </w:rPr>
        <w:t>A protocol for the production and validation of vaccine from master seeds of the available attenuated PPRV strains is described here. Other protocols for the production of commercial stocks of the vaccine may be used as long as the essential criteria are observed and the final product is appropriately validated.</w:t>
      </w:r>
    </w:p>
    <w:p w14:paraId="34F00C17" w14:textId="1377B980" w:rsidR="0046212A" w:rsidRPr="00E7382B" w:rsidRDefault="0046212A" w:rsidP="008A4B5A">
      <w:pPr>
        <w:pStyle w:val="afourthlevel"/>
        <w:rPr>
          <w:u w:val="double"/>
        </w:rPr>
      </w:pPr>
      <w:r w:rsidRPr="00E7382B">
        <w:rPr>
          <w:u w:val="double"/>
        </w:rPr>
        <w:t>Essential criteria:</w:t>
      </w:r>
    </w:p>
    <w:p w14:paraId="73142BBA" w14:textId="2F716C77" w:rsidR="0046212A" w:rsidRPr="00E7382B" w:rsidRDefault="008A4B5A" w:rsidP="008A4B5A">
      <w:pPr>
        <w:pStyle w:val="i"/>
        <w:rPr>
          <w:u w:val="double"/>
        </w:rPr>
      </w:pPr>
      <w:proofErr w:type="spellStart"/>
      <w:r w:rsidRPr="00E7382B">
        <w:rPr>
          <w:u w:val="double"/>
        </w:rPr>
        <w:t>i</w:t>
      </w:r>
      <w:proofErr w:type="spellEnd"/>
      <w:r w:rsidRPr="00E7382B">
        <w:rPr>
          <w:u w:val="double"/>
        </w:rPr>
        <w:t>)</w:t>
      </w:r>
      <w:r w:rsidRPr="00E7382B">
        <w:rPr>
          <w:u w:val="double"/>
        </w:rPr>
        <w:tab/>
        <w:t xml:space="preserve">The </w:t>
      </w:r>
      <w:r w:rsidR="0046212A" w:rsidRPr="00E7382B">
        <w:rPr>
          <w:u w:val="double"/>
        </w:rPr>
        <w:t>master seed stock should have a known and documented history and be shown to be free of contaminating pathogens</w:t>
      </w:r>
      <w:r w:rsidR="00BC5265">
        <w:rPr>
          <w:u w:val="double"/>
        </w:rPr>
        <w:t>.</w:t>
      </w:r>
    </w:p>
    <w:p w14:paraId="221F0871" w14:textId="55B97A04" w:rsidR="0046212A" w:rsidRPr="00E7382B" w:rsidRDefault="0046212A" w:rsidP="008A4B5A">
      <w:pPr>
        <w:pStyle w:val="i"/>
        <w:rPr>
          <w:u w:val="double"/>
        </w:rPr>
      </w:pPr>
      <w:r w:rsidRPr="00E7382B">
        <w:rPr>
          <w:u w:val="double"/>
        </w:rPr>
        <w:t>ii)</w:t>
      </w:r>
      <w:r w:rsidR="008A4B5A" w:rsidRPr="00E7382B">
        <w:rPr>
          <w:u w:val="double"/>
        </w:rPr>
        <w:tab/>
      </w:r>
      <w:r w:rsidRPr="00E7382B">
        <w:rPr>
          <w:u w:val="double"/>
        </w:rPr>
        <w:t>The virus should be grown at all stages in the same cell line as that used to produce the master seed, since passage in a different cell line is likely to lead to the accumulation of sequence changes in the vaccine, changes which may have effects on the vaccine properties.</w:t>
      </w:r>
    </w:p>
    <w:p w14:paraId="3C80FBF8" w14:textId="1C22B5EB" w:rsidR="00940C5E" w:rsidRPr="00E7382B" w:rsidRDefault="008A4B5A" w:rsidP="008A4B5A">
      <w:pPr>
        <w:pStyle w:val="i"/>
        <w:rPr>
          <w:u w:val="double"/>
        </w:rPr>
      </w:pPr>
      <w:r w:rsidRPr="00E7382B">
        <w:rPr>
          <w:u w:val="double"/>
        </w:rPr>
        <w:t>iii)</w:t>
      </w:r>
      <w:r w:rsidRPr="00E7382B">
        <w:rPr>
          <w:u w:val="double"/>
        </w:rPr>
        <w:tab/>
      </w:r>
      <w:r w:rsidR="0046212A" w:rsidRPr="00E7382B">
        <w:rPr>
          <w:u w:val="double"/>
        </w:rPr>
        <w:t>The master seed must not be passed more than 10 times for the production of final vaccine batches.</w:t>
      </w:r>
    </w:p>
    <w:p w14:paraId="449C79A5" w14:textId="750F5D5B" w:rsidR="00940C5E" w:rsidRPr="00E7382B" w:rsidRDefault="008A4B5A" w:rsidP="00DF37B3">
      <w:pPr>
        <w:pStyle w:val="i"/>
        <w:spacing w:after="240"/>
        <w:rPr>
          <w:u w:val="double"/>
        </w:rPr>
      </w:pPr>
      <w:r w:rsidRPr="00E7382B">
        <w:rPr>
          <w:u w:val="double"/>
        </w:rPr>
        <w:t>iv)</w:t>
      </w:r>
      <w:r w:rsidRPr="00E7382B">
        <w:rPr>
          <w:u w:val="double"/>
        </w:rPr>
        <w:tab/>
      </w:r>
      <w:r w:rsidR="00940C5E" w:rsidRPr="00E7382B">
        <w:rPr>
          <w:u w:val="double"/>
        </w:rPr>
        <w:t>Sterility and potency tests must be carried out</w:t>
      </w:r>
      <w:r w:rsidR="00E95B58" w:rsidRPr="00E7382B">
        <w:rPr>
          <w:u w:val="double"/>
        </w:rPr>
        <w:t xml:space="preserve"> on the product </w:t>
      </w:r>
      <w:r w:rsidR="00940C5E" w:rsidRPr="00E7382B">
        <w:rPr>
          <w:u w:val="double"/>
        </w:rPr>
        <w:t>and fully documented</w:t>
      </w:r>
      <w:r w:rsidR="00E7382B">
        <w:rPr>
          <w:u w:val="double"/>
        </w:rPr>
        <w:t>.</w:t>
      </w:r>
    </w:p>
    <w:p w14:paraId="44017577" w14:textId="4F1A6416" w:rsidR="005474BA" w:rsidRPr="00934626" w:rsidRDefault="005474BA" w:rsidP="00E13B8E">
      <w:pPr>
        <w:pStyle w:val="111Para"/>
      </w:pPr>
      <w:r w:rsidRPr="00934626">
        <w:t xml:space="preserve">Once the manufacturer has received samples from an institution holding the PPRV vaccine </w:t>
      </w:r>
      <w:r w:rsidRPr="00E7382B">
        <w:rPr>
          <w:strike/>
        </w:rPr>
        <w:t xml:space="preserve">bank </w:t>
      </w:r>
      <w:r w:rsidR="00EE4B61" w:rsidRPr="00E7382B">
        <w:rPr>
          <w:u w:val="double"/>
        </w:rPr>
        <w:t>seed</w:t>
      </w:r>
      <w:r w:rsidR="00EE4B61" w:rsidRPr="00934626">
        <w:t xml:space="preserve"> </w:t>
      </w:r>
      <w:r w:rsidRPr="00934626">
        <w:t xml:space="preserve">– the master seed – it </w:t>
      </w:r>
      <w:r w:rsidRPr="00E7382B">
        <w:rPr>
          <w:strike/>
        </w:rPr>
        <w:t xml:space="preserve">must </w:t>
      </w:r>
      <w:r w:rsidR="0046212A" w:rsidRPr="00E7382B">
        <w:rPr>
          <w:u w:val="double"/>
        </w:rPr>
        <w:t>should</w:t>
      </w:r>
      <w:r w:rsidR="0046212A" w:rsidRPr="00934626">
        <w:t xml:space="preserve"> </w:t>
      </w:r>
      <w:r w:rsidRPr="00934626">
        <w:t xml:space="preserve">prepare primary and secondary working seed batches. The production seed batch, from which the final vaccine is produced, is prepared from the secondary working seed. By preparing primary and secondary working seeds, the need to carry out a large number of passages </w:t>
      </w:r>
      <w:r w:rsidRPr="00E7382B">
        <w:rPr>
          <w:strike/>
        </w:rPr>
        <w:t xml:space="preserve">after </w:t>
      </w:r>
      <w:r w:rsidR="00EE4B61" w:rsidRPr="00E7382B">
        <w:rPr>
          <w:u w:val="double"/>
        </w:rPr>
        <w:t>from</w:t>
      </w:r>
      <w:r w:rsidR="00EE4B61" w:rsidRPr="00934626">
        <w:t xml:space="preserve"> </w:t>
      </w:r>
      <w:r w:rsidRPr="00934626">
        <w:t xml:space="preserve">the master seed is avoided </w:t>
      </w:r>
      <w:r w:rsidRPr="00E7382B">
        <w:rPr>
          <w:strike/>
        </w:rPr>
        <w:t>for the vaccine production</w:t>
      </w:r>
      <w:r w:rsidRPr="00934626">
        <w:t xml:space="preserve">. In this way, it is possible to comply with </w:t>
      </w:r>
      <w:r w:rsidRPr="00E7382B">
        <w:rPr>
          <w:strike/>
        </w:rPr>
        <w:t>one of</w:t>
      </w:r>
      <w:r w:rsidRPr="00934626">
        <w:t xml:space="preserve"> the OIE recommendation</w:t>
      </w:r>
      <w:r w:rsidRPr="00E7382B">
        <w:rPr>
          <w:strike/>
        </w:rPr>
        <w:t>s:</w:t>
      </w:r>
      <w:r w:rsidR="00EE4B61" w:rsidRPr="00E7382B">
        <w:rPr>
          <w:u w:val="double"/>
        </w:rPr>
        <w:t xml:space="preserve"> of no more than</w:t>
      </w:r>
      <w:r w:rsidRPr="00934626">
        <w:t xml:space="preserve"> 5–10</w:t>
      </w:r>
      <w:r w:rsidR="00DF37B3">
        <w:t> </w:t>
      </w:r>
      <w:r w:rsidRPr="00934626">
        <w:t xml:space="preserve">passages </w:t>
      </w:r>
      <w:r w:rsidRPr="00E7382B">
        <w:rPr>
          <w:strike/>
        </w:rPr>
        <w:t xml:space="preserve">maximum </w:t>
      </w:r>
      <w:r w:rsidRPr="00934626">
        <w:t>after the master seed (see chapter 1.1.</w:t>
      </w:r>
      <w:r w:rsidR="00ED47BC" w:rsidRPr="00934626">
        <w:t>8</w:t>
      </w:r>
      <w:r w:rsidR="00EE4B61">
        <w:t xml:space="preserve"> </w:t>
      </w:r>
      <w:r w:rsidR="00EE4B61">
        <w:rPr>
          <w:i/>
        </w:rPr>
        <w:t>Principles of veterinary vaccine production</w:t>
      </w:r>
      <w:r w:rsidRPr="00934626">
        <w:t>)</w:t>
      </w:r>
      <w:r w:rsidR="00D27553" w:rsidRPr="00934626">
        <w:t>.</w:t>
      </w:r>
      <w:r w:rsidRPr="00934626">
        <w:t xml:space="preserve"> </w:t>
      </w:r>
    </w:p>
    <w:p w14:paraId="07043BE9" w14:textId="77777777" w:rsidR="00ED47BC" w:rsidRPr="00934626" w:rsidRDefault="00ED47BC" w:rsidP="00E13B8E">
      <w:pPr>
        <w:pStyle w:val="i"/>
      </w:pPr>
      <w:proofErr w:type="spellStart"/>
      <w:r w:rsidRPr="00934626">
        <w:t>i</w:t>
      </w:r>
      <w:proofErr w:type="spellEnd"/>
      <w:r w:rsidR="005474BA" w:rsidRPr="00934626">
        <w:t>)</w:t>
      </w:r>
      <w:r w:rsidR="005474BA" w:rsidRPr="00934626">
        <w:tab/>
        <w:t>Primary and secondary working seed batches</w:t>
      </w:r>
    </w:p>
    <w:p w14:paraId="487B1FC7" w14:textId="314F7E83" w:rsidR="005474BA" w:rsidRPr="00934626" w:rsidRDefault="005474BA" w:rsidP="00E13B8E">
      <w:pPr>
        <w:pStyle w:val="afourthpara"/>
      </w:pPr>
      <w:r w:rsidRPr="00934626">
        <w:t>When preparing primary and secondary working seed batches it is important to avoid infecting the cells with high doses of virus (high multiplicity of infection</w:t>
      </w:r>
      <w:r w:rsidR="008317F2" w:rsidRPr="00934626">
        <w:t xml:space="preserve"> [</w:t>
      </w:r>
      <w:proofErr w:type="spellStart"/>
      <w:r w:rsidR="008317F2" w:rsidRPr="00934626">
        <w:t>m.o.i</w:t>
      </w:r>
      <w:proofErr w:type="spellEnd"/>
      <w:r w:rsidR="008317F2" w:rsidRPr="00934626">
        <w:t>.]</w:t>
      </w:r>
      <w:r w:rsidRPr="00934626">
        <w:t xml:space="preserve">), as this will lead to the accumulation of defective particles in the viral suspension produced, which will diminish the titre of subsequent products. On the other hand, very </w:t>
      </w:r>
      <w:r w:rsidR="00F92617" w:rsidRPr="00934626">
        <w:t>low</w:t>
      </w:r>
      <w:r w:rsidR="00FE560F" w:rsidRPr="00934626">
        <w:t xml:space="preserve"> </w:t>
      </w:r>
      <w:proofErr w:type="spellStart"/>
      <w:r w:rsidR="008317F2" w:rsidRPr="00934626">
        <w:t>m.o.i</w:t>
      </w:r>
      <w:proofErr w:type="spellEnd"/>
      <w:r w:rsidR="008317F2" w:rsidRPr="00934626">
        <w:t xml:space="preserve">. </w:t>
      </w:r>
      <w:r w:rsidRPr="00934626">
        <w:t>(e.g. 0.0001) will prolong the culture time.</w:t>
      </w:r>
      <w:r w:rsidR="000331E1" w:rsidRPr="00934626">
        <w:t xml:space="preserve"> The manufacturer is responsible for optimising production work flow for their own cells and culture medium; as a guide, infections at each stage</w:t>
      </w:r>
      <w:r w:rsidR="00923ABB" w:rsidRPr="00934626">
        <w:t xml:space="preserve"> should be at a </w:t>
      </w:r>
      <w:proofErr w:type="spellStart"/>
      <w:r w:rsidR="00923ABB" w:rsidRPr="00934626">
        <w:t>m.o.i</w:t>
      </w:r>
      <w:proofErr w:type="spellEnd"/>
      <w:r w:rsidR="00923ABB" w:rsidRPr="00934626">
        <w:t>. of 0.001</w:t>
      </w:r>
      <w:r w:rsidR="000331E1" w:rsidRPr="00934626">
        <w:t>–0.01.</w:t>
      </w:r>
    </w:p>
    <w:p w14:paraId="367EEFBB" w14:textId="721209CA" w:rsidR="005474BA" w:rsidRPr="00E7382B" w:rsidRDefault="005474BA" w:rsidP="00E13B8E">
      <w:pPr>
        <w:pStyle w:val="afourthpara"/>
        <w:rPr>
          <w:u w:val="double"/>
        </w:rPr>
      </w:pPr>
      <w:r w:rsidRPr="00934626">
        <w:t>The freeze-dried contents of a flask from the master seed are reconstituted with 2 ml of</w:t>
      </w:r>
      <w:r w:rsidR="006F067D" w:rsidRPr="00934626">
        <w:t xml:space="preserve"> </w:t>
      </w:r>
      <w:r w:rsidRPr="00934626">
        <w:t xml:space="preserve">cell culture medium without serum. This liquid is mixed with Vero cells </w:t>
      </w:r>
      <w:r w:rsidR="004F7628">
        <w:t>(</w:t>
      </w:r>
      <w:r w:rsidRPr="00934626">
        <w:t>if the vaccine is produced on Vero cells</w:t>
      </w:r>
      <w:r w:rsidR="004F7628">
        <w:t>)</w:t>
      </w:r>
      <w:r w:rsidRPr="00934626">
        <w:t>, suspended in complete culture medium to provide at least 0.001</w:t>
      </w:r>
      <w:r w:rsidR="00691961">
        <w:t> </w:t>
      </w:r>
      <w:r w:rsidRPr="00934626">
        <w:t>TCID</w:t>
      </w:r>
      <w:r w:rsidRPr="00934626">
        <w:rPr>
          <w:vertAlign w:val="subscript"/>
        </w:rPr>
        <w:t>50</w:t>
      </w:r>
      <w:r w:rsidRPr="00934626">
        <w:t xml:space="preserve"> per cell. Cell culture</w:t>
      </w:r>
      <w:r w:rsidR="006F067D" w:rsidRPr="00934626">
        <w:t xml:space="preserve"> </w:t>
      </w:r>
      <w:r w:rsidRPr="00934626">
        <w:t>flasks are filled with this virus/cell mixture (around 2 × 10</w:t>
      </w:r>
      <w:r w:rsidRPr="00934626">
        <w:rPr>
          <w:vertAlign w:val="superscript"/>
        </w:rPr>
        <w:t>7</w:t>
      </w:r>
      <w:r w:rsidR="00A66B49" w:rsidRPr="00934626">
        <w:t> </w:t>
      </w:r>
      <w:r w:rsidRPr="00934626">
        <w:t>Vero cells in a 175 cm</w:t>
      </w:r>
      <w:r w:rsidRPr="00934626">
        <w:rPr>
          <w:vertAlign w:val="superscript"/>
        </w:rPr>
        <w:t>2</w:t>
      </w:r>
      <w:r w:rsidR="006F067D" w:rsidRPr="00934626">
        <w:t xml:space="preserve"> </w:t>
      </w:r>
      <w:r w:rsidRPr="00934626">
        <w:t>flask), and are incubated at 37°C. The cultured cells are examined regularly to detect CPE. The medium is renewed every 2 days, reducing the proportion of serum to 2% once the cell monolayer is complete. Virus</w:t>
      </w:r>
      <w:r w:rsidR="004F7628" w:rsidRPr="00E7382B">
        <w:t xml:space="preserve"> </w:t>
      </w:r>
      <w:r w:rsidR="004F7628" w:rsidRPr="00E7382B">
        <w:rPr>
          <w:u w:val="double"/>
        </w:rPr>
        <w:t>(the cell culture medium over the cells)</w:t>
      </w:r>
      <w:r w:rsidRPr="00934626">
        <w:t xml:space="preserve"> is first harvested when there is 40–50% CPE. This viral suspension is stored at –70°C. Successive harvesting is carried out every 2 days until the CPE reaches 70–80%, </w:t>
      </w:r>
      <w:r w:rsidR="004F7628" w:rsidRPr="00E7382B">
        <w:rPr>
          <w:u w:val="double"/>
        </w:rPr>
        <w:t>at</w:t>
      </w:r>
      <w:r w:rsidR="004F7628" w:rsidRPr="00E7382B">
        <w:t xml:space="preserve"> </w:t>
      </w:r>
      <w:r w:rsidRPr="00934626">
        <w:t xml:space="preserve">which </w:t>
      </w:r>
      <w:r w:rsidR="004F7628" w:rsidRPr="00E7382B">
        <w:rPr>
          <w:u w:val="double"/>
        </w:rPr>
        <w:t>point</w:t>
      </w:r>
      <w:r w:rsidR="004F7628" w:rsidRPr="00E7382B">
        <w:t xml:space="preserve"> </w:t>
      </w:r>
      <w:r w:rsidRPr="00E7382B">
        <w:rPr>
          <w:strike/>
        </w:rPr>
        <w:t xml:space="preserve">is the time for final freezing of </w:t>
      </w:r>
      <w:r w:rsidRPr="00934626">
        <w:t>the culture</w:t>
      </w:r>
      <w:r w:rsidR="006F067D" w:rsidRPr="00934626">
        <w:t xml:space="preserve"> </w:t>
      </w:r>
      <w:r w:rsidRPr="00934626">
        <w:t>flasks</w:t>
      </w:r>
      <w:r w:rsidR="004F7628" w:rsidRPr="00E7382B">
        <w:rPr>
          <w:u w:val="double"/>
        </w:rPr>
        <w:t xml:space="preserve"> are frozen at –70°C.</w:t>
      </w:r>
      <w:r w:rsidRPr="00934626">
        <w:t xml:space="preserve"> </w:t>
      </w:r>
      <w:r w:rsidR="004F7628">
        <w:t>I</w:t>
      </w:r>
      <w:r w:rsidRPr="00934626">
        <w:t xml:space="preserve">n general, at least two further harvestings can be made before final freezing of the culture flasks. All suspensions of virus </w:t>
      </w:r>
      <w:r w:rsidRPr="00934626">
        <w:lastRenderedPageBreak/>
        <w:t xml:space="preserve">collected are submitted to two freeze–thaw cycles, then </w:t>
      </w:r>
      <w:r w:rsidR="0089158D" w:rsidRPr="00934626">
        <w:t>pooled</w:t>
      </w:r>
      <w:r w:rsidRPr="00934626">
        <w:t xml:space="preserve"> to form a single batch, which serves as the working seed batch. </w:t>
      </w:r>
      <w:r w:rsidR="0046212A" w:rsidRPr="00E7382B">
        <w:rPr>
          <w:u w:val="double"/>
        </w:rPr>
        <w:t>The suspension of virus may be clarified by low speed centrifugation (</w:t>
      </w:r>
      <w:r w:rsidR="00940C5E" w:rsidRPr="00E7382B">
        <w:rPr>
          <w:u w:val="double"/>
        </w:rPr>
        <w:t xml:space="preserve">e.g. </w:t>
      </w:r>
      <w:r w:rsidR="0046212A" w:rsidRPr="00E7382B">
        <w:rPr>
          <w:u w:val="double"/>
        </w:rPr>
        <w:t xml:space="preserve">5 mins at </w:t>
      </w:r>
      <w:r w:rsidR="00940C5E" w:rsidRPr="00E7382B">
        <w:rPr>
          <w:u w:val="double"/>
        </w:rPr>
        <w:t>1250</w:t>
      </w:r>
      <w:r w:rsidR="00DF37B3" w:rsidRPr="00E7382B">
        <w:rPr>
          <w:u w:val="double"/>
        </w:rPr>
        <w:t xml:space="preserve"> </w:t>
      </w:r>
      <w:r w:rsidR="00940C5E" w:rsidRPr="00E7382B">
        <w:rPr>
          <w:b/>
          <w:i/>
          <w:u w:val="double"/>
        </w:rPr>
        <w:t>g</w:t>
      </w:r>
      <w:r w:rsidR="0046212A" w:rsidRPr="00E7382B">
        <w:rPr>
          <w:u w:val="double"/>
        </w:rPr>
        <w:t xml:space="preserve">) to remove cell debris. </w:t>
      </w:r>
      <w:r w:rsidRPr="00E7382B">
        <w:rPr>
          <w:u w:val="double"/>
        </w:rPr>
        <w:t>Th</w:t>
      </w:r>
      <w:r w:rsidR="0046212A" w:rsidRPr="00E7382B">
        <w:rPr>
          <w:u w:val="double"/>
        </w:rPr>
        <w:t>e working seed batch</w:t>
      </w:r>
      <w:r w:rsidRPr="00934626">
        <w:t xml:space="preserve"> </w:t>
      </w:r>
      <w:r w:rsidR="00E7382B" w:rsidRPr="00E7382B">
        <w:rPr>
          <w:strike/>
        </w:rPr>
        <w:t xml:space="preserve">This </w:t>
      </w:r>
      <w:r w:rsidR="00E7382B">
        <w:t xml:space="preserve">is </w:t>
      </w:r>
      <w:r w:rsidRPr="00934626">
        <w:t xml:space="preserve">divided into small volumes in bottles and stored at –70°C. The contents of five </w:t>
      </w:r>
      <w:r w:rsidR="00EE7FFD" w:rsidRPr="00934626">
        <w:t>of these bottles</w:t>
      </w:r>
      <w:r w:rsidRPr="00934626">
        <w:t xml:space="preserve"> are thawed and titrated (minimum titre required: 10</w:t>
      </w:r>
      <w:r w:rsidRPr="00934626">
        <w:rPr>
          <w:vertAlign w:val="superscript"/>
        </w:rPr>
        <w:t>5</w:t>
      </w:r>
      <w:r w:rsidRPr="00934626">
        <w:t xml:space="preserve"> TCID</w:t>
      </w:r>
      <w:r w:rsidRPr="00934626">
        <w:rPr>
          <w:vertAlign w:val="subscript"/>
        </w:rPr>
        <w:t>50</w:t>
      </w:r>
      <w:r w:rsidRPr="00934626">
        <w:t xml:space="preserve">/ml). It is best to freeze-dry this </w:t>
      </w:r>
      <w:r w:rsidR="00171EB1" w:rsidRPr="00E7382B">
        <w:rPr>
          <w:u w:val="double"/>
        </w:rPr>
        <w:t>primary working</w:t>
      </w:r>
      <w:r w:rsidR="00171EB1">
        <w:t xml:space="preserve"> </w:t>
      </w:r>
      <w:r w:rsidRPr="00934626">
        <w:t>seed in order to store it at –20°C. In this case it will be necessary to titrate the freeze-dried virus (five bottles). A batch made up in this way must pass all tests for sterility.</w:t>
      </w:r>
    </w:p>
    <w:p w14:paraId="485CE4AA" w14:textId="119D507D" w:rsidR="004F7628" w:rsidRPr="00934626" w:rsidRDefault="00171EB1" w:rsidP="00E13B8E">
      <w:pPr>
        <w:pStyle w:val="afourthpara"/>
      </w:pPr>
      <w:r w:rsidRPr="00E7382B">
        <w:rPr>
          <w:u w:val="double"/>
        </w:rPr>
        <w:t>An aliquot of the primary working seed is then cultured in the same way</w:t>
      </w:r>
      <w:r w:rsidR="004F7628" w:rsidRPr="00E7382B">
        <w:rPr>
          <w:u w:val="double"/>
        </w:rPr>
        <w:t xml:space="preserve"> to prepare the secondary</w:t>
      </w:r>
      <w:r w:rsidRPr="00E7382B">
        <w:rPr>
          <w:u w:val="double"/>
        </w:rPr>
        <w:t xml:space="preserve"> working seed</w:t>
      </w:r>
      <w:r w:rsidR="008F273A" w:rsidRPr="00E7382B">
        <w:rPr>
          <w:u w:val="double"/>
        </w:rPr>
        <w:t>.</w:t>
      </w:r>
    </w:p>
    <w:p w14:paraId="3EBFBBFD" w14:textId="57A191C6" w:rsidR="00ED47BC" w:rsidRPr="00934626" w:rsidRDefault="00ED47BC" w:rsidP="00E13B8E">
      <w:pPr>
        <w:pStyle w:val="i"/>
      </w:pPr>
      <w:r w:rsidRPr="00934626">
        <w:t>ii</w:t>
      </w:r>
      <w:r w:rsidR="005474BA" w:rsidRPr="00934626">
        <w:t>)</w:t>
      </w:r>
      <w:r w:rsidR="005474BA" w:rsidRPr="00934626">
        <w:tab/>
      </w:r>
      <w:r w:rsidR="005474BA" w:rsidRPr="00E7382B">
        <w:rPr>
          <w:strike/>
        </w:rPr>
        <w:t xml:space="preserve">Preparation of the </w:t>
      </w:r>
      <w:r w:rsidR="00102581">
        <w:t>P</w:t>
      </w:r>
      <w:r w:rsidR="005474BA" w:rsidRPr="00934626">
        <w:t>roduction seed batch</w:t>
      </w:r>
    </w:p>
    <w:p w14:paraId="5C9BB7B1" w14:textId="794DB565" w:rsidR="005474BA" w:rsidRPr="00934626" w:rsidRDefault="005474BA" w:rsidP="00E13B8E">
      <w:pPr>
        <w:pStyle w:val="afourthpara"/>
      </w:pPr>
      <w:r w:rsidRPr="00934626">
        <w:t>The production seed batch is prepared under the same conditions as for the working seed batch</w:t>
      </w:r>
      <w:r w:rsidR="00171EB1" w:rsidRPr="00D65921">
        <w:rPr>
          <w:u w:val="double"/>
        </w:rPr>
        <w:t>es</w:t>
      </w:r>
      <w:r w:rsidRPr="00934626">
        <w:t xml:space="preserve">. A large stock of virus is formed, from which the final vaccine will be produced. This batch is distributed into receptacles and stored at –70°C. </w:t>
      </w:r>
      <w:r w:rsidR="00171EB1" w:rsidRPr="00D65921">
        <w:rPr>
          <w:u w:val="double"/>
        </w:rPr>
        <w:t>As previously,</w:t>
      </w:r>
      <w:r w:rsidR="00171EB1">
        <w:t xml:space="preserve"> f</w:t>
      </w:r>
      <w:r w:rsidRPr="00934626">
        <w:t>ive samples are titrated (minimum titre required: 10</w:t>
      </w:r>
      <w:r w:rsidRPr="00934626">
        <w:rPr>
          <w:position w:val="6"/>
          <w:sz w:val="14"/>
        </w:rPr>
        <w:t>6</w:t>
      </w:r>
      <w:r w:rsidRPr="00934626">
        <w:t xml:space="preserve"> TCID</w:t>
      </w:r>
      <w:r w:rsidRPr="00934626">
        <w:rPr>
          <w:vertAlign w:val="subscript"/>
        </w:rPr>
        <w:t>50</w:t>
      </w:r>
      <w:r w:rsidRPr="00934626">
        <w:t>/ml)</w:t>
      </w:r>
      <w:r w:rsidR="00171EB1" w:rsidRPr="00D65921">
        <w:rPr>
          <w:u w:val="double"/>
        </w:rPr>
        <w:t>, and the production seed batch</w:t>
      </w:r>
      <w:r w:rsidR="00171EB1" w:rsidRPr="00934626">
        <w:t xml:space="preserve"> must satisfy tests for sterility</w:t>
      </w:r>
      <w:r w:rsidRPr="00934626">
        <w:t>.</w:t>
      </w:r>
    </w:p>
    <w:p w14:paraId="5CE2F8E3" w14:textId="7672BFD7" w:rsidR="00ED47BC" w:rsidRPr="00E7382B" w:rsidRDefault="00ED47BC">
      <w:pPr>
        <w:pStyle w:val="i"/>
        <w:rPr>
          <w:strike/>
        </w:rPr>
      </w:pPr>
      <w:r w:rsidRPr="00E7382B">
        <w:rPr>
          <w:strike/>
        </w:rPr>
        <w:t>iii</w:t>
      </w:r>
      <w:r w:rsidR="005474BA" w:rsidRPr="00E7382B">
        <w:rPr>
          <w:strike/>
        </w:rPr>
        <w:t>)</w:t>
      </w:r>
      <w:r w:rsidR="005474BA" w:rsidRPr="00E7382B">
        <w:rPr>
          <w:strike/>
        </w:rPr>
        <w:tab/>
        <w:t>Validation as a vaccine</w:t>
      </w:r>
    </w:p>
    <w:p w14:paraId="0A72F269" w14:textId="238B2878" w:rsidR="005474BA" w:rsidRPr="00E7382B" w:rsidRDefault="005474BA" w:rsidP="008A4B5A">
      <w:pPr>
        <w:pStyle w:val="i"/>
        <w:rPr>
          <w:strike/>
        </w:rPr>
      </w:pPr>
      <w:r w:rsidRPr="00E7382B">
        <w:rPr>
          <w:strike/>
        </w:rPr>
        <w:t>It is necessary to confirm or rule out the presence of PPRV in the product under test. For this purpose, anti-PPR</w:t>
      </w:r>
      <w:r w:rsidR="00FF1307" w:rsidRPr="00E7382B">
        <w:rPr>
          <w:strike/>
        </w:rPr>
        <w:t>V</w:t>
      </w:r>
      <w:r w:rsidRPr="00E7382B">
        <w:rPr>
          <w:strike/>
        </w:rPr>
        <w:t xml:space="preserve"> serum is used to neutralise the virus in cell culture.</w:t>
      </w:r>
    </w:p>
    <w:p w14:paraId="76CA66BB" w14:textId="73C2A7B8" w:rsidR="005474BA" w:rsidRPr="00E7382B" w:rsidRDefault="00535EC0" w:rsidP="008A4B5A">
      <w:pPr>
        <w:pStyle w:val="i"/>
        <w:rPr>
          <w:strike/>
        </w:rPr>
      </w:pPr>
      <w:r w:rsidRPr="00E7382B">
        <w:rPr>
          <w:strike/>
        </w:rPr>
        <w:t>•</w:t>
      </w:r>
      <w:r w:rsidRPr="00E7382B">
        <w:rPr>
          <w:strike/>
        </w:rPr>
        <w:tab/>
        <w:t>Test procedure</w:t>
      </w:r>
    </w:p>
    <w:p w14:paraId="4DD403CD" w14:textId="2D4EA29C" w:rsidR="005474BA" w:rsidRPr="00E7382B" w:rsidRDefault="00ED47BC" w:rsidP="008A4B5A">
      <w:pPr>
        <w:pStyle w:val="i"/>
        <w:rPr>
          <w:strike/>
        </w:rPr>
      </w:pPr>
      <w:r w:rsidRPr="00E7382B">
        <w:rPr>
          <w:strike/>
        </w:rPr>
        <w:t>a</w:t>
      </w:r>
      <w:r w:rsidR="005474BA" w:rsidRPr="00E7382B">
        <w:rPr>
          <w:strike/>
        </w:rPr>
        <w:t>)</w:t>
      </w:r>
      <w:r w:rsidR="005474BA" w:rsidRPr="00E7382B">
        <w:rPr>
          <w:strike/>
        </w:rPr>
        <w:tab/>
        <w:t>Mix the contents of two vaccine bottles with sterile double-distilled water to provide a volume equal to the volume before freeze-drying.</w:t>
      </w:r>
    </w:p>
    <w:p w14:paraId="59A2B0A7" w14:textId="03D4646F" w:rsidR="005474BA" w:rsidRPr="00E7382B" w:rsidRDefault="00ED47BC" w:rsidP="008A4B5A">
      <w:pPr>
        <w:pStyle w:val="i"/>
        <w:rPr>
          <w:strike/>
        </w:rPr>
      </w:pPr>
      <w:r w:rsidRPr="00E7382B">
        <w:rPr>
          <w:strike/>
        </w:rPr>
        <w:t>b</w:t>
      </w:r>
      <w:r w:rsidR="005474BA" w:rsidRPr="00E7382B">
        <w:rPr>
          <w:strike/>
        </w:rPr>
        <w:t>)</w:t>
      </w:r>
      <w:r w:rsidR="005474BA" w:rsidRPr="00E7382B">
        <w:rPr>
          <w:strike/>
        </w:rPr>
        <w:tab/>
        <w:t>Make tenfold dilutions of the reconstituted vaccine in</w:t>
      </w:r>
      <w:r w:rsidR="00A66B49" w:rsidRPr="00E7382B">
        <w:rPr>
          <w:strike/>
        </w:rPr>
        <w:t xml:space="preserve"> serum-free culture medium (0.5 </w:t>
      </w:r>
      <w:r w:rsidR="005474BA" w:rsidRPr="00E7382B">
        <w:rPr>
          <w:strike/>
        </w:rPr>
        <w:t>ml of viral suspension + 4.5 ml of medium).</w:t>
      </w:r>
    </w:p>
    <w:p w14:paraId="515FE70F" w14:textId="3CC85AF8" w:rsidR="005474BA" w:rsidRPr="00E7382B" w:rsidRDefault="00ED47BC" w:rsidP="008A4B5A">
      <w:pPr>
        <w:pStyle w:val="i"/>
        <w:rPr>
          <w:strike/>
        </w:rPr>
      </w:pPr>
      <w:r w:rsidRPr="00E7382B">
        <w:rPr>
          <w:strike/>
        </w:rPr>
        <w:t>c</w:t>
      </w:r>
      <w:r w:rsidR="005474BA" w:rsidRPr="00E7382B">
        <w:rPr>
          <w:strike/>
        </w:rPr>
        <w:t>)</w:t>
      </w:r>
      <w:r w:rsidR="005474BA" w:rsidRPr="00E7382B">
        <w:rPr>
          <w:strike/>
        </w:rPr>
        <w:tab/>
        <w:t>Make two series of mixtures for virus dilutions from each bottle on a 96-well plate as follows:</w:t>
      </w:r>
    </w:p>
    <w:p w14:paraId="673015F8" w14:textId="7AD87DF7" w:rsidR="005474BA" w:rsidRPr="00E7382B" w:rsidRDefault="005474BA" w:rsidP="008A4B5A">
      <w:pPr>
        <w:pStyle w:val="i"/>
        <w:rPr>
          <w:strike/>
        </w:rPr>
      </w:pPr>
      <w:r w:rsidRPr="00E7382B">
        <w:rPr>
          <w:strike/>
        </w:rPr>
        <w:t xml:space="preserve">Series 1: </w:t>
      </w:r>
      <w:r w:rsidRPr="00E7382B">
        <w:rPr>
          <w:strike/>
        </w:rPr>
        <w:tab/>
        <w:t>Dilutions of viral suspension:</w:t>
      </w:r>
      <w:r w:rsidRPr="00E7382B">
        <w:rPr>
          <w:strike/>
        </w:rPr>
        <w:tab/>
        <w:t>–1</w:t>
      </w:r>
      <w:r w:rsidRPr="00E7382B">
        <w:rPr>
          <w:strike/>
        </w:rPr>
        <w:tab/>
        <w:t>–2</w:t>
      </w:r>
      <w:r w:rsidRPr="00E7382B">
        <w:rPr>
          <w:strike/>
        </w:rPr>
        <w:tab/>
        <w:t>–3</w:t>
      </w:r>
      <w:r w:rsidRPr="00E7382B">
        <w:rPr>
          <w:strike/>
        </w:rPr>
        <w:tab/>
        <w:t>–4</w:t>
      </w:r>
      <w:r w:rsidR="00D35665" w:rsidRPr="00E7382B">
        <w:rPr>
          <w:strike/>
        </w:rPr>
        <w:br/>
      </w:r>
      <w:r w:rsidRPr="00E7382B">
        <w:rPr>
          <w:strike/>
        </w:rPr>
        <w:tab/>
      </w:r>
      <w:r w:rsidRPr="00E7382B">
        <w:rPr>
          <w:strike/>
        </w:rPr>
        <w:tab/>
        <w:t>Viral suspension (in µl)</w:t>
      </w:r>
      <w:r w:rsidRPr="00E7382B">
        <w:rPr>
          <w:strike/>
        </w:rPr>
        <w:tab/>
      </w:r>
      <w:r w:rsidRPr="00E7382B">
        <w:rPr>
          <w:strike/>
        </w:rPr>
        <w:tab/>
        <w:t>50</w:t>
      </w:r>
      <w:r w:rsidRPr="00E7382B">
        <w:rPr>
          <w:strike/>
        </w:rPr>
        <w:tab/>
        <w:t>50</w:t>
      </w:r>
      <w:r w:rsidRPr="00E7382B">
        <w:rPr>
          <w:strike/>
        </w:rPr>
        <w:tab/>
        <w:t>50</w:t>
      </w:r>
      <w:r w:rsidRPr="00E7382B">
        <w:rPr>
          <w:strike/>
        </w:rPr>
        <w:tab/>
        <w:t>50</w:t>
      </w:r>
      <w:r w:rsidR="00D35665" w:rsidRPr="00E7382B">
        <w:rPr>
          <w:strike/>
        </w:rPr>
        <w:br/>
      </w:r>
      <w:r w:rsidRPr="00E7382B">
        <w:rPr>
          <w:strike/>
        </w:rPr>
        <w:tab/>
      </w:r>
      <w:r w:rsidRPr="00E7382B">
        <w:rPr>
          <w:strike/>
        </w:rPr>
        <w:tab/>
        <w:t>Culture medium (in µl)</w:t>
      </w:r>
      <w:r w:rsidRPr="00E7382B">
        <w:rPr>
          <w:strike/>
        </w:rPr>
        <w:tab/>
      </w:r>
      <w:r w:rsidRPr="00E7382B">
        <w:rPr>
          <w:strike/>
        </w:rPr>
        <w:tab/>
        <w:t>50</w:t>
      </w:r>
      <w:r w:rsidRPr="00E7382B">
        <w:rPr>
          <w:strike/>
        </w:rPr>
        <w:tab/>
        <w:t>50</w:t>
      </w:r>
      <w:r w:rsidRPr="00E7382B">
        <w:rPr>
          <w:strike/>
        </w:rPr>
        <w:tab/>
        <w:t>50</w:t>
      </w:r>
      <w:r w:rsidRPr="00E7382B">
        <w:rPr>
          <w:strike/>
        </w:rPr>
        <w:tab/>
        <w:t>50</w:t>
      </w:r>
    </w:p>
    <w:p w14:paraId="3AC7BE09" w14:textId="7B360C94" w:rsidR="005474BA" w:rsidRPr="00E7382B" w:rsidRDefault="005474BA" w:rsidP="008A4B5A">
      <w:pPr>
        <w:pStyle w:val="i"/>
        <w:rPr>
          <w:strike/>
        </w:rPr>
      </w:pPr>
      <w:r w:rsidRPr="00E7382B">
        <w:rPr>
          <w:strike/>
        </w:rPr>
        <w:t>Series 2:</w:t>
      </w:r>
      <w:r w:rsidRPr="00E7382B">
        <w:rPr>
          <w:strike/>
        </w:rPr>
        <w:tab/>
        <w:t>Dilutions of viral suspension:</w:t>
      </w:r>
      <w:r w:rsidRPr="00E7382B">
        <w:rPr>
          <w:strike/>
        </w:rPr>
        <w:tab/>
        <w:t>–1</w:t>
      </w:r>
      <w:r w:rsidRPr="00E7382B">
        <w:rPr>
          <w:strike/>
        </w:rPr>
        <w:tab/>
        <w:t>–2</w:t>
      </w:r>
      <w:r w:rsidRPr="00E7382B">
        <w:rPr>
          <w:strike/>
        </w:rPr>
        <w:tab/>
        <w:t>–3</w:t>
      </w:r>
      <w:r w:rsidRPr="00E7382B">
        <w:rPr>
          <w:strike/>
        </w:rPr>
        <w:tab/>
        <w:t>–4</w:t>
      </w:r>
      <w:r w:rsidR="00D35665" w:rsidRPr="00E7382B">
        <w:rPr>
          <w:strike/>
        </w:rPr>
        <w:br/>
      </w:r>
      <w:r w:rsidRPr="00E7382B">
        <w:rPr>
          <w:strike/>
        </w:rPr>
        <w:tab/>
      </w:r>
      <w:r w:rsidRPr="00E7382B">
        <w:rPr>
          <w:strike/>
        </w:rPr>
        <w:tab/>
        <w:t>Viral suspension (in µl)</w:t>
      </w:r>
      <w:r w:rsidRPr="00E7382B">
        <w:rPr>
          <w:strike/>
        </w:rPr>
        <w:tab/>
      </w:r>
      <w:r w:rsidRPr="00E7382B">
        <w:rPr>
          <w:strike/>
        </w:rPr>
        <w:tab/>
        <w:t>50</w:t>
      </w:r>
      <w:r w:rsidRPr="00E7382B">
        <w:rPr>
          <w:strike/>
        </w:rPr>
        <w:tab/>
        <w:t>50</w:t>
      </w:r>
      <w:r w:rsidRPr="00E7382B">
        <w:rPr>
          <w:strike/>
        </w:rPr>
        <w:tab/>
        <w:t>50</w:t>
      </w:r>
      <w:r w:rsidRPr="00E7382B">
        <w:rPr>
          <w:strike/>
        </w:rPr>
        <w:tab/>
        <w:t>50</w:t>
      </w:r>
      <w:r w:rsidR="00D35665" w:rsidRPr="00E7382B">
        <w:rPr>
          <w:strike/>
        </w:rPr>
        <w:br/>
      </w:r>
      <w:r w:rsidRPr="00E7382B">
        <w:rPr>
          <w:strike/>
        </w:rPr>
        <w:tab/>
      </w:r>
      <w:r w:rsidRPr="00E7382B">
        <w:rPr>
          <w:strike/>
        </w:rPr>
        <w:tab/>
        <w:t>PPR antiserum (in µl)</w:t>
      </w:r>
      <w:r w:rsidRPr="00E7382B">
        <w:rPr>
          <w:strike/>
        </w:rPr>
        <w:tab/>
      </w:r>
      <w:r w:rsidRPr="00E7382B">
        <w:rPr>
          <w:strike/>
        </w:rPr>
        <w:tab/>
        <w:t>50</w:t>
      </w:r>
      <w:r w:rsidRPr="00E7382B">
        <w:rPr>
          <w:strike/>
        </w:rPr>
        <w:tab/>
        <w:t>50</w:t>
      </w:r>
      <w:r w:rsidRPr="00E7382B">
        <w:rPr>
          <w:strike/>
        </w:rPr>
        <w:tab/>
        <w:t>50</w:t>
      </w:r>
      <w:r w:rsidRPr="00E7382B">
        <w:rPr>
          <w:strike/>
        </w:rPr>
        <w:tab/>
        <w:t>50</w:t>
      </w:r>
    </w:p>
    <w:p w14:paraId="1BD22B2D" w14:textId="089D76DC" w:rsidR="005474BA" w:rsidRPr="00E7382B" w:rsidRDefault="005474BA" w:rsidP="008A4B5A">
      <w:pPr>
        <w:pStyle w:val="i"/>
        <w:rPr>
          <w:strike/>
        </w:rPr>
      </w:pPr>
      <w:r w:rsidRPr="00E7382B">
        <w:rPr>
          <w:strike/>
        </w:rPr>
        <w:t>(</w:t>
      </w:r>
      <w:r w:rsidRPr="00E7382B">
        <w:rPr>
          <w:b/>
          <w:strike/>
        </w:rPr>
        <w:t xml:space="preserve">Note: </w:t>
      </w:r>
      <w:r w:rsidRPr="00E7382B">
        <w:rPr>
          <w:strike/>
        </w:rPr>
        <w:t>PPR antiserum used for this purpose is prepared in goats and freeze-dried. It is reconstituted with 1 ml of sterile double-distilled water in a dilution of 1/10.)</w:t>
      </w:r>
    </w:p>
    <w:p w14:paraId="68CF10E5" w14:textId="4EE08AB8" w:rsidR="005474BA" w:rsidRPr="00E7382B" w:rsidRDefault="00ED47BC" w:rsidP="008A4B5A">
      <w:pPr>
        <w:pStyle w:val="i"/>
        <w:rPr>
          <w:strike/>
        </w:rPr>
      </w:pPr>
      <w:r w:rsidRPr="00E7382B">
        <w:rPr>
          <w:strike/>
        </w:rPr>
        <w:t>d</w:t>
      </w:r>
      <w:r w:rsidR="005474BA" w:rsidRPr="00E7382B">
        <w:rPr>
          <w:strike/>
        </w:rPr>
        <w:t>)</w:t>
      </w:r>
      <w:r w:rsidR="005474BA" w:rsidRPr="00E7382B">
        <w:rPr>
          <w:strike/>
        </w:rPr>
        <w:tab/>
        <w:t>Incubate the mixtures at 37°C for 1 hour</w:t>
      </w:r>
    </w:p>
    <w:p w14:paraId="6AC82031" w14:textId="0122D964" w:rsidR="005474BA" w:rsidRPr="00E7382B" w:rsidRDefault="00ED47BC" w:rsidP="008A4B5A">
      <w:pPr>
        <w:pStyle w:val="i"/>
        <w:rPr>
          <w:strike/>
        </w:rPr>
      </w:pPr>
      <w:r w:rsidRPr="00E7382B">
        <w:rPr>
          <w:strike/>
        </w:rPr>
        <w:t>e</w:t>
      </w:r>
      <w:r w:rsidR="005474BA" w:rsidRPr="00E7382B">
        <w:rPr>
          <w:strike/>
        </w:rPr>
        <w:t>)</w:t>
      </w:r>
      <w:r w:rsidR="005474BA" w:rsidRPr="00E7382B">
        <w:rPr>
          <w:strike/>
        </w:rPr>
        <w:tab/>
        <w:t xml:space="preserve">Add to each well 100 µl of cells suspended in </w:t>
      </w:r>
      <w:r w:rsidR="00845CB8" w:rsidRPr="00E7382B">
        <w:rPr>
          <w:strike/>
        </w:rPr>
        <w:t>complete culture medium (30,000 </w:t>
      </w:r>
      <w:r w:rsidR="005474BA" w:rsidRPr="00E7382B">
        <w:rPr>
          <w:strike/>
        </w:rPr>
        <w:t>cells/well).</w:t>
      </w:r>
    </w:p>
    <w:p w14:paraId="1A87F36F" w14:textId="4F913FBC" w:rsidR="005474BA" w:rsidRPr="00E7382B" w:rsidRDefault="00ED47BC" w:rsidP="008A4B5A">
      <w:pPr>
        <w:pStyle w:val="i"/>
        <w:rPr>
          <w:strike/>
        </w:rPr>
      </w:pPr>
      <w:r w:rsidRPr="00E7382B">
        <w:rPr>
          <w:strike/>
        </w:rPr>
        <w:t>f</w:t>
      </w:r>
      <w:r w:rsidR="005474BA" w:rsidRPr="00E7382B">
        <w:rPr>
          <w:strike/>
        </w:rPr>
        <w:t>)</w:t>
      </w:r>
      <w:r w:rsidR="005474BA" w:rsidRPr="00E7382B">
        <w:rPr>
          <w:strike/>
        </w:rPr>
        <w:tab/>
        <w:t>Incubate the microplate at 37°C in the presence of CO</w:t>
      </w:r>
      <w:r w:rsidR="005474BA" w:rsidRPr="00E7382B">
        <w:rPr>
          <w:strike/>
          <w:vertAlign w:val="subscript"/>
        </w:rPr>
        <w:t>2</w:t>
      </w:r>
      <w:r w:rsidR="005474BA" w:rsidRPr="00E7382B">
        <w:rPr>
          <w:strike/>
        </w:rPr>
        <w:t>.</w:t>
      </w:r>
    </w:p>
    <w:p w14:paraId="6C92B812" w14:textId="4F507946" w:rsidR="005474BA" w:rsidRPr="00E7382B" w:rsidRDefault="00ED47BC" w:rsidP="008A4B5A">
      <w:pPr>
        <w:pStyle w:val="i"/>
        <w:rPr>
          <w:strike/>
        </w:rPr>
      </w:pPr>
      <w:r w:rsidRPr="00E7382B">
        <w:rPr>
          <w:strike/>
        </w:rPr>
        <w:t>g</w:t>
      </w:r>
      <w:r w:rsidR="005474BA" w:rsidRPr="00E7382B">
        <w:rPr>
          <w:strike/>
        </w:rPr>
        <w:t>)</w:t>
      </w:r>
      <w:r w:rsidR="005474BA" w:rsidRPr="00E7382B">
        <w:rPr>
          <w:strike/>
        </w:rPr>
        <w:tab/>
        <w:t xml:space="preserve">Read the plate after </w:t>
      </w:r>
      <w:r w:rsidR="00203E13" w:rsidRPr="00E7382B">
        <w:rPr>
          <w:strike/>
        </w:rPr>
        <w:t xml:space="preserve">7–10 days </w:t>
      </w:r>
      <w:r w:rsidR="005474BA" w:rsidRPr="00E7382B">
        <w:rPr>
          <w:strike/>
        </w:rPr>
        <w:t>of incubation.</w:t>
      </w:r>
    </w:p>
    <w:p w14:paraId="53AC8712" w14:textId="03FA8555" w:rsidR="005474BA" w:rsidRPr="00E7382B" w:rsidRDefault="005474BA" w:rsidP="008A4B5A">
      <w:pPr>
        <w:pStyle w:val="i"/>
        <w:rPr>
          <w:strike/>
        </w:rPr>
      </w:pPr>
      <w:r w:rsidRPr="00E7382B">
        <w:rPr>
          <w:strike/>
        </w:rPr>
        <w:t xml:space="preserve">Normally CPE is present only in the wells containing cells infected with the mixture of virus and culture medium. If it is detected in the wells of Series 2, it will be necessary to identify PPRV by immunofluorescence, using a PPR </w:t>
      </w:r>
      <w:proofErr w:type="spellStart"/>
      <w:r w:rsidRPr="00E7382B">
        <w:rPr>
          <w:strike/>
        </w:rPr>
        <w:t>MAb</w:t>
      </w:r>
      <w:proofErr w:type="spellEnd"/>
      <w:r w:rsidRPr="00E7382B">
        <w:rPr>
          <w:strike/>
        </w:rPr>
        <w:t>, or by immunocapture</w:t>
      </w:r>
      <w:r w:rsidR="00F92617" w:rsidRPr="00E7382B">
        <w:rPr>
          <w:strike/>
        </w:rPr>
        <w:t xml:space="preserve"> ELISA</w:t>
      </w:r>
      <w:r w:rsidRPr="00E7382B">
        <w:rPr>
          <w:strike/>
        </w:rPr>
        <w:t xml:space="preserve"> (</w:t>
      </w:r>
      <w:r w:rsidR="004730E9" w:rsidRPr="00E7382B">
        <w:rPr>
          <w:strike/>
        </w:rPr>
        <w:t xml:space="preserve">using the </w:t>
      </w:r>
      <w:r w:rsidR="00F92617" w:rsidRPr="00E7382B">
        <w:rPr>
          <w:strike/>
        </w:rPr>
        <w:t>commercially available</w:t>
      </w:r>
      <w:r w:rsidR="004730E9" w:rsidRPr="00E7382B">
        <w:rPr>
          <w:strike/>
        </w:rPr>
        <w:t xml:space="preserve"> kit</w:t>
      </w:r>
      <w:r w:rsidRPr="00E7382B">
        <w:rPr>
          <w:strike/>
        </w:rPr>
        <w:t xml:space="preserve">). If this identification confirms the presence of PPRV, the PPR antiserum used must have been too weak, or the batch must be changed. If immunofluorescence or immunocapture is negative, </w:t>
      </w:r>
      <w:r w:rsidR="004730E9" w:rsidRPr="00E7382B">
        <w:rPr>
          <w:strike/>
        </w:rPr>
        <w:t xml:space="preserve">or if repeating the test with a new PPRV antiserum gives the same result, </w:t>
      </w:r>
      <w:r w:rsidRPr="00E7382B">
        <w:rPr>
          <w:strike/>
        </w:rPr>
        <w:t xml:space="preserve">a viral contaminant must be present, and the material under test must be destroyed. </w:t>
      </w:r>
    </w:p>
    <w:p w14:paraId="1CC6932F" w14:textId="306F8801" w:rsidR="00ED47BC" w:rsidRPr="00934626" w:rsidRDefault="00E7382B" w:rsidP="00E13B8E">
      <w:pPr>
        <w:pStyle w:val="i"/>
      </w:pPr>
      <w:r>
        <w:t>iii</w:t>
      </w:r>
      <w:r w:rsidR="005474BA" w:rsidRPr="00934626">
        <w:t>)</w:t>
      </w:r>
      <w:r w:rsidR="005474BA" w:rsidRPr="00934626">
        <w:tab/>
        <w:t>Vaccine production</w:t>
      </w:r>
    </w:p>
    <w:p w14:paraId="09093D28" w14:textId="6AB102FC" w:rsidR="005474BA" w:rsidRPr="00934626" w:rsidRDefault="005474BA" w:rsidP="00E13B8E">
      <w:pPr>
        <w:pStyle w:val="afourthpara"/>
      </w:pPr>
      <w:r w:rsidRPr="00934626">
        <w:t>This operation is performed on a larger scale</w:t>
      </w:r>
      <w:r w:rsidR="008F273A">
        <w:t xml:space="preserve">, </w:t>
      </w:r>
      <w:r w:rsidR="008F273A" w:rsidRPr="00D65921">
        <w:rPr>
          <w:u w:val="double"/>
        </w:rPr>
        <w:t>but is otherwise carried out as for the preparation of the production seed</w:t>
      </w:r>
      <w:r w:rsidRPr="00934626">
        <w:t xml:space="preserve">. </w:t>
      </w:r>
      <w:r w:rsidRPr="00D65921">
        <w:rPr>
          <w:strike/>
        </w:rPr>
        <w:t xml:space="preserve">Cells can be infected with virus at a </w:t>
      </w:r>
      <w:proofErr w:type="spellStart"/>
      <w:r w:rsidR="008317F2" w:rsidRPr="00D65921">
        <w:rPr>
          <w:strike/>
        </w:rPr>
        <w:t>m.o.i</w:t>
      </w:r>
      <w:proofErr w:type="spellEnd"/>
      <w:r w:rsidR="008317F2" w:rsidRPr="00D65921">
        <w:rPr>
          <w:strike/>
        </w:rPr>
        <w:t>.</w:t>
      </w:r>
      <w:r w:rsidRPr="00D65921">
        <w:rPr>
          <w:strike/>
        </w:rPr>
        <w:t xml:space="preserve"> as before or with high doses, up to </w:t>
      </w:r>
      <w:proofErr w:type="spellStart"/>
      <w:r w:rsidR="00EE7FFD" w:rsidRPr="00D65921">
        <w:rPr>
          <w:strike/>
        </w:rPr>
        <w:t>m.o.i</w:t>
      </w:r>
      <w:proofErr w:type="spellEnd"/>
      <w:r w:rsidR="00EE7FFD" w:rsidRPr="00D65921">
        <w:rPr>
          <w:strike/>
        </w:rPr>
        <w:t xml:space="preserve">. </w:t>
      </w:r>
      <w:r w:rsidRPr="00D65921">
        <w:rPr>
          <w:strike/>
        </w:rPr>
        <w:t xml:space="preserve">0.01. </w:t>
      </w:r>
      <w:r w:rsidRPr="00934626">
        <w:t>Products of the various harvests, after two freeze–thaw cycles, are brought together to form the final product and stored at –70°C pending the results of titration and tests for sterility. If these results are satisfactory, the vaccine is freeze-dried.</w:t>
      </w:r>
    </w:p>
    <w:p w14:paraId="427BDB28" w14:textId="30EBFF54" w:rsidR="00ED47BC" w:rsidRPr="00934626" w:rsidRDefault="00ED47BC" w:rsidP="00E13B8E">
      <w:pPr>
        <w:pStyle w:val="i"/>
      </w:pPr>
      <w:r w:rsidRPr="00934626">
        <w:t>v</w:t>
      </w:r>
      <w:r w:rsidR="005474BA" w:rsidRPr="00934626">
        <w:t>)</w:t>
      </w:r>
      <w:r w:rsidR="005474BA" w:rsidRPr="00934626">
        <w:tab/>
        <w:t>Freeze-drying</w:t>
      </w:r>
    </w:p>
    <w:p w14:paraId="24936D24" w14:textId="110A1817" w:rsidR="005474BA" w:rsidRPr="00934626" w:rsidRDefault="00312937" w:rsidP="00E13B8E">
      <w:pPr>
        <w:pStyle w:val="afourthpara"/>
      </w:pPr>
      <w:r w:rsidRPr="00934626">
        <w:lastRenderedPageBreak/>
        <w:t>Several</w:t>
      </w:r>
      <w:r w:rsidR="005474BA" w:rsidRPr="00934626">
        <w:t xml:space="preserve"> freeze-drying medi</w:t>
      </w:r>
      <w:r w:rsidRPr="00934626">
        <w:t>a have been assessed for use with PPRV.</w:t>
      </w:r>
      <w:r w:rsidR="005474BA" w:rsidRPr="00934626">
        <w:t xml:space="preserve"> Weybridge medium </w:t>
      </w:r>
      <w:r w:rsidRPr="00934626">
        <w:t xml:space="preserve">has been used most widely, and </w:t>
      </w:r>
      <w:r w:rsidR="005474BA" w:rsidRPr="00934626">
        <w:t>is composed of 2.5% (w/v) lactalbumin</w:t>
      </w:r>
      <w:r w:rsidR="00535E12" w:rsidRPr="00934626">
        <w:t xml:space="preserve"> hydrolysate (LAH)</w:t>
      </w:r>
      <w:r w:rsidR="005474BA" w:rsidRPr="00934626">
        <w:t>, 5% (w/v) sucrose and 1% (w/v) sodium glutamate,</w:t>
      </w:r>
      <w:r w:rsidR="00535E12" w:rsidRPr="00934626">
        <w:t xml:space="preserve"> in Hank’s balanced salt solution (HBSS)</w:t>
      </w:r>
      <w:r w:rsidR="005474BA" w:rsidRPr="00934626">
        <w:t xml:space="preserve"> pH 7.2. </w:t>
      </w:r>
      <w:r w:rsidRPr="00934626">
        <w:t>Significan</w:t>
      </w:r>
      <w:r w:rsidR="00340FD4" w:rsidRPr="00934626">
        <w:t>t</w:t>
      </w:r>
      <w:r w:rsidRPr="00934626">
        <w:t xml:space="preserve">ly improved stability </w:t>
      </w:r>
      <w:r w:rsidR="00CE3FEF" w:rsidRPr="00934626">
        <w:t xml:space="preserve">at temperatures above 4˚C </w:t>
      </w:r>
      <w:r w:rsidRPr="00934626">
        <w:t>has been reported using</w:t>
      </w:r>
      <w:r w:rsidR="00535E12" w:rsidRPr="00934626">
        <w:t xml:space="preserve"> a</w:t>
      </w:r>
      <w:r w:rsidRPr="00934626">
        <w:t xml:space="preserve"> </w:t>
      </w:r>
      <w:r w:rsidR="00CE3FEF" w:rsidRPr="00934626">
        <w:t>freeze-drying medi</w:t>
      </w:r>
      <w:r w:rsidR="00535E12" w:rsidRPr="00934626">
        <w:t>um containing 5%(w/v) LAH and 10% sucrose</w:t>
      </w:r>
      <w:r w:rsidR="00340FD4" w:rsidRPr="00934626">
        <w:t xml:space="preserve"> in HBSS</w:t>
      </w:r>
      <w:r w:rsidR="00535E12" w:rsidRPr="00934626">
        <w:t xml:space="preserve"> (</w:t>
      </w:r>
      <w:r w:rsidR="00340FD4" w:rsidRPr="00934626">
        <w:t xml:space="preserve">Mariner </w:t>
      </w:r>
      <w:r w:rsidR="00340FD4" w:rsidRPr="00934626">
        <w:rPr>
          <w:i/>
        </w:rPr>
        <w:t>et al</w:t>
      </w:r>
      <w:r w:rsidR="00340FD4" w:rsidRPr="00934626">
        <w:t>. 2017</w:t>
      </w:r>
      <w:r w:rsidR="00DF08BE" w:rsidRPr="00934626">
        <w:t xml:space="preserve">; Sarkar </w:t>
      </w:r>
      <w:r w:rsidR="00DF08BE" w:rsidRPr="00934626">
        <w:rPr>
          <w:i/>
        </w:rPr>
        <w:t>et al</w:t>
      </w:r>
      <w:r w:rsidR="00DF08BE" w:rsidRPr="00934626">
        <w:t>., 2003</w:t>
      </w:r>
      <w:r w:rsidR="00340FD4" w:rsidRPr="00934626">
        <w:t>)</w:t>
      </w:r>
      <w:r w:rsidR="00C836CA" w:rsidRPr="00934626">
        <w:t xml:space="preserve"> or containing 20 mM Tris–HCl pH 7.4, 2</w:t>
      </w:r>
      <w:r w:rsidR="008A0A9D" w:rsidRPr="00934626">
        <w:t> </w:t>
      </w:r>
      <w:r w:rsidR="00C836CA" w:rsidRPr="00934626">
        <w:t>mM EDTA, 0.02% (w/v) Tween 80 and 1 M (3</w:t>
      </w:r>
      <w:r w:rsidR="00845EA7" w:rsidRPr="00934626">
        <w:t>4.2</w:t>
      </w:r>
      <w:r w:rsidR="00C836CA" w:rsidRPr="00934626">
        <w:t>% (w/v)</w:t>
      </w:r>
      <w:r w:rsidR="00845EA7" w:rsidRPr="00934626">
        <w:t>)</w:t>
      </w:r>
      <w:r w:rsidR="00C836CA" w:rsidRPr="00934626">
        <w:t xml:space="preserve"> </w:t>
      </w:r>
      <w:proofErr w:type="spellStart"/>
      <w:r w:rsidR="00C836CA" w:rsidRPr="00934626">
        <w:t>trehalose</w:t>
      </w:r>
      <w:proofErr w:type="spellEnd"/>
      <w:r w:rsidR="00C836CA" w:rsidRPr="00934626">
        <w:t xml:space="preserve"> (Silva </w:t>
      </w:r>
      <w:r w:rsidR="00C836CA" w:rsidRPr="00934626">
        <w:rPr>
          <w:i/>
        </w:rPr>
        <w:t>et al</w:t>
      </w:r>
      <w:r w:rsidR="00C836CA" w:rsidRPr="00934626">
        <w:t>., 2011)</w:t>
      </w:r>
      <w:r w:rsidR="00FF7390" w:rsidRPr="00934626">
        <w:t xml:space="preserve">. </w:t>
      </w:r>
      <w:r w:rsidR="005474BA" w:rsidRPr="00934626">
        <w:t>Th</w:t>
      </w:r>
      <w:r w:rsidR="00340FD4" w:rsidRPr="00934626">
        <w:t>e</w:t>
      </w:r>
      <w:r w:rsidR="005474BA" w:rsidRPr="00934626">
        <w:t xml:space="preserve"> </w:t>
      </w:r>
      <w:r w:rsidR="00340FD4" w:rsidRPr="00934626">
        <w:t xml:space="preserve">freeze-drying </w:t>
      </w:r>
      <w:r w:rsidR="005474BA" w:rsidRPr="00934626">
        <w:t>medium is added to an equal volume of viral suspension (which may have been diluted beforehand to provide the desired number of vaccine doses per bottle). The resulting mixture is kept cool, homogenised, then distributed into bottles and freeze-dried. At the end of a freeze</w:t>
      </w:r>
      <w:r w:rsidR="007C1EEC">
        <w:t>–</w:t>
      </w:r>
      <w:r w:rsidR="005474BA" w:rsidRPr="00934626">
        <w:t>drying cycle, the probe is adjusted and kept at 35°C for 4</w:t>
      </w:r>
      <w:r w:rsidR="00FE560F" w:rsidRPr="00934626">
        <w:t> </w:t>
      </w:r>
      <w:r w:rsidR="005474BA" w:rsidRPr="00934626">
        <w:t xml:space="preserve">hours. Once this operation has been completed, the bottles are capped under vacuum. Randomly selected samples </w:t>
      </w:r>
      <w:r w:rsidR="005474BA" w:rsidRPr="00D65921">
        <w:rPr>
          <w:strike/>
        </w:rPr>
        <w:t xml:space="preserve">(e.g. 5%) </w:t>
      </w:r>
      <w:r w:rsidR="005474BA" w:rsidRPr="00934626">
        <w:t xml:space="preserve">of this final batch are </w:t>
      </w:r>
      <w:r w:rsidR="005474BA" w:rsidRPr="00333374">
        <w:rPr>
          <w:highlight w:val="yellow"/>
          <w:u w:val="double"/>
        </w:rPr>
        <w:t>sub</w:t>
      </w:r>
      <w:r w:rsidR="006C258C" w:rsidRPr="00333374">
        <w:rPr>
          <w:highlight w:val="yellow"/>
          <w:u w:val="double"/>
        </w:rPr>
        <w:t>jected</w:t>
      </w:r>
      <w:r w:rsidR="005474BA" w:rsidRPr="00333374">
        <w:rPr>
          <w:highlight w:val="yellow"/>
        </w:rPr>
        <w:t xml:space="preserve"> </w:t>
      </w:r>
      <w:r w:rsidR="00333374" w:rsidRPr="00333374">
        <w:rPr>
          <w:strike/>
          <w:highlight w:val="yellow"/>
        </w:rPr>
        <w:t>submitted</w:t>
      </w:r>
      <w:r w:rsidR="00333374" w:rsidRPr="00333374">
        <w:rPr>
          <w:strike/>
        </w:rPr>
        <w:t xml:space="preserve"> </w:t>
      </w:r>
      <w:r w:rsidR="005474BA" w:rsidRPr="00934626">
        <w:t>to tests for innocuity, efficacy and sterility, and residual moisture is estimated by the Karl Fisher method (optimum ≤3.5%). If the tests give unsatisfactory results, the entire batch is destroyed.</w:t>
      </w:r>
    </w:p>
    <w:p w14:paraId="46CECF3A" w14:textId="41C8E1DB" w:rsidR="005474BA" w:rsidRPr="00D65921" w:rsidRDefault="00ED47BC">
      <w:pPr>
        <w:pStyle w:val="111"/>
        <w:rPr>
          <w:strike/>
        </w:rPr>
      </w:pPr>
      <w:r w:rsidRPr="00D65921">
        <w:rPr>
          <w:strike/>
        </w:rPr>
        <w:t>2.2.2.</w:t>
      </w:r>
      <w:r w:rsidR="005474BA" w:rsidRPr="00D65921">
        <w:rPr>
          <w:strike/>
        </w:rPr>
        <w:tab/>
        <w:t>Requirements for substrates and media</w:t>
      </w:r>
    </w:p>
    <w:p w14:paraId="06F0B30C" w14:textId="3ACD7FE1" w:rsidR="00ED47BC" w:rsidRPr="00D65921" w:rsidRDefault="00ED47BC" w:rsidP="008A4B5A">
      <w:pPr>
        <w:pStyle w:val="i"/>
        <w:rPr>
          <w:strike/>
        </w:rPr>
      </w:pPr>
      <w:proofErr w:type="spellStart"/>
      <w:r w:rsidRPr="00D65921">
        <w:rPr>
          <w:strike/>
        </w:rPr>
        <w:t>i</w:t>
      </w:r>
      <w:proofErr w:type="spellEnd"/>
      <w:r w:rsidR="00064530" w:rsidRPr="00D65921">
        <w:rPr>
          <w:strike/>
        </w:rPr>
        <w:t>)</w:t>
      </w:r>
      <w:r w:rsidR="00064530" w:rsidRPr="00D65921">
        <w:rPr>
          <w:strike/>
        </w:rPr>
        <w:tab/>
      </w:r>
      <w:r w:rsidR="005474BA" w:rsidRPr="00D65921">
        <w:rPr>
          <w:strike/>
        </w:rPr>
        <w:t>Cells</w:t>
      </w:r>
    </w:p>
    <w:p w14:paraId="5B119811" w14:textId="090E13AA" w:rsidR="005474BA" w:rsidRPr="00D65921" w:rsidRDefault="000641D0" w:rsidP="008A4B5A">
      <w:pPr>
        <w:pStyle w:val="afourthpara"/>
        <w:rPr>
          <w:strike/>
        </w:rPr>
      </w:pPr>
      <w:r w:rsidRPr="00D65921">
        <w:rPr>
          <w:strike/>
        </w:rPr>
        <w:t xml:space="preserve">All current PPRV vaccine strains are grown in Vero cells. </w:t>
      </w:r>
      <w:r w:rsidR="005474BA" w:rsidRPr="00D65921">
        <w:rPr>
          <w:strike/>
        </w:rPr>
        <w:t>Cells used for the production of PPR vaccine must be free from bacterial, fungal and viral contaminations. The source of these cells should be known and documented.</w:t>
      </w:r>
    </w:p>
    <w:p w14:paraId="4D03B3AB" w14:textId="7D085152" w:rsidR="00ED47BC" w:rsidRPr="00D65921" w:rsidRDefault="00ED47BC" w:rsidP="008A4B5A">
      <w:pPr>
        <w:pStyle w:val="i"/>
        <w:rPr>
          <w:strike/>
        </w:rPr>
      </w:pPr>
      <w:r w:rsidRPr="00D65921">
        <w:rPr>
          <w:strike/>
        </w:rPr>
        <w:t>ii</w:t>
      </w:r>
      <w:r w:rsidR="00064530" w:rsidRPr="00D65921">
        <w:rPr>
          <w:strike/>
        </w:rPr>
        <w:t>)</w:t>
      </w:r>
      <w:r w:rsidR="00064530" w:rsidRPr="00D65921">
        <w:rPr>
          <w:strike/>
        </w:rPr>
        <w:tab/>
      </w:r>
      <w:r w:rsidR="005474BA" w:rsidRPr="00D65921">
        <w:rPr>
          <w:strike/>
        </w:rPr>
        <w:t>Serum</w:t>
      </w:r>
    </w:p>
    <w:p w14:paraId="22108BC0" w14:textId="5F852D70" w:rsidR="005474BA" w:rsidRPr="00D65921" w:rsidRDefault="005474BA" w:rsidP="008A4B5A">
      <w:pPr>
        <w:pStyle w:val="afourthpara"/>
        <w:rPr>
          <w:strike/>
        </w:rPr>
      </w:pPr>
      <w:r w:rsidRPr="00D65921">
        <w:rPr>
          <w:strike/>
        </w:rPr>
        <w:t>The serum used in the cell culture should free from adventi</w:t>
      </w:r>
      <w:r w:rsidR="004730E9" w:rsidRPr="00D65921">
        <w:rPr>
          <w:strike/>
        </w:rPr>
        <w:t>tious</w:t>
      </w:r>
      <w:r w:rsidRPr="00D65921">
        <w:rPr>
          <w:strike/>
        </w:rPr>
        <w:t xml:space="preserve"> virus, in particular </w:t>
      </w:r>
      <w:proofErr w:type="spellStart"/>
      <w:r w:rsidRPr="00D65921">
        <w:rPr>
          <w:strike/>
        </w:rPr>
        <w:t>pestiviruses</w:t>
      </w:r>
      <w:proofErr w:type="spellEnd"/>
      <w:r w:rsidRPr="00D65921">
        <w:rPr>
          <w:strike/>
        </w:rPr>
        <w:t xml:space="preserve">. It is recommended to use irradiated serum. The country </w:t>
      </w:r>
      <w:r w:rsidR="00F14037" w:rsidRPr="00D65921">
        <w:rPr>
          <w:strike/>
        </w:rPr>
        <w:t xml:space="preserve">of </w:t>
      </w:r>
      <w:r w:rsidRPr="00D65921">
        <w:rPr>
          <w:strike/>
        </w:rPr>
        <w:t xml:space="preserve">origin of the serum </w:t>
      </w:r>
      <w:r w:rsidR="004730E9" w:rsidRPr="00D65921">
        <w:rPr>
          <w:strike/>
        </w:rPr>
        <w:t xml:space="preserve">must </w:t>
      </w:r>
      <w:r w:rsidRPr="00D65921">
        <w:rPr>
          <w:strike/>
        </w:rPr>
        <w:t>be known (use</w:t>
      </w:r>
      <w:r w:rsidR="004730E9" w:rsidRPr="00D65921">
        <w:rPr>
          <w:strike/>
        </w:rPr>
        <w:t xml:space="preserve"> of</w:t>
      </w:r>
      <w:r w:rsidRPr="00D65921">
        <w:rPr>
          <w:strike/>
        </w:rPr>
        <w:t xml:space="preserve"> serum from countries with high risk of transmissible spongiform encephalopath</w:t>
      </w:r>
      <w:r w:rsidR="004730E9" w:rsidRPr="00D65921">
        <w:rPr>
          <w:strike/>
        </w:rPr>
        <w:t>y</w:t>
      </w:r>
      <w:r w:rsidRPr="00D65921">
        <w:rPr>
          <w:strike/>
        </w:rPr>
        <w:t xml:space="preserve"> </w:t>
      </w:r>
      <w:r w:rsidR="00FE6C3B" w:rsidRPr="00D65921">
        <w:rPr>
          <w:strike/>
        </w:rPr>
        <w:t>[</w:t>
      </w:r>
      <w:r w:rsidRPr="00D65921">
        <w:rPr>
          <w:strike/>
        </w:rPr>
        <w:t>TSE</w:t>
      </w:r>
      <w:r w:rsidR="00FE6C3B" w:rsidRPr="00D65921">
        <w:rPr>
          <w:strike/>
        </w:rPr>
        <w:t>]</w:t>
      </w:r>
      <w:r w:rsidRPr="00D65921">
        <w:rPr>
          <w:strike/>
        </w:rPr>
        <w:t xml:space="preserve"> </w:t>
      </w:r>
      <w:r w:rsidR="00D35665" w:rsidRPr="00D65921">
        <w:rPr>
          <w:strike/>
        </w:rPr>
        <w:t>infections</w:t>
      </w:r>
      <w:r w:rsidR="004730E9" w:rsidRPr="00D65921">
        <w:rPr>
          <w:strike/>
        </w:rPr>
        <w:t xml:space="preserve"> should be avoided)</w:t>
      </w:r>
      <w:r w:rsidRPr="00D65921">
        <w:rPr>
          <w:strike/>
        </w:rPr>
        <w:t>.</w:t>
      </w:r>
    </w:p>
    <w:p w14:paraId="6FCE1C6A" w14:textId="1F794DF1" w:rsidR="00ED47BC" w:rsidRPr="00D65921" w:rsidRDefault="00ED47BC" w:rsidP="008A4B5A">
      <w:pPr>
        <w:pStyle w:val="i"/>
        <w:rPr>
          <w:strike/>
        </w:rPr>
      </w:pPr>
      <w:r w:rsidRPr="00D65921">
        <w:rPr>
          <w:strike/>
        </w:rPr>
        <w:t>iii</w:t>
      </w:r>
      <w:r w:rsidR="00064530" w:rsidRPr="00D65921">
        <w:rPr>
          <w:strike/>
        </w:rPr>
        <w:t>)</w:t>
      </w:r>
      <w:r w:rsidR="00064530" w:rsidRPr="00D65921">
        <w:rPr>
          <w:strike/>
        </w:rPr>
        <w:tab/>
      </w:r>
      <w:r w:rsidR="005474BA" w:rsidRPr="00D65921">
        <w:rPr>
          <w:strike/>
        </w:rPr>
        <w:t>Culture medium</w:t>
      </w:r>
    </w:p>
    <w:p w14:paraId="5124FC47" w14:textId="528D5896" w:rsidR="005474BA" w:rsidRPr="00D65921" w:rsidRDefault="005474BA" w:rsidP="008A4B5A">
      <w:pPr>
        <w:pStyle w:val="afourthpara"/>
        <w:rPr>
          <w:strike/>
        </w:rPr>
      </w:pPr>
      <w:r w:rsidRPr="00D65921">
        <w:rPr>
          <w:strike/>
        </w:rPr>
        <w:t xml:space="preserve">The </w:t>
      </w:r>
      <w:r w:rsidR="000641D0" w:rsidRPr="00D65921">
        <w:rPr>
          <w:strike/>
        </w:rPr>
        <w:t xml:space="preserve">traditional </w:t>
      </w:r>
      <w:r w:rsidRPr="00D65921">
        <w:rPr>
          <w:strike/>
        </w:rPr>
        <w:t xml:space="preserve">culture medium </w:t>
      </w:r>
      <w:r w:rsidR="000641D0" w:rsidRPr="00D65921">
        <w:rPr>
          <w:strike/>
        </w:rPr>
        <w:t xml:space="preserve">is </w:t>
      </w:r>
      <w:r w:rsidRPr="00D65921">
        <w:rPr>
          <w:strike/>
        </w:rPr>
        <w:t>minimal essential medium (MEM)</w:t>
      </w:r>
      <w:r w:rsidR="000641D0" w:rsidRPr="00D65921">
        <w:rPr>
          <w:strike/>
        </w:rPr>
        <w:t xml:space="preserve">; recent work has shown that Dulbecco’s </w:t>
      </w:r>
      <w:r w:rsidR="004C2282" w:rsidRPr="00D65921">
        <w:rPr>
          <w:strike/>
        </w:rPr>
        <w:t>modified Eagle’s medium (DMEM)</w:t>
      </w:r>
      <w:r w:rsidR="000641D0" w:rsidRPr="00D65921">
        <w:rPr>
          <w:strike/>
        </w:rPr>
        <w:t xml:space="preserve"> containing</w:t>
      </w:r>
      <w:r w:rsidR="00685D41" w:rsidRPr="00D65921">
        <w:rPr>
          <w:strike/>
        </w:rPr>
        <w:t xml:space="preserve"> 25mM glucose</w:t>
      </w:r>
      <w:r w:rsidR="000641D0" w:rsidRPr="00D65921">
        <w:rPr>
          <w:strike/>
        </w:rPr>
        <w:t xml:space="preserve"> </w:t>
      </w:r>
      <w:r w:rsidR="00685D41" w:rsidRPr="00D65921">
        <w:rPr>
          <w:strike/>
        </w:rPr>
        <w:t>or 25mM fructose gives significantly higher</w:t>
      </w:r>
      <w:r w:rsidRPr="00D65921">
        <w:rPr>
          <w:strike/>
        </w:rPr>
        <w:t xml:space="preserve"> </w:t>
      </w:r>
      <w:r w:rsidR="00685D41" w:rsidRPr="00D65921">
        <w:rPr>
          <w:strike/>
        </w:rPr>
        <w:t>(</w:t>
      </w:r>
      <w:r w:rsidR="008A0A9D" w:rsidRPr="00D65921">
        <w:rPr>
          <w:strike/>
        </w:rPr>
        <w:t>ten</w:t>
      </w:r>
      <w:r w:rsidR="00685D41" w:rsidRPr="00D65921">
        <w:rPr>
          <w:strike/>
        </w:rPr>
        <w:t xml:space="preserve">fold) yields of virus (Silva </w:t>
      </w:r>
      <w:r w:rsidR="00685D41" w:rsidRPr="00D65921">
        <w:rPr>
          <w:i/>
          <w:strike/>
        </w:rPr>
        <w:t>et al</w:t>
      </w:r>
      <w:r w:rsidR="00685D41" w:rsidRPr="00D65921">
        <w:rPr>
          <w:strike/>
        </w:rPr>
        <w:t xml:space="preserve">., 2011). The medium should be </w:t>
      </w:r>
      <w:r w:rsidRPr="00D65921">
        <w:rPr>
          <w:strike/>
        </w:rPr>
        <w:t>supplemented with antibiotics (for example penicillin + streptomycin at final concentrations of 100 IU [International Units]/ml and 100 µg/ml, respectively), and an antifungal agent (</w:t>
      </w:r>
      <w:r w:rsidR="00EE7FFD" w:rsidRPr="00D65921">
        <w:rPr>
          <w:strike/>
        </w:rPr>
        <w:t xml:space="preserve">e.g. </w:t>
      </w:r>
      <w:r w:rsidRPr="00D65921">
        <w:rPr>
          <w:strike/>
        </w:rPr>
        <w:t>nystatin [</w:t>
      </w:r>
      <w:proofErr w:type="spellStart"/>
      <w:r w:rsidRPr="00D65921">
        <w:rPr>
          <w:strike/>
        </w:rPr>
        <w:t>Mycostatin</w:t>
      </w:r>
      <w:proofErr w:type="spellEnd"/>
      <w:r w:rsidRPr="00D65921">
        <w:rPr>
          <w:strike/>
        </w:rPr>
        <w:t>] at a f</w:t>
      </w:r>
      <w:r w:rsidR="008A0A9D" w:rsidRPr="00D65921">
        <w:rPr>
          <w:strike/>
        </w:rPr>
        <w:t>inal concentration of 50 </w:t>
      </w:r>
      <w:r w:rsidRPr="00D65921">
        <w:rPr>
          <w:strike/>
        </w:rPr>
        <w:t xml:space="preserve">µg/ml). The medium is enriched with 10% </w:t>
      </w:r>
      <w:proofErr w:type="spellStart"/>
      <w:r w:rsidRPr="00D65921">
        <w:rPr>
          <w:strike/>
        </w:rPr>
        <w:t>fetal</w:t>
      </w:r>
      <w:proofErr w:type="spellEnd"/>
      <w:r w:rsidRPr="00D65921">
        <w:rPr>
          <w:strike/>
        </w:rPr>
        <w:t xml:space="preserve"> calf serum (complete medium) for cell growth. This proportion of serum is reduced to 2% for maintenance medium when the cell monolayer is complete.</w:t>
      </w:r>
    </w:p>
    <w:p w14:paraId="12EF0DAE" w14:textId="3458DFAF" w:rsidR="005474BA" w:rsidRPr="00D65921" w:rsidRDefault="00ED47BC">
      <w:pPr>
        <w:pStyle w:val="111"/>
        <w:rPr>
          <w:strike/>
        </w:rPr>
      </w:pPr>
      <w:r w:rsidRPr="00D65921">
        <w:rPr>
          <w:strike/>
        </w:rPr>
        <w:t>2.2.3.</w:t>
      </w:r>
      <w:r w:rsidRPr="00D65921">
        <w:rPr>
          <w:strike/>
        </w:rPr>
        <w:tab/>
      </w:r>
      <w:r w:rsidR="005474BA" w:rsidRPr="00D65921">
        <w:rPr>
          <w:strike/>
        </w:rPr>
        <w:t>In-process controls</w:t>
      </w:r>
    </w:p>
    <w:p w14:paraId="77EC9689" w14:textId="7E946C4E" w:rsidR="005474BA" w:rsidRPr="00D65921" w:rsidRDefault="005474BA" w:rsidP="008A4B5A">
      <w:pPr>
        <w:pStyle w:val="111Para"/>
        <w:rPr>
          <w:strike/>
        </w:rPr>
      </w:pPr>
      <w:r w:rsidRPr="00D65921">
        <w:rPr>
          <w:strike/>
        </w:rPr>
        <w:t>Cells used in cultures must be checked for normal appearance and shown to be free from contaminating viruses, especially bovine viral diarrhoea virus. A virus titration must be undertaken on the seed lot: using serum-free medium, a series of tenfold dilutions is made (0.5</w:t>
      </w:r>
      <w:r w:rsidR="007C1EEC" w:rsidRPr="00D65921">
        <w:rPr>
          <w:strike/>
        </w:rPr>
        <w:t> </w:t>
      </w:r>
      <w:r w:rsidRPr="00D65921">
        <w:rPr>
          <w:strike/>
        </w:rPr>
        <w:t>ml virus + 4.5 ml diluent) down to 10</w:t>
      </w:r>
      <w:r w:rsidRPr="00D65921">
        <w:rPr>
          <w:strike/>
          <w:position w:val="6"/>
          <w:sz w:val="14"/>
        </w:rPr>
        <w:t>–6</w:t>
      </w:r>
      <w:r w:rsidRPr="00D65921">
        <w:rPr>
          <w:strike/>
        </w:rPr>
        <w:t xml:space="preserve"> of the product to be titrated. Vero cells from one flask are </w:t>
      </w:r>
      <w:proofErr w:type="spellStart"/>
      <w:r w:rsidRPr="00D65921">
        <w:rPr>
          <w:strike/>
        </w:rPr>
        <w:t>trypsinised</w:t>
      </w:r>
      <w:proofErr w:type="spellEnd"/>
      <w:r w:rsidRPr="00D65921">
        <w:rPr>
          <w:strike/>
        </w:rPr>
        <w:t xml:space="preserve"> and suspended in complete culture medium at 300,000/ml. They are distributed on a 96-well plate (30,000 cells per well, equivalent to 100 µl of cell suspension). Then, 100 µl of virus diluted tenfold is added to the cells (dilutions ranging from 10</w:t>
      </w:r>
      <w:r w:rsidRPr="00D65921">
        <w:rPr>
          <w:strike/>
          <w:position w:val="6"/>
          <w:sz w:val="14"/>
        </w:rPr>
        <w:t>–2</w:t>
      </w:r>
      <w:r w:rsidRPr="00D65921">
        <w:rPr>
          <w:strike/>
        </w:rPr>
        <w:t xml:space="preserve"> to 10</w:t>
      </w:r>
      <w:r w:rsidRPr="00D65921">
        <w:rPr>
          <w:strike/>
          <w:position w:val="6"/>
          <w:sz w:val="14"/>
        </w:rPr>
        <w:t>–6</w:t>
      </w:r>
      <w:r w:rsidRPr="00D65921">
        <w:rPr>
          <w:strike/>
        </w:rPr>
        <w:t>). One row of wells serves as a control for uninfected cells to which</w:t>
      </w:r>
      <w:r w:rsidR="00535EC0" w:rsidRPr="00D65921">
        <w:rPr>
          <w:strike/>
        </w:rPr>
        <w:t xml:space="preserve"> virus-free culture medium (100 </w:t>
      </w:r>
      <w:r w:rsidRPr="00D65921">
        <w:rPr>
          <w:strike/>
        </w:rPr>
        <w:t>µl) is added. The plate is incubated at 37°C in the presence of CO</w:t>
      </w:r>
      <w:r w:rsidRPr="00D65921">
        <w:rPr>
          <w:strike/>
          <w:szCs w:val="14"/>
          <w:vertAlign w:val="subscript"/>
        </w:rPr>
        <w:t>2</w:t>
      </w:r>
      <w:r w:rsidRPr="00D65921">
        <w:rPr>
          <w:strike/>
        </w:rPr>
        <w:t xml:space="preserve">. The plates are read (by examining for CPE) </w:t>
      </w:r>
      <w:r w:rsidR="00203E13" w:rsidRPr="00D65921">
        <w:rPr>
          <w:strike/>
        </w:rPr>
        <w:t xml:space="preserve">7–10 </w:t>
      </w:r>
      <w:r w:rsidRPr="00D65921">
        <w:rPr>
          <w:strike/>
        </w:rPr>
        <w:t>days after infection.</w:t>
      </w:r>
    </w:p>
    <w:p w14:paraId="4A580D2A" w14:textId="1F0BF1EF" w:rsidR="005474BA" w:rsidRPr="00D65921" w:rsidRDefault="005474BA" w:rsidP="008A4B5A">
      <w:pPr>
        <w:pStyle w:val="111Para"/>
        <w:rPr>
          <w:strike/>
        </w:rPr>
      </w:pPr>
      <w:r w:rsidRPr="00D65921">
        <w:rPr>
          <w:strike/>
        </w:rPr>
        <w:t>Virus titre is determined by the Spearman–</w:t>
      </w:r>
      <w:proofErr w:type="spellStart"/>
      <w:r w:rsidRPr="00D65921">
        <w:rPr>
          <w:strike/>
        </w:rPr>
        <w:t>Kärber</w:t>
      </w:r>
      <w:proofErr w:type="spellEnd"/>
      <w:r w:rsidRPr="00D65921">
        <w:rPr>
          <w:strike/>
        </w:rPr>
        <w:t xml:space="preserve"> method. </w:t>
      </w:r>
    </w:p>
    <w:p w14:paraId="2EFDE6CA" w14:textId="77777777" w:rsidR="005474BA" w:rsidRPr="00934626" w:rsidRDefault="00ED47BC" w:rsidP="00E13B8E">
      <w:pPr>
        <w:pStyle w:val="111"/>
      </w:pPr>
      <w:r w:rsidRPr="00934626">
        <w:t>2.2.4.</w:t>
      </w:r>
      <w:r w:rsidRPr="00934626">
        <w:tab/>
      </w:r>
      <w:r w:rsidR="005474BA" w:rsidRPr="00934626">
        <w:t>Final product batch tests</w:t>
      </w:r>
    </w:p>
    <w:p w14:paraId="7AA3156E" w14:textId="0A730F88" w:rsidR="006C0C6F" w:rsidRPr="00D65921" w:rsidRDefault="006C0C6F" w:rsidP="00D65921">
      <w:pPr>
        <w:pStyle w:val="111Para"/>
        <w:rPr>
          <w:u w:val="double"/>
        </w:rPr>
      </w:pPr>
      <w:r w:rsidRPr="00D65921">
        <w:rPr>
          <w:u w:val="double"/>
        </w:rPr>
        <w:t xml:space="preserve">Determination of the number of samples to be tested will depend on the batch size and the accuracy of the test involved; the principles of Appendix 1.1.2.1 </w:t>
      </w:r>
      <w:r w:rsidRPr="00D65921">
        <w:rPr>
          <w:i/>
          <w:u w:val="double"/>
        </w:rPr>
        <w:t>Epidemiological approaches to sampling: sample size calculations</w:t>
      </w:r>
      <w:r w:rsidRPr="00D65921">
        <w:rPr>
          <w:u w:val="double"/>
        </w:rPr>
        <w:t xml:space="preserve"> of Chapter 1.1.2 </w:t>
      </w:r>
      <w:r w:rsidRPr="00D65921">
        <w:rPr>
          <w:i/>
          <w:u w:val="double"/>
        </w:rPr>
        <w:t>Collection, submission and storage of diagnostic specimens</w:t>
      </w:r>
      <w:r w:rsidRPr="00D65921">
        <w:rPr>
          <w:u w:val="double"/>
        </w:rPr>
        <w:t xml:space="preserve"> apply.</w:t>
      </w:r>
      <w:r w:rsidR="00C21C23" w:rsidRPr="00D65921">
        <w:rPr>
          <w:u w:val="double"/>
        </w:rPr>
        <w:t xml:space="preserve"> Manufacturers must sample sufficient vials to have &gt;95% confidence of detecting contamination at the 0.1% level.</w:t>
      </w:r>
    </w:p>
    <w:p w14:paraId="5D8BA7C0" w14:textId="77777777" w:rsidR="005474BA" w:rsidRPr="00934626" w:rsidRDefault="00ED47BC" w:rsidP="00E13B8E">
      <w:pPr>
        <w:pStyle w:val="i"/>
      </w:pPr>
      <w:proofErr w:type="spellStart"/>
      <w:r w:rsidRPr="00934626">
        <w:t>i</w:t>
      </w:r>
      <w:proofErr w:type="spellEnd"/>
      <w:r w:rsidRPr="00934626">
        <w:t>)</w:t>
      </w:r>
      <w:r w:rsidRPr="00934626">
        <w:tab/>
      </w:r>
      <w:r w:rsidR="005474BA" w:rsidRPr="00934626">
        <w:t>Sterility and purity</w:t>
      </w:r>
    </w:p>
    <w:p w14:paraId="51AF5ED2" w14:textId="14E7F032" w:rsidR="002058B0" w:rsidRPr="00934626" w:rsidRDefault="002058B0" w:rsidP="00473E2E">
      <w:pPr>
        <w:pStyle w:val="afourthpara"/>
      </w:pPr>
      <w:r w:rsidRPr="00934626">
        <w:lastRenderedPageBreak/>
        <w:t xml:space="preserve">Tests for sterility and freedom from contamination </w:t>
      </w:r>
      <w:r w:rsidR="00640180" w:rsidRPr="00934626">
        <w:t xml:space="preserve">of biological materials intended for veterinary use </w:t>
      </w:r>
      <w:r w:rsidRPr="00934626">
        <w:t>may be found in chapter 1.1.</w:t>
      </w:r>
      <w:r w:rsidR="00ED47BC" w:rsidRPr="00934626">
        <w:t>9</w:t>
      </w:r>
      <w:r w:rsidRPr="00934626">
        <w:t>.</w:t>
      </w:r>
    </w:p>
    <w:p w14:paraId="4B38352C" w14:textId="29328068" w:rsidR="008F273A" w:rsidRPr="00D65921" w:rsidRDefault="008F273A" w:rsidP="00473E2E">
      <w:pPr>
        <w:pStyle w:val="afourthpara"/>
        <w:rPr>
          <w:strike/>
        </w:rPr>
      </w:pPr>
      <w:r w:rsidRPr="00D65921">
        <w:rPr>
          <w:strike/>
        </w:rPr>
        <w:t>The content of one container from each filling lot must be checked for identity by culture after neutralisation with specific antiserum.</w:t>
      </w:r>
    </w:p>
    <w:p w14:paraId="4A7446E9" w14:textId="7EBC84E0" w:rsidR="005474BA" w:rsidRPr="00934626" w:rsidRDefault="008F273A" w:rsidP="00473E2E">
      <w:pPr>
        <w:pStyle w:val="afourthpara"/>
      </w:pPr>
      <w:r w:rsidRPr="00D65921">
        <w:rPr>
          <w:u w:val="double"/>
        </w:rPr>
        <w:t xml:space="preserve">The batch </w:t>
      </w:r>
      <w:r w:rsidR="00D65921" w:rsidRPr="00D65921">
        <w:rPr>
          <w:u w:val="double"/>
        </w:rPr>
        <w:t>must</w:t>
      </w:r>
      <w:r w:rsidR="00D65921" w:rsidRPr="00934626">
        <w:t xml:space="preserve"> </w:t>
      </w:r>
      <w:r w:rsidR="00D65921" w:rsidRPr="00D65921">
        <w:rPr>
          <w:strike/>
        </w:rPr>
        <w:t xml:space="preserve">It </w:t>
      </w:r>
      <w:r w:rsidR="005474BA" w:rsidRPr="00D65921">
        <w:rPr>
          <w:strike/>
        </w:rPr>
        <w:t>should</w:t>
      </w:r>
      <w:r w:rsidR="005474BA" w:rsidRPr="00934626">
        <w:t xml:space="preserve"> be tested and prove</w:t>
      </w:r>
      <w:r w:rsidR="002058B0" w:rsidRPr="00934626">
        <w:t>n</w:t>
      </w:r>
      <w:r w:rsidR="006C0C6F">
        <w:t xml:space="preserve"> </w:t>
      </w:r>
      <w:r w:rsidR="006C0C6F" w:rsidRPr="00D65921">
        <w:rPr>
          <w:u w:val="double"/>
        </w:rPr>
        <w:t>not</w:t>
      </w:r>
      <w:r w:rsidR="005474BA" w:rsidRPr="00934626">
        <w:t xml:space="preserve"> to be </w:t>
      </w:r>
      <w:r w:rsidR="005474BA" w:rsidRPr="00D65921">
        <w:rPr>
          <w:strike/>
        </w:rPr>
        <w:t>non-</w:t>
      </w:r>
      <w:r w:rsidR="005474BA" w:rsidRPr="00934626">
        <w:t>contaminated by bacteria, fungus</w:t>
      </w:r>
      <w:r w:rsidR="0096244F" w:rsidRPr="00D65921">
        <w:rPr>
          <w:u w:val="double"/>
        </w:rPr>
        <w:t>, mycoplasma</w:t>
      </w:r>
      <w:r w:rsidR="005474BA" w:rsidRPr="00934626">
        <w:t xml:space="preserve"> or other viruses. The</w:t>
      </w:r>
      <w:r w:rsidR="004730E9" w:rsidRPr="00934626">
        <w:t>se</w:t>
      </w:r>
      <w:r w:rsidR="005474BA" w:rsidRPr="00934626">
        <w:t xml:space="preserve"> test</w:t>
      </w:r>
      <w:r w:rsidR="004730E9" w:rsidRPr="00934626">
        <w:t>s are</w:t>
      </w:r>
      <w:r w:rsidR="005474BA" w:rsidRPr="00934626">
        <w:t xml:space="preserve"> carried out on </w:t>
      </w:r>
      <w:r w:rsidR="005474BA" w:rsidRPr="00D65921">
        <w:rPr>
          <w:strike/>
        </w:rPr>
        <w:t>cells and sera before their use in vaccine production, and on the seed stock and</w:t>
      </w:r>
      <w:r w:rsidR="005474BA" w:rsidRPr="00934626">
        <w:t xml:space="preserve"> the vaccine </w:t>
      </w:r>
      <w:r w:rsidR="006C0C6F" w:rsidRPr="00D65921">
        <w:rPr>
          <w:u w:val="double"/>
        </w:rPr>
        <w:t>batch</w:t>
      </w:r>
      <w:r w:rsidR="006C0C6F">
        <w:t xml:space="preserve"> </w:t>
      </w:r>
      <w:r w:rsidR="005474BA" w:rsidRPr="00934626">
        <w:t xml:space="preserve">before and after freeze-drying. Any product that fails </w:t>
      </w:r>
      <w:r w:rsidR="005474BA" w:rsidRPr="00D65921">
        <w:rPr>
          <w:strike/>
        </w:rPr>
        <w:t xml:space="preserve">this </w:t>
      </w:r>
      <w:r w:rsidRPr="00D65921">
        <w:rPr>
          <w:u w:val="double"/>
        </w:rPr>
        <w:t>these</w:t>
      </w:r>
      <w:r w:rsidRPr="00934626">
        <w:t xml:space="preserve"> </w:t>
      </w:r>
      <w:r w:rsidR="005474BA" w:rsidRPr="00934626">
        <w:t>test</w:t>
      </w:r>
      <w:r w:rsidRPr="00D65921">
        <w:rPr>
          <w:u w:val="double"/>
        </w:rPr>
        <w:t>s</w:t>
      </w:r>
      <w:r w:rsidR="005474BA" w:rsidRPr="00934626">
        <w:t xml:space="preserve"> for sterility is destroyed.</w:t>
      </w:r>
    </w:p>
    <w:p w14:paraId="3F5FEAB0" w14:textId="4F22615A" w:rsidR="008F273A" w:rsidRDefault="008F273A" w:rsidP="008F273A">
      <w:pPr>
        <w:pStyle w:val="afourthpara"/>
      </w:pPr>
      <w:r w:rsidRPr="00934626">
        <w:t xml:space="preserve">The content of </w:t>
      </w:r>
      <w:r w:rsidR="006C0C6F" w:rsidRPr="00D65921">
        <w:rPr>
          <w:u w:val="double"/>
        </w:rPr>
        <w:t>at least</w:t>
      </w:r>
      <w:r w:rsidR="006C0C6F">
        <w:t xml:space="preserve"> </w:t>
      </w:r>
      <w:r w:rsidRPr="00934626">
        <w:t>one container from each filling lot must be checked for identity by culture after neutralisation with specific antiserum</w:t>
      </w:r>
      <w:r w:rsidR="00D65921">
        <w:t>.</w:t>
      </w:r>
    </w:p>
    <w:p w14:paraId="69D13F4B" w14:textId="7E3E8421" w:rsidR="005474BA" w:rsidRPr="00D65921" w:rsidRDefault="005474BA" w:rsidP="00473E2E">
      <w:pPr>
        <w:pStyle w:val="afourthpara"/>
        <w:rPr>
          <w:strike/>
        </w:rPr>
      </w:pPr>
      <w:r w:rsidRPr="00D65921">
        <w:rPr>
          <w:strike/>
        </w:rPr>
        <w:t xml:space="preserve">Tests </w:t>
      </w:r>
      <w:r w:rsidR="00ED47BC" w:rsidRPr="00D65921">
        <w:rPr>
          <w:strike/>
        </w:rPr>
        <w:t xml:space="preserve">of biological materials </w:t>
      </w:r>
      <w:r w:rsidRPr="00D65921">
        <w:rPr>
          <w:strike/>
        </w:rPr>
        <w:t xml:space="preserve">for sterility and freedom from contamination may be found in </w:t>
      </w:r>
      <w:r w:rsidR="00D35665" w:rsidRPr="00D65921">
        <w:rPr>
          <w:strike/>
        </w:rPr>
        <w:t>c</w:t>
      </w:r>
      <w:r w:rsidRPr="00D65921">
        <w:rPr>
          <w:strike/>
        </w:rPr>
        <w:t>hapter 1.1.</w:t>
      </w:r>
      <w:r w:rsidR="00ED47BC" w:rsidRPr="00D65921">
        <w:rPr>
          <w:strike/>
        </w:rPr>
        <w:t>9</w:t>
      </w:r>
      <w:r w:rsidRPr="00D65921">
        <w:rPr>
          <w:strike/>
        </w:rPr>
        <w:t>.</w:t>
      </w:r>
    </w:p>
    <w:p w14:paraId="1CE7778A" w14:textId="77777777" w:rsidR="005474BA" w:rsidRPr="00934626" w:rsidRDefault="00ED47BC" w:rsidP="00E13B8E">
      <w:pPr>
        <w:pStyle w:val="i"/>
      </w:pPr>
      <w:r w:rsidRPr="00934626">
        <w:t>ii)</w:t>
      </w:r>
      <w:r w:rsidRPr="00934626">
        <w:tab/>
      </w:r>
      <w:r w:rsidR="005474BA" w:rsidRPr="00934626">
        <w:t>Safety and efficacy</w:t>
      </w:r>
    </w:p>
    <w:p w14:paraId="76E1AAB1" w14:textId="0B96EBB4" w:rsidR="005474BA" w:rsidRPr="00D65921" w:rsidRDefault="00000683" w:rsidP="00473E2E">
      <w:pPr>
        <w:pStyle w:val="afourthpara"/>
        <w:rPr>
          <w:strike/>
        </w:rPr>
      </w:pPr>
      <w:r w:rsidRPr="00D65921">
        <w:rPr>
          <w:u w:val="double"/>
        </w:rPr>
        <w:t xml:space="preserve">As stated in Chapter 1.1.8 </w:t>
      </w:r>
      <w:r w:rsidRPr="00D65921">
        <w:rPr>
          <w:i/>
          <w:u w:val="double"/>
        </w:rPr>
        <w:t>Principles of veterinary vaccine production</w:t>
      </w:r>
      <w:r w:rsidRPr="00D65921">
        <w:rPr>
          <w:u w:val="double"/>
        </w:rPr>
        <w:t>, the target animal batch safety test (TABST) may be waived by the regulatory authority when a sufficient number of production batches have been produced under the control of a seed lot system and found to comply with the test, thus demonstrating consistency of the manufacturing process. Some regulatory authorities still require safety tests for the release of each batch. Where required,</w:t>
      </w:r>
      <w:r>
        <w:t xml:space="preserve"> a</w:t>
      </w:r>
      <w:r w:rsidR="005474BA" w:rsidRPr="00934626">
        <w:t xml:space="preserve"> safety test should be done </w:t>
      </w:r>
      <w:r w:rsidR="005474BA" w:rsidRPr="00D65921">
        <w:rPr>
          <w:strike/>
        </w:rPr>
        <w:t xml:space="preserve">in rodents in order to detect any nonspecific toxicity associated with the product and also </w:t>
      </w:r>
      <w:r w:rsidR="005474BA" w:rsidRPr="00934626">
        <w:t xml:space="preserve">on </w:t>
      </w:r>
      <w:r w:rsidR="00717432" w:rsidRPr="00934626">
        <w:t xml:space="preserve">the </w:t>
      </w:r>
      <w:r w:rsidR="005474BA" w:rsidRPr="00934626">
        <w:t xml:space="preserve">host recipient of the vaccine, currently sheep and goats. </w:t>
      </w:r>
      <w:r w:rsidRPr="00D65921">
        <w:t>Unless specifically required by a local regulatory authority, the safety test in rodents is not considered necessary for live attenuated PPRV vaccines</w:t>
      </w:r>
      <w:r w:rsidR="00D65921">
        <w:t>.</w:t>
      </w:r>
    </w:p>
    <w:p w14:paraId="4A5E4608" w14:textId="3D2979AC" w:rsidR="005474BA" w:rsidRPr="00D65921" w:rsidRDefault="005474BA" w:rsidP="00473E2E">
      <w:pPr>
        <w:pStyle w:val="afourthpara"/>
        <w:rPr>
          <w:strike/>
        </w:rPr>
      </w:pPr>
      <w:r w:rsidRPr="00D65921">
        <w:rPr>
          <w:strike/>
        </w:rPr>
        <w:t xml:space="preserve">For rodents, six guinea-pigs, each weighing 200–250 g; ten </w:t>
      </w:r>
      <w:proofErr w:type="spellStart"/>
      <w:r w:rsidRPr="00D65921">
        <w:rPr>
          <w:strike/>
        </w:rPr>
        <w:t>unweaned</w:t>
      </w:r>
      <w:proofErr w:type="spellEnd"/>
      <w:r w:rsidRPr="00D65921">
        <w:rPr>
          <w:strike/>
        </w:rPr>
        <w:t xml:space="preserve"> mice (17–22 g, Swiss line or similar). The vaccine contents of five bottles are mixed and used. The vaccine, 0.5 ml, is injected intramuscularly into a hind limb of two guinea-pigs, 0.5 ml into the peritoneal cavity of two guinea-pigs, and 0.1 ml into the peritoneal cavity of six mice. Two guinea-pigs and four mice are kept as uninoculated controls. The animals are observed for 3 weeks. If one guinea-pig or two mice die, the test must be repeated. Dead animals undergo post-mortem examination to ascertain the cause of death. At the end of 3 weeks of observation, all animals are killed for post-mortem examination. All the results are recorded. The vaccine is considered to be satisfactory if, during the first or second test, at least 80% of animals remain in good health during the period of observation, and no significant post-mortem lesion is found.</w:t>
      </w:r>
    </w:p>
    <w:p w14:paraId="1DB172F5" w14:textId="17A12144" w:rsidR="006275F8" w:rsidRPr="00934626" w:rsidRDefault="006275F8" w:rsidP="00473E2E">
      <w:pPr>
        <w:pStyle w:val="afourthpara"/>
      </w:pPr>
      <w:r w:rsidRPr="00D65921">
        <w:rPr>
          <w:strike/>
        </w:rPr>
        <w:t>Normally the minimum immunising dose is 100</w:t>
      </w:r>
      <w:r w:rsidR="00F51105" w:rsidRPr="00D65921">
        <w:rPr>
          <w:strike/>
        </w:rPr>
        <w:t>×</w:t>
      </w:r>
      <w:r w:rsidRPr="00D65921">
        <w:rPr>
          <w:strike/>
        </w:rPr>
        <w:t xml:space="preserve"> the lowest dose of vaccine virus able to induce a 50% immunising response. For example, in the case of the attenuated Nigeria 75/1 vaccine the required minimum titre per dose has been shown to be 10</w:t>
      </w:r>
      <w:r w:rsidRPr="00D65921">
        <w:rPr>
          <w:strike/>
          <w:position w:val="6"/>
          <w:sz w:val="14"/>
          <w:szCs w:val="14"/>
        </w:rPr>
        <w:t>2.5</w:t>
      </w:r>
      <w:r w:rsidRPr="00D65921">
        <w:rPr>
          <w:strike/>
        </w:rPr>
        <w:t> TCID</w:t>
      </w:r>
      <w:r w:rsidRPr="00D65921">
        <w:rPr>
          <w:strike/>
          <w:szCs w:val="14"/>
          <w:vertAlign w:val="subscript"/>
        </w:rPr>
        <w:t>50</w:t>
      </w:r>
      <w:r w:rsidRPr="00D65921">
        <w:rPr>
          <w:strike/>
        </w:rPr>
        <w:t>.</w:t>
      </w:r>
    </w:p>
    <w:p w14:paraId="2B13D100" w14:textId="77777777" w:rsidR="00E032BF" w:rsidRPr="00D65921" w:rsidRDefault="00E032BF" w:rsidP="00E032BF">
      <w:pPr>
        <w:pStyle w:val="afourthpara"/>
        <w:rPr>
          <w:u w:val="double"/>
        </w:rPr>
      </w:pPr>
      <w:r w:rsidRPr="00D65921">
        <w:rPr>
          <w:u w:val="double"/>
        </w:rPr>
        <w:t>Normally the minimum immunising dose is 100× the lowest dose of vaccine virus able to induce a 50% immunising response. For example, in the case of the attenuated Nigeria 75/1 vaccine the required minimum titre per dose has been shown to be 10</w:t>
      </w:r>
      <w:r w:rsidRPr="00D65921">
        <w:rPr>
          <w:position w:val="6"/>
          <w:sz w:val="14"/>
          <w:szCs w:val="14"/>
          <w:u w:val="double"/>
        </w:rPr>
        <w:t>2.5</w:t>
      </w:r>
      <w:r w:rsidRPr="00D65921">
        <w:rPr>
          <w:u w:val="double"/>
        </w:rPr>
        <w:t> TCID</w:t>
      </w:r>
      <w:r w:rsidRPr="00D65921">
        <w:rPr>
          <w:szCs w:val="14"/>
          <w:u w:val="double"/>
          <w:vertAlign w:val="subscript"/>
        </w:rPr>
        <w:t>50</w:t>
      </w:r>
      <w:r w:rsidRPr="00D65921">
        <w:rPr>
          <w:u w:val="double"/>
        </w:rPr>
        <w:t>.</w:t>
      </w:r>
    </w:p>
    <w:p w14:paraId="3B93D082" w14:textId="6B5D07A2" w:rsidR="005474BA" w:rsidRPr="00D65921" w:rsidRDefault="005474BA" w:rsidP="00473E2E">
      <w:pPr>
        <w:pStyle w:val="afourthpara"/>
        <w:rPr>
          <w:strike/>
        </w:rPr>
      </w:pPr>
      <w:r w:rsidRPr="00934626">
        <w:t xml:space="preserve">For the </w:t>
      </w:r>
      <w:r w:rsidR="00030472">
        <w:t>TABST</w:t>
      </w:r>
      <w:r w:rsidRPr="00934626">
        <w:t xml:space="preserve">, </w:t>
      </w:r>
      <w:r w:rsidR="00030472" w:rsidRPr="00D65921">
        <w:rPr>
          <w:u w:val="double"/>
        </w:rPr>
        <w:t>five bottles of the</w:t>
      </w:r>
      <w:r w:rsidR="00030472" w:rsidRPr="00D65921">
        <w:t xml:space="preserve"> </w:t>
      </w:r>
      <w:r w:rsidRPr="00934626">
        <w:t xml:space="preserve">PPR vaccine </w:t>
      </w:r>
      <w:r w:rsidR="00030472" w:rsidRPr="00D65921">
        <w:rPr>
          <w:strike/>
          <w:u w:val="double"/>
        </w:rPr>
        <w:t>batch</w:t>
      </w:r>
      <w:r w:rsidR="00030472" w:rsidRPr="00D65921">
        <w:rPr>
          <w:strike/>
        </w:rPr>
        <w:t xml:space="preserve"> </w:t>
      </w:r>
      <w:r w:rsidR="006275F8" w:rsidRPr="00D65921">
        <w:rPr>
          <w:strike/>
        </w:rPr>
        <w:t xml:space="preserve">must be </w:t>
      </w:r>
      <w:r w:rsidRPr="00D65921">
        <w:rPr>
          <w:strike/>
        </w:rPr>
        <w:t>reconstituted with normal saline</w:t>
      </w:r>
      <w:r w:rsidR="00B17378" w:rsidRPr="00D65921">
        <w:rPr>
          <w:strike/>
        </w:rPr>
        <w:t>.</w:t>
      </w:r>
      <w:r w:rsidRPr="00D65921">
        <w:rPr>
          <w:strike/>
        </w:rPr>
        <w:t xml:space="preserve"> </w:t>
      </w:r>
      <w:r w:rsidR="00B17378" w:rsidRPr="00D65921">
        <w:rPr>
          <w:strike/>
        </w:rPr>
        <w:t>T</w:t>
      </w:r>
      <w:r w:rsidRPr="00D65921">
        <w:rPr>
          <w:strike/>
        </w:rPr>
        <w:t xml:space="preserve">he mixed contents of five bottles </w:t>
      </w:r>
      <w:r w:rsidRPr="00934626">
        <w:t xml:space="preserve">are reconstituted in the </w:t>
      </w:r>
      <w:r w:rsidR="00030472" w:rsidRPr="00D65921">
        <w:rPr>
          <w:u w:val="double"/>
        </w:rPr>
        <w:t>normal</w:t>
      </w:r>
      <w:r w:rsidR="00030472" w:rsidRPr="00E110F3">
        <w:t xml:space="preserve"> </w:t>
      </w:r>
      <w:r w:rsidRPr="00934626">
        <w:t>diluent</w:t>
      </w:r>
      <w:r w:rsidR="00030472" w:rsidRPr="00D65921">
        <w:rPr>
          <w:u w:val="double"/>
        </w:rPr>
        <w:t>, mixed and diluted</w:t>
      </w:r>
      <w:r w:rsidRPr="00934626">
        <w:t xml:space="preserve"> to</w:t>
      </w:r>
      <w:r w:rsidR="00B17378" w:rsidRPr="00934626">
        <w:t xml:space="preserve"> give</w:t>
      </w:r>
      <w:r w:rsidR="006275F8" w:rsidRPr="00934626">
        <w:t xml:space="preserve"> </w:t>
      </w:r>
      <w:r w:rsidR="00030472" w:rsidRPr="00D65921">
        <w:rPr>
          <w:u w:val="double"/>
        </w:rPr>
        <w:t>a</w:t>
      </w:r>
      <w:r w:rsidR="00030472">
        <w:t xml:space="preserve"> </w:t>
      </w:r>
      <w:r w:rsidR="006275F8" w:rsidRPr="00934626">
        <w:t>solution</w:t>
      </w:r>
      <w:r w:rsidR="006275F8" w:rsidRPr="00D65921">
        <w:rPr>
          <w:strike/>
        </w:rPr>
        <w:t>s</w:t>
      </w:r>
      <w:r w:rsidR="006275F8" w:rsidRPr="00934626">
        <w:t xml:space="preserve"> of</w:t>
      </w:r>
      <w:r w:rsidR="00535EC0" w:rsidRPr="00934626">
        <w:t xml:space="preserve"> 100 </w:t>
      </w:r>
      <w:r w:rsidRPr="00934626">
        <w:t>doses/ml</w:t>
      </w:r>
      <w:r w:rsidR="006F067D" w:rsidRPr="00E110F3">
        <w:rPr>
          <w:strike/>
        </w:rPr>
        <w:t xml:space="preserve"> </w:t>
      </w:r>
      <w:r w:rsidRPr="00D65921">
        <w:rPr>
          <w:strike/>
        </w:rPr>
        <w:t>and 0.1 dose/ml</w:t>
      </w:r>
      <w:r w:rsidRPr="00E110F3">
        <w:t xml:space="preserve">. </w:t>
      </w:r>
      <w:r w:rsidRPr="00D65921">
        <w:rPr>
          <w:strike/>
        </w:rPr>
        <w:t>Six</w:t>
      </w:r>
      <w:r w:rsidRPr="00E110F3">
        <w:rPr>
          <w:strike/>
        </w:rPr>
        <w:t xml:space="preserve"> </w:t>
      </w:r>
      <w:r w:rsidR="00030472" w:rsidRPr="00D65921">
        <w:rPr>
          <w:u w:val="double"/>
        </w:rPr>
        <w:t>Two</w:t>
      </w:r>
      <w:r w:rsidR="00030472" w:rsidRPr="00934626">
        <w:t xml:space="preserve"> </w:t>
      </w:r>
      <w:r w:rsidRPr="00934626">
        <w:t xml:space="preserve">goats and </w:t>
      </w:r>
      <w:r w:rsidRPr="00E110F3">
        <w:rPr>
          <w:strike/>
        </w:rPr>
        <w:t xml:space="preserve">six </w:t>
      </w:r>
      <w:r w:rsidR="00030472" w:rsidRPr="00E110F3">
        <w:rPr>
          <w:u w:val="double"/>
        </w:rPr>
        <w:t>two</w:t>
      </w:r>
      <w:r w:rsidR="00030472" w:rsidRPr="00934626">
        <w:t xml:space="preserve"> </w:t>
      </w:r>
      <w:r w:rsidRPr="00934626">
        <w:t>sheep</w:t>
      </w:r>
      <w:r w:rsidR="00B17378" w:rsidRPr="00934626">
        <w:t xml:space="preserve"> are used</w:t>
      </w:r>
      <w:r w:rsidRPr="00934626">
        <w:t xml:space="preserve">, all approximately 1-year old and free from PPR antibodies. </w:t>
      </w:r>
      <w:r w:rsidRPr="00D65921">
        <w:rPr>
          <w:strike/>
        </w:rPr>
        <w:t>Vaccinate two</w:t>
      </w:r>
      <w:r w:rsidRPr="00934626">
        <w:t xml:space="preserve"> </w:t>
      </w:r>
      <w:r w:rsidRPr="00D65921">
        <w:rPr>
          <w:strike/>
        </w:rPr>
        <w:t xml:space="preserve">goats and two sheep </w:t>
      </w:r>
      <w:r w:rsidR="00D65921" w:rsidRPr="00E110F3">
        <w:rPr>
          <w:u w:val="double"/>
        </w:rPr>
        <w:t xml:space="preserve">The animals </w:t>
      </w:r>
      <w:r w:rsidR="00030472" w:rsidRPr="00E110F3">
        <w:rPr>
          <w:u w:val="double"/>
        </w:rPr>
        <w:t>are vaccinated</w:t>
      </w:r>
      <w:r w:rsidR="00030472">
        <w:t xml:space="preserve"> </w:t>
      </w:r>
      <w:r w:rsidRPr="00934626">
        <w:t>subcutaneously with 100 doses per animal</w:t>
      </w:r>
      <w:r w:rsidR="00030472">
        <w:t xml:space="preserve">. </w:t>
      </w:r>
      <w:r w:rsidRPr="00934626">
        <w:t xml:space="preserve">; </w:t>
      </w:r>
      <w:r w:rsidRPr="00D65921">
        <w:rPr>
          <w:strike/>
        </w:rPr>
        <w:t>vaccinate two goats and tw</w:t>
      </w:r>
      <w:r w:rsidR="00535EC0" w:rsidRPr="00D65921">
        <w:rPr>
          <w:strike/>
        </w:rPr>
        <w:t>o sheep subcutaneously with 0.1 </w:t>
      </w:r>
      <w:r w:rsidRPr="00D65921">
        <w:rPr>
          <w:strike/>
        </w:rPr>
        <w:t>dose per animal; keep the remaining animals as in-contact controls.</w:t>
      </w:r>
      <w:r w:rsidRPr="00934626">
        <w:t xml:space="preserve"> The animals are sub</w:t>
      </w:r>
      <w:r w:rsidR="00B17378" w:rsidRPr="00934626">
        <w:t>jec</w:t>
      </w:r>
      <w:r w:rsidRPr="00934626">
        <w:t xml:space="preserve">ted to daily clinical examination for 3 weeks </w:t>
      </w:r>
      <w:r w:rsidR="00B17378" w:rsidRPr="00934626">
        <w:t>including</w:t>
      </w:r>
      <w:r w:rsidRPr="00934626">
        <w:t xml:space="preserve"> record</w:t>
      </w:r>
      <w:r w:rsidR="00B17378" w:rsidRPr="00934626">
        <w:t>ing</w:t>
      </w:r>
      <w:r w:rsidRPr="00934626">
        <w:t xml:space="preserve"> of rectal temperatures. </w:t>
      </w:r>
      <w:r w:rsidRPr="00D65921">
        <w:rPr>
          <w:strike/>
        </w:rPr>
        <w:t xml:space="preserve">At the end of this period, blood is taken from all animals for the preparation of sera. All animals are challenged by subcutaneous injection of a 1 ml suspension of pathogenic PPRV previously tested for inducing PPR clinical signs in sheep and goats. The animals are observed and their body temperature measurements are recorded daily for 2 weeks. </w:t>
      </w:r>
    </w:p>
    <w:p w14:paraId="48FAA700" w14:textId="77777777" w:rsidR="00030472" w:rsidRPr="00E110F3" w:rsidRDefault="005474BA" w:rsidP="00473E2E">
      <w:pPr>
        <w:pStyle w:val="afourthpara"/>
        <w:rPr>
          <w:u w:val="double"/>
        </w:rPr>
      </w:pPr>
      <w:r w:rsidRPr="00934626">
        <w:t xml:space="preserve">The vaccine is considered as safe if no abnormal clinical </w:t>
      </w:r>
      <w:r w:rsidR="006275F8" w:rsidRPr="00934626">
        <w:t xml:space="preserve">signs are </w:t>
      </w:r>
      <w:r w:rsidRPr="00934626">
        <w:t>observ</w:t>
      </w:r>
      <w:r w:rsidR="006275F8" w:rsidRPr="00934626">
        <w:t>ed in</w:t>
      </w:r>
      <w:r w:rsidRPr="00934626">
        <w:t xml:space="preserve"> the vaccinated animals</w:t>
      </w:r>
      <w:r w:rsidR="00030472" w:rsidRPr="00E110F3">
        <w:rPr>
          <w:u w:val="double"/>
        </w:rPr>
        <w:t>.</w:t>
      </w:r>
    </w:p>
    <w:p w14:paraId="30B2EB36" w14:textId="229EC7BC" w:rsidR="006275F8" w:rsidRPr="00934626" w:rsidRDefault="00030472" w:rsidP="00473E2E">
      <w:pPr>
        <w:pStyle w:val="afourthpara"/>
      </w:pPr>
      <w:r w:rsidRPr="00E110F3">
        <w:rPr>
          <w:u w:val="double"/>
        </w:rPr>
        <w:lastRenderedPageBreak/>
        <w:t>For the established live attenuated PPRV vaccines, efficacy is determined by the titre of live virus in the vaccine batch (batch potency); challenge with wild type virus is not required.</w:t>
      </w:r>
      <w:r w:rsidR="00102581" w:rsidRPr="00E110F3">
        <w:rPr>
          <w:u w:val="double"/>
        </w:rPr>
        <w:t xml:space="preserve"> Novel killed, subunit or other vaccines must establish appropriate correlates of protection, or must be batch tested by showing protection </w:t>
      </w:r>
      <w:r w:rsidR="00063022">
        <w:rPr>
          <w:u w:val="double"/>
        </w:rPr>
        <w:t>against</w:t>
      </w:r>
      <w:r w:rsidR="00063022" w:rsidRPr="00E110F3">
        <w:rPr>
          <w:u w:val="double"/>
        </w:rPr>
        <w:t xml:space="preserve"> </w:t>
      </w:r>
      <w:r w:rsidR="00102581" w:rsidRPr="00E110F3">
        <w:rPr>
          <w:u w:val="double"/>
        </w:rPr>
        <w:t>challenge.</w:t>
      </w:r>
      <w:r w:rsidR="005474BA" w:rsidRPr="00E110F3">
        <w:rPr>
          <w:strike/>
        </w:rPr>
        <w:t>, in particular those which have received the highest dose</w:t>
      </w:r>
      <w:r w:rsidR="00B17378" w:rsidRPr="00E110F3">
        <w:rPr>
          <w:strike/>
        </w:rPr>
        <w:t>.</w:t>
      </w:r>
    </w:p>
    <w:p w14:paraId="5AF6443E" w14:textId="5AA36230" w:rsidR="005474BA" w:rsidRPr="00E110F3" w:rsidRDefault="005474BA" w:rsidP="00473E2E">
      <w:pPr>
        <w:pStyle w:val="afourthpara"/>
        <w:rPr>
          <w:strike/>
        </w:rPr>
      </w:pPr>
      <w:r w:rsidRPr="00E110F3">
        <w:rPr>
          <w:strike/>
        </w:rPr>
        <w:t>It</w:t>
      </w:r>
      <w:r w:rsidR="00686560" w:rsidRPr="00E110F3">
        <w:rPr>
          <w:strike/>
        </w:rPr>
        <w:t>s</w:t>
      </w:r>
      <w:r w:rsidRPr="00E110F3">
        <w:rPr>
          <w:strike/>
        </w:rPr>
        <w:t xml:space="preserve"> efficacy is proven if all vaccinated animals resist the challenge</w:t>
      </w:r>
      <w:r w:rsidR="00B17378" w:rsidRPr="00E110F3">
        <w:rPr>
          <w:strike/>
        </w:rPr>
        <w:t xml:space="preserve"> while the in-contact animals remain susceptible to the challeng</w:t>
      </w:r>
      <w:r w:rsidR="006275F8" w:rsidRPr="00E110F3">
        <w:rPr>
          <w:strike/>
        </w:rPr>
        <w:t>e</w:t>
      </w:r>
      <w:r w:rsidR="00B17378" w:rsidRPr="00E110F3">
        <w:rPr>
          <w:strike/>
        </w:rPr>
        <w:t xml:space="preserve"> virus.</w:t>
      </w:r>
    </w:p>
    <w:p w14:paraId="34A4DF42" w14:textId="77777777" w:rsidR="005474BA" w:rsidRPr="00934626" w:rsidRDefault="00ED47BC" w:rsidP="00E13B8E">
      <w:pPr>
        <w:pStyle w:val="i"/>
      </w:pPr>
      <w:r w:rsidRPr="00934626">
        <w:t>iii)</w:t>
      </w:r>
      <w:r w:rsidRPr="00934626">
        <w:tab/>
      </w:r>
      <w:r w:rsidR="005474BA" w:rsidRPr="00934626">
        <w:t>Batch potency</w:t>
      </w:r>
    </w:p>
    <w:p w14:paraId="6964B0D7" w14:textId="17540583" w:rsidR="00F36973" w:rsidRPr="00E110F3" w:rsidRDefault="00102581" w:rsidP="00473E2E">
      <w:pPr>
        <w:pStyle w:val="afourthpara"/>
        <w:rPr>
          <w:u w:val="double"/>
        </w:rPr>
      </w:pPr>
      <w:r w:rsidRPr="00E110F3">
        <w:rPr>
          <w:u w:val="double"/>
        </w:rPr>
        <w:t>For the established live attenuated PPRV vaccines,</w:t>
      </w:r>
      <w:r>
        <w:t xml:space="preserve"> t</w:t>
      </w:r>
      <w:r w:rsidR="00BF4047" w:rsidRPr="00934626">
        <w:t xml:space="preserve">he potency of each batch </w:t>
      </w:r>
      <w:r w:rsidR="00BF4047" w:rsidRPr="00E110F3">
        <w:rPr>
          <w:strike/>
        </w:rPr>
        <w:t xml:space="preserve">should </w:t>
      </w:r>
      <w:r w:rsidRPr="00E110F3">
        <w:rPr>
          <w:u w:val="double"/>
        </w:rPr>
        <w:t xml:space="preserve">can </w:t>
      </w:r>
      <w:r w:rsidR="00BF4047" w:rsidRPr="00934626">
        <w:t xml:space="preserve">be determined by virus titration in cell culture </w:t>
      </w:r>
      <w:r w:rsidR="00BF4047" w:rsidRPr="00E110F3">
        <w:rPr>
          <w:strike/>
        </w:rPr>
        <w:t>and shown to meet the minimum immunising dose requirements in the efficacy test.</w:t>
      </w:r>
      <w:r w:rsidR="00E110F3">
        <w:rPr>
          <w:strike/>
        </w:rPr>
        <w:t xml:space="preserve"> </w:t>
      </w:r>
      <w:r w:rsidR="00F36973" w:rsidRPr="00E110F3">
        <w:rPr>
          <w:u w:val="double"/>
        </w:rPr>
        <w:t>coupled with confirmation that the virus has not undergone significant mutation during the production process. This confirmation can be provided (a)</w:t>
      </w:r>
      <w:r w:rsidR="00F36973" w:rsidRPr="00E110F3">
        <w:rPr>
          <w:i/>
          <w:u w:val="double"/>
        </w:rPr>
        <w:t xml:space="preserve"> in vitro</w:t>
      </w:r>
      <w:r w:rsidR="00F36973" w:rsidRPr="00E110F3">
        <w:rPr>
          <w:u w:val="double"/>
        </w:rPr>
        <w:t xml:space="preserve"> by carrying out full genome sequencing of the final batch material</w:t>
      </w:r>
      <w:r w:rsidRPr="00E110F3">
        <w:rPr>
          <w:u w:val="double"/>
        </w:rPr>
        <w:t xml:space="preserve"> </w:t>
      </w:r>
      <w:r w:rsidR="00F36973" w:rsidRPr="00E110F3">
        <w:rPr>
          <w:u w:val="double"/>
        </w:rPr>
        <w:t>and showing an absence of changes in the main immunogenic proteins (N and H) or (b)</w:t>
      </w:r>
      <w:r w:rsidR="00F36973" w:rsidRPr="00E110F3">
        <w:rPr>
          <w:i/>
          <w:u w:val="double"/>
        </w:rPr>
        <w:t xml:space="preserve"> in vivo</w:t>
      </w:r>
      <w:r w:rsidR="00F36973" w:rsidRPr="00E110F3">
        <w:rPr>
          <w:u w:val="double"/>
        </w:rPr>
        <w:t xml:space="preserve"> by inoculating at least 6 target animals with 1 dose per animal of vaccine and showing that all animals have a neutralising antibody titre o</w:t>
      </w:r>
      <w:r w:rsidR="00253A32">
        <w:rPr>
          <w:u w:val="double"/>
        </w:rPr>
        <w:t>f</w:t>
      </w:r>
      <w:r w:rsidR="00F36973" w:rsidRPr="00E110F3">
        <w:rPr>
          <w:u w:val="double"/>
        </w:rPr>
        <w:t xml:space="preserve"> at least 1/10 at three weeks post-vaccination.</w:t>
      </w:r>
    </w:p>
    <w:p w14:paraId="3415AD8F" w14:textId="0D052159" w:rsidR="00BF4047" w:rsidRDefault="00102581" w:rsidP="00473E2E">
      <w:pPr>
        <w:pStyle w:val="afourthpara"/>
      </w:pPr>
      <w:r w:rsidRPr="00E110F3">
        <w:rPr>
          <w:u w:val="double"/>
        </w:rPr>
        <w:t>Potency for novel vaccines will have to be established by other means, depending on the type of vaccine.</w:t>
      </w:r>
    </w:p>
    <w:p w14:paraId="3EB024D6" w14:textId="5FC9A158" w:rsidR="005474BA" w:rsidRPr="00E110F3" w:rsidRDefault="005474BA" w:rsidP="00473E2E">
      <w:pPr>
        <w:pStyle w:val="afourthpara"/>
        <w:rPr>
          <w:strike/>
        </w:rPr>
      </w:pPr>
      <w:r w:rsidRPr="00E110F3">
        <w:rPr>
          <w:strike/>
        </w:rPr>
        <w:t xml:space="preserve">The potency of the vaccine is proven if animals vaccinated with the dose </w:t>
      </w:r>
      <w:r w:rsidR="006275F8" w:rsidRPr="00E110F3">
        <w:rPr>
          <w:strike/>
        </w:rPr>
        <w:t xml:space="preserve">used </w:t>
      </w:r>
      <w:r w:rsidRPr="00E110F3">
        <w:rPr>
          <w:strike/>
        </w:rPr>
        <w:t xml:space="preserve">in the efficacy test </w:t>
      </w:r>
      <w:r w:rsidR="00686560" w:rsidRPr="00E110F3">
        <w:rPr>
          <w:strike/>
        </w:rPr>
        <w:t>(</w:t>
      </w:r>
      <w:r w:rsidRPr="00E110F3">
        <w:rPr>
          <w:strike/>
        </w:rPr>
        <w:t>see above</w:t>
      </w:r>
      <w:r w:rsidR="00686560" w:rsidRPr="00E110F3">
        <w:rPr>
          <w:strike/>
        </w:rPr>
        <w:t>)</w:t>
      </w:r>
      <w:r w:rsidRPr="00E110F3">
        <w:rPr>
          <w:strike/>
        </w:rPr>
        <w:t xml:space="preserve"> develop antibody </w:t>
      </w:r>
      <w:r w:rsidR="00BF4047" w:rsidRPr="00E110F3">
        <w:rPr>
          <w:strike/>
        </w:rPr>
        <w:t>against</w:t>
      </w:r>
      <w:r w:rsidRPr="00E110F3">
        <w:rPr>
          <w:strike/>
        </w:rPr>
        <w:t xml:space="preserve"> PPR</w:t>
      </w:r>
      <w:r w:rsidR="00BF4047" w:rsidRPr="00E110F3">
        <w:rPr>
          <w:strike/>
        </w:rPr>
        <w:t>V</w:t>
      </w:r>
      <w:r w:rsidRPr="00E110F3">
        <w:rPr>
          <w:strike/>
        </w:rPr>
        <w:t xml:space="preserve"> </w:t>
      </w:r>
      <w:r w:rsidR="00BF4047" w:rsidRPr="00E110F3">
        <w:rPr>
          <w:strike/>
        </w:rPr>
        <w:t>when tested 3 weeks after vaccination</w:t>
      </w:r>
      <w:r w:rsidR="00686560" w:rsidRPr="00E110F3">
        <w:rPr>
          <w:strike/>
        </w:rPr>
        <w:t xml:space="preserve"> </w:t>
      </w:r>
      <w:r w:rsidRPr="00E110F3">
        <w:rPr>
          <w:strike/>
        </w:rPr>
        <w:t>by</w:t>
      </w:r>
      <w:r w:rsidR="00686560" w:rsidRPr="00E110F3">
        <w:rPr>
          <w:strike/>
        </w:rPr>
        <w:t xml:space="preserve"> virus </w:t>
      </w:r>
      <w:r w:rsidRPr="00E110F3">
        <w:rPr>
          <w:strike/>
        </w:rPr>
        <w:t>neutralisation</w:t>
      </w:r>
      <w:r w:rsidR="006F067D" w:rsidRPr="00E110F3">
        <w:rPr>
          <w:strike/>
        </w:rPr>
        <w:t xml:space="preserve"> </w:t>
      </w:r>
      <w:r w:rsidRPr="00E110F3">
        <w:rPr>
          <w:strike/>
        </w:rPr>
        <w:t>at a</w:t>
      </w:r>
      <w:r w:rsidR="00BF4047" w:rsidRPr="00E110F3">
        <w:rPr>
          <w:strike/>
        </w:rPr>
        <w:t xml:space="preserve"> </w:t>
      </w:r>
      <w:r w:rsidR="00686560" w:rsidRPr="00E110F3">
        <w:rPr>
          <w:strike/>
        </w:rPr>
        <w:t>serum</w:t>
      </w:r>
      <w:r w:rsidRPr="00E110F3">
        <w:rPr>
          <w:strike/>
        </w:rPr>
        <w:t xml:space="preserve"> dilution of </w:t>
      </w:r>
      <w:r w:rsidR="00686560" w:rsidRPr="00E110F3">
        <w:rPr>
          <w:strike/>
        </w:rPr>
        <w:t>&gt; </w:t>
      </w:r>
      <w:r w:rsidRPr="00E110F3">
        <w:rPr>
          <w:strike/>
        </w:rPr>
        <w:t>1/10</w:t>
      </w:r>
      <w:r w:rsidR="00686560" w:rsidRPr="00E110F3">
        <w:rPr>
          <w:strike/>
        </w:rPr>
        <w:t>)</w:t>
      </w:r>
      <w:r w:rsidRPr="00E110F3">
        <w:rPr>
          <w:strike/>
        </w:rPr>
        <w:t xml:space="preserve">. </w:t>
      </w:r>
      <w:r w:rsidR="00BF4047" w:rsidRPr="00E110F3">
        <w:rPr>
          <w:strike/>
        </w:rPr>
        <w:t xml:space="preserve">The titration of neutralising antibody is carried out as described in section </w:t>
      </w:r>
      <w:r w:rsidR="00524B74" w:rsidRPr="00E110F3">
        <w:rPr>
          <w:strike/>
        </w:rPr>
        <w:t>B.</w:t>
      </w:r>
      <w:r w:rsidR="00BF4047" w:rsidRPr="00E110F3">
        <w:rPr>
          <w:strike/>
        </w:rPr>
        <w:t>3</w:t>
      </w:r>
      <w:r w:rsidR="00524B74" w:rsidRPr="00E110F3">
        <w:rPr>
          <w:strike/>
        </w:rPr>
        <w:t>.</w:t>
      </w:r>
      <w:r w:rsidR="002118EC" w:rsidRPr="00E110F3">
        <w:rPr>
          <w:strike/>
        </w:rPr>
        <w:t>1</w:t>
      </w:r>
      <w:r w:rsidR="00BF4047" w:rsidRPr="00E110F3">
        <w:rPr>
          <w:strike/>
        </w:rPr>
        <w:t xml:space="preserve"> above.</w:t>
      </w:r>
    </w:p>
    <w:p w14:paraId="0681F013" w14:textId="52B3DD91" w:rsidR="005474BA" w:rsidRPr="00E110F3" w:rsidRDefault="005474BA" w:rsidP="00473E2E">
      <w:pPr>
        <w:pStyle w:val="afourthpara"/>
        <w:rPr>
          <w:strike/>
        </w:rPr>
      </w:pPr>
      <w:r w:rsidRPr="00E110F3">
        <w:rPr>
          <w:strike/>
        </w:rPr>
        <w:t xml:space="preserve">It </w:t>
      </w:r>
      <w:r w:rsidR="00261E6F" w:rsidRPr="00E110F3">
        <w:rPr>
          <w:strike/>
        </w:rPr>
        <w:t xml:space="preserve">is </w:t>
      </w:r>
      <w:r w:rsidRPr="00E110F3">
        <w:rPr>
          <w:strike/>
        </w:rPr>
        <w:t xml:space="preserve">possible that no seroconversion is detected in some animals 3 weeks after vaccination but those </w:t>
      </w:r>
      <w:r w:rsidR="00686560" w:rsidRPr="00E110F3">
        <w:rPr>
          <w:strike/>
        </w:rPr>
        <w:t xml:space="preserve">animals </w:t>
      </w:r>
      <w:r w:rsidRPr="00E110F3">
        <w:rPr>
          <w:strike/>
        </w:rPr>
        <w:t>will resist challenge if the vaccine is efficacious</w:t>
      </w:r>
      <w:r w:rsidR="00686560" w:rsidRPr="00E110F3">
        <w:rPr>
          <w:strike/>
        </w:rPr>
        <w:t>.</w:t>
      </w:r>
      <w:r w:rsidRPr="00E110F3">
        <w:rPr>
          <w:strike/>
        </w:rPr>
        <w:t xml:space="preserve"> </w:t>
      </w:r>
      <w:r w:rsidR="00686560" w:rsidRPr="00E110F3">
        <w:rPr>
          <w:strike/>
        </w:rPr>
        <w:t>R</w:t>
      </w:r>
      <w:r w:rsidRPr="00E110F3">
        <w:rPr>
          <w:strike/>
        </w:rPr>
        <w:t xml:space="preserve">esistance </w:t>
      </w:r>
      <w:r w:rsidR="00686560" w:rsidRPr="00E110F3">
        <w:rPr>
          <w:strike/>
        </w:rPr>
        <w:t>in these cases</w:t>
      </w:r>
      <w:r w:rsidRPr="00E110F3">
        <w:rPr>
          <w:strike/>
        </w:rPr>
        <w:t xml:space="preserve"> is attributed to the cell</w:t>
      </w:r>
      <w:r w:rsidR="004C37F3" w:rsidRPr="00E110F3">
        <w:rPr>
          <w:strike/>
        </w:rPr>
        <w:t>-</w:t>
      </w:r>
      <w:r w:rsidR="00686560" w:rsidRPr="00E110F3">
        <w:rPr>
          <w:strike/>
        </w:rPr>
        <w:t xml:space="preserve">mediated </w:t>
      </w:r>
      <w:r w:rsidRPr="00E110F3">
        <w:rPr>
          <w:strike/>
        </w:rPr>
        <w:t xml:space="preserve">immunity induced by </w:t>
      </w:r>
      <w:r w:rsidR="00686560" w:rsidRPr="00E110F3">
        <w:rPr>
          <w:strike/>
        </w:rPr>
        <w:t>P</w:t>
      </w:r>
      <w:r w:rsidRPr="00E110F3">
        <w:rPr>
          <w:strike/>
        </w:rPr>
        <w:t xml:space="preserve">PRV (Saravanan </w:t>
      </w:r>
      <w:r w:rsidRPr="00E110F3">
        <w:rPr>
          <w:i/>
          <w:strike/>
        </w:rPr>
        <w:t>et al.,</w:t>
      </w:r>
      <w:r w:rsidRPr="00E110F3">
        <w:rPr>
          <w:strike/>
        </w:rPr>
        <w:t xml:space="preserve"> 2010).</w:t>
      </w:r>
    </w:p>
    <w:p w14:paraId="41E3C392" w14:textId="77777777" w:rsidR="005474BA" w:rsidRPr="00934626" w:rsidRDefault="00ED47BC" w:rsidP="00473E2E">
      <w:pPr>
        <w:pStyle w:val="11"/>
      </w:pPr>
      <w:r w:rsidRPr="00934626">
        <w:t>2.3.</w:t>
      </w:r>
      <w:r w:rsidR="005474BA" w:rsidRPr="00934626">
        <w:tab/>
        <w:t>Requirements for authorisation</w:t>
      </w:r>
    </w:p>
    <w:p w14:paraId="59D29A7E" w14:textId="77777777" w:rsidR="005474BA" w:rsidRPr="00934626" w:rsidRDefault="00ED47BC" w:rsidP="00E13B8E">
      <w:pPr>
        <w:pStyle w:val="111"/>
      </w:pPr>
      <w:r w:rsidRPr="00934626">
        <w:t>2.3.1.</w:t>
      </w:r>
      <w:r w:rsidR="005474BA" w:rsidRPr="00934626">
        <w:tab/>
        <w:t>Safety requirements</w:t>
      </w:r>
    </w:p>
    <w:p w14:paraId="7F7DC789" w14:textId="092AA03D" w:rsidR="005474BA" w:rsidRPr="00934626" w:rsidRDefault="00ED47BC" w:rsidP="00E13B8E">
      <w:pPr>
        <w:pStyle w:val="i"/>
      </w:pPr>
      <w:proofErr w:type="spellStart"/>
      <w:r w:rsidRPr="00934626">
        <w:t>i</w:t>
      </w:r>
      <w:proofErr w:type="spellEnd"/>
      <w:r w:rsidRPr="00934626">
        <w:t>)</w:t>
      </w:r>
      <w:r w:rsidRPr="00934626">
        <w:tab/>
      </w:r>
      <w:r w:rsidR="005474BA" w:rsidRPr="00934626">
        <w:t xml:space="preserve">Target </w:t>
      </w:r>
      <w:r w:rsidR="005474BA" w:rsidRPr="00E110F3">
        <w:rPr>
          <w:strike/>
        </w:rPr>
        <w:t xml:space="preserve">and non-target </w:t>
      </w:r>
      <w:r w:rsidR="005474BA" w:rsidRPr="00934626">
        <w:t>animal safety</w:t>
      </w:r>
    </w:p>
    <w:p w14:paraId="175CC4F7" w14:textId="11300C30" w:rsidR="005474BA" w:rsidRPr="00934626" w:rsidRDefault="005474BA" w:rsidP="00473E2E">
      <w:pPr>
        <w:pStyle w:val="afourthpara"/>
      </w:pPr>
      <w:r w:rsidRPr="00934626">
        <w:t xml:space="preserve">The vaccine should be safe for use in all </w:t>
      </w:r>
      <w:r w:rsidR="00203E13" w:rsidRPr="00934626">
        <w:t xml:space="preserve">species </w:t>
      </w:r>
      <w:r w:rsidRPr="00934626">
        <w:t xml:space="preserve">of target animals, including young and pregnant recipients. </w:t>
      </w:r>
      <w:r w:rsidR="0051385F" w:rsidRPr="00E110F3">
        <w:rPr>
          <w:u w:val="double"/>
        </w:rPr>
        <w:t>Once manufacture has established a consistent safety record, they may apply to their regulatory authority for permission to omit this test.</w:t>
      </w:r>
    </w:p>
    <w:p w14:paraId="6CCFADD2" w14:textId="77777777" w:rsidR="005474BA" w:rsidRPr="00934626" w:rsidRDefault="00ED47BC" w:rsidP="00E13B8E">
      <w:pPr>
        <w:pStyle w:val="i"/>
      </w:pPr>
      <w:r w:rsidRPr="00934626">
        <w:t>ii)</w:t>
      </w:r>
      <w:r w:rsidRPr="00934626">
        <w:tab/>
      </w:r>
      <w:r w:rsidR="005474BA" w:rsidRPr="00934626">
        <w:t>Reversion-to-virulence for attenuated/live vaccines</w:t>
      </w:r>
    </w:p>
    <w:p w14:paraId="764C4C8B" w14:textId="77777777" w:rsidR="005474BA" w:rsidRPr="00934626" w:rsidRDefault="005474BA" w:rsidP="00473E2E">
      <w:pPr>
        <w:pStyle w:val="afourthpara"/>
      </w:pPr>
      <w:r w:rsidRPr="00934626">
        <w:t>Information should be available to indicate that stud</w:t>
      </w:r>
      <w:r w:rsidR="00EC1B11" w:rsidRPr="00934626">
        <w:t>ies</w:t>
      </w:r>
      <w:r w:rsidRPr="00934626">
        <w:t xml:space="preserve"> ha</w:t>
      </w:r>
      <w:r w:rsidR="00EC1B11" w:rsidRPr="00934626">
        <w:t>ve</w:t>
      </w:r>
      <w:r w:rsidRPr="00934626">
        <w:t xml:space="preserve"> been carried out and ha</w:t>
      </w:r>
      <w:r w:rsidR="00EC1B11" w:rsidRPr="00934626">
        <w:t>ve</w:t>
      </w:r>
      <w:r w:rsidRPr="00934626">
        <w:t xml:space="preserve"> demonstrated that the vaccine strain which has been used has not reverted to virulence after at least </w:t>
      </w:r>
      <w:r w:rsidR="005E7EAB" w:rsidRPr="00934626">
        <w:t>three</w:t>
      </w:r>
      <w:r w:rsidRPr="00934626">
        <w:t xml:space="preserve"> back passages. </w:t>
      </w:r>
    </w:p>
    <w:p w14:paraId="6821690E" w14:textId="77777777" w:rsidR="005474BA" w:rsidRPr="00934626" w:rsidRDefault="00ED47BC" w:rsidP="00E13B8E">
      <w:pPr>
        <w:pStyle w:val="i"/>
      </w:pPr>
      <w:r w:rsidRPr="00934626">
        <w:t>iii)</w:t>
      </w:r>
      <w:r w:rsidRPr="00934626">
        <w:tab/>
      </w:r>
      <w:r w:rsidR="005474BA" w:rsidRPr="00934626">
        <w:t>Environmental consideration</w:t>
      </w:r>
    </w:p>
    <w:p w14:paraId="64C821F7" w14:textId="0300C03C" w:rsidR="005474BA" w:rsidRPr="00934626" w:rsidRDefault="0051385F" w:rsidP="00473E2E">
      <w:pPr>
        <w:pStyle w:val="afourthpara"/>
      </w:pPr>
      <w:r w:rsidRPr="00E110F3">
        <w:rPr>
          <w:u w:val="double"/>
        </w:rPr>
        <w:t xml:space="preserve">Information should be available to indicate that studies have been carried out and have demonstrated that the vaccine strain which has been used </w:t>
      </w:r>
      <w:r w:rsidR="005474BA" w:rsidRPr="00E110F3">
        <w:rPr>
          <w:strike/>
        </w:rPr>
        <w:t>PPR vaccine should</w:t>
      </w:r>
      <w:r w:rsidR="00E110F3">
        <w:rPr>
          <w:strike/>
        </w:rPr>
        <w:t xml:space="preserve"> </w:t>
      </w:r>
      <w:r w:rsidRPr="00E110F3">
        <w:rPr>
          <w:u w:val="double"/>
        </w:rPr>
        <w:t>is</w:t>
      </w:r>
      <w:r w:rsidR="005474BA" w:rsidRPr="00934626">
        <w:t xml:space="preserve"> not </w:t>
      </w:r>
      <w:r w:rsidR="005474BA" w:rsidRPr="00E110F3">
        <w:rPr>
          <w:strike/>
        </w:rPr>
        <w:t xml:space="preserve">be </w:t>
      </w:r>
      <w:r w:rsidR="005474BA" w:rsidRPr="00934626">
        <w:t>excreted by the inoculated animals.</w:t>
      </w:r>
    </w:p>
    <w:p w14:paraId="6CCBDF70" w14:textId="77777777" w:rsidR="005474BA" w:rsidRPr="00934626" w:rsidRDefault="00ED47BC" w:rsidP="00E13B8E">
      <w:pPr>
        <w:pStyle w:val="111"/>
      </w:pPr>
      <w:r w:rsidRPr="00934626">
        <w:t>2.3.2.</w:t>
      </w:r>
      <w:r w:rsidR="005474BA" w:rsidRPr="00934626">
        <w:tab/>
        <w:t>Efficacy requirements</w:t>
      </w:r>
    </w:p>
    <w:p w14:paraId="6447BC4E" w14:textId="77777777" w:rsidR="005474BA" w:rsidRPr="00934626" w:rsidRDefault="00ED47BC" w:rsidP="00E13B8E">
      <w:pPr>
        <w:pStyle w:val="i"/>
      </w:pPr>
      <w:proofErr w:type="spellStart"/>
      <w:r w:rsidRPr="00934626">
        <w:t>i</w:t>
      </w:r>
      <w:proofErr w:type="spellEnd"/>
      <w:r w:rsidRPr="00934626">
        <w:t>)</w:t>
      </w:r>
      <w:r w:rsidRPr="00934626">
        <w:tab/>
      </w:r>
      <w:r w:rsidR="005474BA" w:rsidRPr="00934626">
        <w:t>For animal production</w:t>
      </w:r>
    </w:p>
    <w:p w14:paraId="2F0FD67A" w14:textId="7E82C932" w:rsidR="005474BA" w:rsidRPr="00934626" w:rsidRDefault="005474BA" w:rsidP="00473E2E">
      <w:pPr>
        <w:pStyle w:val="afourthpara"/>
      </w:pPr>
      <w:r w:rsidRPr="00934626">
        <w:t xml:space="preserve">Field </w:t>
      </w:r>
      <w:r w:rsidR="00BF4047" w:rsidRPr="00934626">
        <w:t xml:space="preserve">or other </w:t>
      </w:r>
      <w:r w:rsidRPr="00934626">
        <w:t>test</w:t>
      </w:r>
      <w:r w:rsidR="00BF4047" w:rsidRPr="00934626">
        <w:t>s</w:t>
      </w:r>
      <w:r w:rsidRPr="00934626">
        <w:t xml:space="preserve"> should have proven that the attenuated PPR vaccine is </w:t>
      </w:r>
      <w:r w:rsidR="00261E6F" w:rsidRPr="00934626">
        <w:t xml:space="preserve">efficacious </w:t>
      </w:r>
      <w:r w:rsidRPr="00934626">
        <w:t xml:space="preserve">for use in all sheep and goats species, including young and pregnant animals. </w:t>
      </w:r>
    </w:p>
    <w:p w14:paraId="0DA3CD81" w14:textId="77777777" w:rsidR="005474BA" w:rsidRPr="00934626" w:rsidRDefault="00ED47BC" w:rsidP="00E13B8E">
      <w:pPr>
        <w:pStyle w:val="i"/>
      </w:pPr>
      <w:r w:rsidRPr="00934626">
        <w:t>ii)</w:t>
      </w:r>
      <w:r w:rsidRPr="00934626">
        <w:tab/>
      </w:r>
      <w:r w:rsidR="005474BA" w:rsidRPr="00934626">
        <w:t>For control and eradication</w:t>
      </w:r>
    </w:p>
    <w:p w14:paraId="600F96C4" w14:textId="5F674AB7" w:rsidR="005474BA" w:rsidRPr="00934626" w:rsidRDefault="005474BA" w:rsidP="00473E2E">
      <w:pPr>
        <w:pStyle w:val="afourthpara"/>
        <w:rPr>
          <w:i/>
        </w:rPr>
      </w:pPr>
      <w:r w:rsidRPr="00934626">
        <w:t xml:space="preserve">Sheep and goats which have recovered from a PPR infection </w:t>
      </w:r>
      <w:r w:rsidR="00BF4047" w:rsidRPr="00934626">
        <w:t xml:space="preserve">appear to be </w:t>
      </w:r>
      <w:r w:rsidRPr="00934626">
        <w:t>protected against a subsequent infection for the rest of their li</w:t>
      </w:r>
      <w:r w:rsidR="00686560" w:rsidRPr="00934626">
        <w:t>v</w:t>
      </w:r>
      <w:r w:rsidRPr="00934626">
        <w:t>e</w:t>
      </w:r>
      <w:r w:rsidR="00686560" w:rsidRPr="00934626">
        <w:t>s</w:t>
      </w:r>
      <w:r w:rsidRPr="00934626">
        <w:t xml:space="preserve">. Neutralising antibodies </w:t>
      </w:r>
      <w:r w:rsidR="00EE7FFD" w:rsidRPr="00934626">
        <w:t>against</w:t>
      </w:r>
      <w:r w:rsidRPr="00934626">
        <w:t xml:space="preserve"> PPRV were found in sheep and goats up to three years after vaccination with the attenuated PPRV vaccine strain Nigeria 75/1. Other attenuated PPR vaccines that have been developed in India </w:t>
      </w:r>
      <w:r w:rsidR="00C21F73" w:rsidRPr="00D2119A">
        <w:rPr>
          <w:highlight w:val="yellow"/>
          <w:u w:val="double"/>
        </w:rPr>
        <w:t>(</w:t>
      </w:r>
      <w:proofErr w:type="spellStart"/>
      <w:r w:rsidR="00C21F73" w:rsidRPr="00D2119A">
        <w:rPr>
          <w:highlight w:val="yellow"/>
          <w:u w:val="double"/>
        </w:rPr>
        <w:t>Sungri</w:t>
      </w:r>
      <w:proofErr w:type="spellEnd"/>
      <w:r w:rsidR="000C3D3E" w:rsidRPr="00D2119A">
        <w:rPr>
          <w:highlight w:val="yellow"/>
          <w:u w:val="double"/>
        </w:rPr>
        <w:t>/96)</w:t>
      </w:r>
      <w:r w:rsidR="000C3D3E">
        <w:t xml:space="preserve"> </w:t>
      </w:r>
      <w:r w:rsidRPr="00934626">
        <w:t xml:space="preserve">have been shown to produce </w:t>
      </w:r>
      <w:r w:rsidR="00EE7FFD" w:rsidRPr="00934626">
        <w:t>long-lasting</w:t>
      </w:r>
      <w:r w:rsidRPr="00934626">
        <w:t xml:space="preserve"> immunity too (Saravanan </w:t>
      </w:r>
      <w:r w:rsidRPr="00934626">
        <w:rPr>
          <w:i/>
        </w:rPr>
        <w:t>et al.,</w:t>
      </w:r>
      <w:r w:rsidRPr="00934626">
        <w:t xml:space="preserve"> </w:t>
      </w:r>
      <w:r w:rsidRPr="00934626">
        <w:lastRenderedPageBreak/>
        <w:t>2010</w:t>
      </w:r>
      <w:r w:rsidR="00642906" w:rsidRPr="00934626">
        <w:t>a</w:t>
      </w:r>
      <w:r w:rsidRPr="00934626">
        <w:t xml:space="preserve">; Sen et </w:t>
      </w:r>
      <w:r w:rsidRPr="00934626">
        <w:rPr>
          <w:i/>
        </w:rPr>
        <w:t>al.</w:t>
      </w:r>
      <w:r w:rsidRPr="00934626">
        <w:t xml:space="preserve">, 2010). All these </w:t>
      </w:r>
      <w:r w:rsidR="00EE7FFD" w:rsidRPr="00934626">
        <w:t>data</w:t>
      </w:r>
      <w:r w:rsidRPr="00934626">
        <w:t xml:space="preserve"> indicate that PPR is a disease that can be well controlled, even eradicated</w:t>
      </w:r>
      <w:r w:rsidR="00EE7FFD" w:rsidRPr="00934626">
        <w:t>,</w:t>
      </w:r>
      <w:r w:rsidRPr="00934626">
        <w:t xml:space="preserve"> following </w:t>
      </w:r>
      <w:r w:rsidR="00EE7FFD" w:rsidRPr="00934626">
        <w:t>a large</w:t>
      </w:r>
      <w:r w:rsidR="00934626" w:rsidRPr="00934626">
        <w:t>-</w:t>
      </w:r>
      <w:r w:rsidR="00EE7FFD" w:rsidRPr="00934626">
        <w:t xml:space="preserve">scale </w:t>
      </w:r>
      <w:r w:rsidRPr="00934626">
        <w:t xml:space="preserve">and well planned vaccination campaign </w:t>
      </w:r>
      <w:r w:rsidR="00EE7FFD" w:rsidRPr="00934626">
        <w:t xml:space="preserve">such </w:t>
      </w:r>
      <w:r w:rsidRPr="00934626">
        <w:t>as that done for rinderpest.</w:t>
      </w:r>
    </w:p>
    <w:p w14:paraId="5117D34A" w14:textId="77777777" w:rsidR="005474BA" w:rsidRPr="00934626" w:rsidRDefault="00ED47BC" w:rsidP="00E13B8E">
      <w:pPr>
        <w:pStyle w:val="111"/>
      </w:pPr>
      <w:r w:rsidRPr="00934626">
        <w:t>2.3.3.</w:t>
      </w:r>
      <w:r w:rsidR="005474BA" w:rsidRPr="00934626">
        <w:tab/>
        <w:t>Stability</w:t>
      </w:r>
    </w:p>
    <w:p w14:paraId="1A11A1EA" w14:textId="77777777" w:rsidR="005474BA" w:rsidRPr="00934626" w:rsidRDefault="005474BA" w:rsidP="00473E2E">
      <w:pPr>
        <w:pStyle w:val="111Para"/>
      </w:pPr>
      <w:r w:rsidRPr="00934626">
        <w:t>PPR vaccine freeze-dried in the Weybridge medium can be kept for at least 2 years at 2–8°C (although storage at –20°C is better), provided it is stored under vacuum and protected from light.</w:t>
      </w:r>
    </w:p>
    <w:p w14:paraId="317D544B" w14:textId="77777777" w:rsidR="00BF4047" w:rsidRPr="00934626" w:rsidRDefault="00ED47BC" w:rsidP="00E13B8E">
      <w:pPr>
        <w:pStyle w:val="111"/>
      </w:pPr>
      <w:r w:rsidRPr="00934626">
        <w:t>2.3.4.</w:t>
      </w:r>
      <w:r w:rsidR="00BF4047" w:rsidRPr="00934626">
        <w:tab/>
        <w:t>Vaccines permitting a DIVA strategy (detection of infection in vaccinated animals)</w:t>
      </w:r>
    </w:p>
    <w:p w14:paraId="30178342" w14:textId="77777777" w:rsidR="00BF4047" w:rsidRPr="00934626" w:rsidRDefault="004576C9" w:rsidP="00473E2E">
      <w:pPr>
        <w:pStyle w:val="111Para"/>
      </w:pPr>
      <w:r w:rsidRPr="00934626">
        <w:t>No DIVA vaccine and associated test is currently available for field use.</w:t>
      </w:r>
      <w:r w:rsidR="004730E9" w:rsidRPr="00934626">
        <w:t xml:space="preserve"> </w:t>
      </w:r>
    </w:p>
    <w:p w14:paraId="111355CB" w14:textId="77777777" w:rsidR="004576C9" w:rsidRPr="00934626" w:rsidRDefault="00ED47BC" w:rsidP="00E13B8E">
      <w:pPr>
        <w:pStyle w:val="111"/>
      </w:pPr>
      <w:r w:rsidRPr="00934626">
        <w:t>2.3.5.</w:t>
      </w:r>
      <w:r w:rsidR="004576C9" w:rsidRPr="00934626">
        <w:tab/>
        <w:t>Duration of immunity</w:t>
      </w:r>
    </w:p>
    <w:p w14:paraId="2DCF05EB" w14:textId="4EACAC60" w:rsidR="004576C9" w:rsidRPr="00934626" w:rsidRDefault="00EE7FFD" w:rsidP="00473E2E">
      <w:pPr>
        <w:pStyle w:val="111Para"/>
      </w:pPr>
      <w:r w:rsidRPr="00934626">
        <w:t>The d</w:t>
      </w:r>
      <w:r w:rsidR="004576C9" w:rsidRPr="00934626">
        <w:t xml:space="preserve">uration of </w:t>
      </w:r>
      <w:r w:rsidRPr="00934626">
        <w:t xml:space="preserve">protective </w:t>
      </w:r>
      <w:r w:rsidR="004576C9" w:rsidRPr="00934626">
        <w:t xml:space="preserve">immunity should be determined for each vaccine strain in animal trials. For the Nigeria 75/1 </w:t>
      </w:r>
      <w:r w:rsidR="00272290" w:rsidRPr="00934626">
        <w:t xml:space="preserve">and </w:t>
      </w:r>
      <w:proofErr w:type="spellStart"/>
      <w:r w:rsidR="00272290" w:rsidRPr="00934626">
        <w:t>Sungri</w:t>
      </w:r>
      <w:proofErr w:type="spellEnd"/>
      <w:r w:rsidR="00272290" w:rsidRPr="00934626">
        <w:t xml:space="preserve">/96 </w:t>
      </w:r>
      <w:r w:rsidR="004576C9" w:rsidRPr="00934626">
        <w:t>vaccine</w:t>
      </w:r>
      <w:r w:rsidR="00272290" w:rsidRPr="00934626">
        <w:t>s</w:t>
      </w:r>
      <w:r w:rsidR="004576C9" w:rsidRPr="00934626">
        <w:t>, this has been shown to be at least 3 years</w:t>
      </w:r>
      <w:r w:rsidR="00642906" w:rsidRPr="00934626">
        <w:t xml:space="preserve"> (</w:t>
      </w:r>
      <w:r w:rsidR="00191FD9" w:rsidRPr="00934626">
        <w:t xml:space="preserve">Saravanan </w:t>
      </w:r>
      <w:r w:rsidR="00191FD9" w:rsidRPr="00934626">
        <w:rPr>
          <w:i/>
        </w:rPr>
        <w:t>et al</w:t>
      </w:r>
      <w:r w:rsidR="00191FD9" w:rsidRPr="00934626">
        <w:t xml:space="preserve">., 2010b; </w:t>
      </w:r>
      <w:proofErr w:type="spellStart"/>
      <w:r w:rsidR="00642906" w:rsidRPr="00934626">
        <w:t>Zahur</w:t>
      </w:r>
      <w:proofErr w:type="spellEnd"/>
      <w:r w:rsidR="00642906" w:rsidRPr="00934626">
        <w:t xml:space="preserve"> </w:t>
      </w:r>
      <w:r w:rsidR="00642906" w:rsidRPr="00934626">
        <w:rPr>
          <w:i/>
        </w:rPr>
        <w:t>et al</w:t>
      </w:r>
      <w:r w:rsidR="00642906" w:rsidRPr="00934626">
        <w:t>., 2014)</w:t>
      </w:r>
      <w:r w:rsidR="004576C9" w:rsidRPr="00934626">
        <w:t>.</w:t>
      </w:r>
      <w:r w:rsidRPr="00934626">
        <w:t xml:space="preserve"> Commercial preparations of these vaccines should therefore offer at least </w:t>
      </w:r>
      <w:r w:rsidR="00FE6C3B" w:rsidRPr="00934626">
        <w:t>3</w:t>
      </w:r>
      <w:r w:rsidRPr="00934626">
        <w:t xml:space="preserve"> years protection.</w:t>
      </w:r>
    </w:p>
    <w:p w14:paraId="7A22D28C" w14:textId="77777777" w:rsidR="005474BA" w:rsidRPr="00934626" w:rsidRDefault="005474BA" w:rsidP="005474BA">
      <w:pPr>
        <w:pStyle w:val="1"/>
      </w:pPr>
      <w:r w:rsidRPr="00934626">
        <w:t>3.</w:t>
      </w:r>
      <w:r w:rsidRPr="00934626">
        <w:tab/>
        <w:t>Vaccines based on biotechnology</w:t>
      </w:r>
    </w:p>
    <w:p w14:paraId="24F43E52" w14:textId="77777777" w:rsidR="005474BA" w:rsidRPr="00934626" w:rsidRDefault="00ED47BC" w:rsidP="0067224D">
      <w:pPr>
        <w:pStyle w:val="11"/>
      </w:pPr>
      <w:r w:rsidRPr="00934626">
        <w:t>3.1.</w:t>
      </w:r>
      <w:r w:rsidR="005474BA" w:rsidRPr="00934626">
        <w:tab/>
        <w:t>Vaccines available and their advantages</w:t>
      </w:r>
    </w:p>
    <w:p w14:paraId="49079433" w14:textId="46528E72" w:rsidR="005474BA" w:rsidRPr="00934626" w:rsidRDefault="005474BA" w:rsidP="00E13B8E">
      <w:pPr>
        <w:pStyle w:val="11Para"/>
      </w:pPr>
      <w:r w:rsidRPr="00934626">
        <w:t xml:space="preserve">Preliminary results on recombinant </w:t>
      </w:r>
      <w:proofErr w:type="spellStart"/>
      <w:r w:rsidRPr="00934626">
        <w:t>capripox</w:t>
      </w:r>
      <w:proofErr w:type="spellEnd"/>
      <w:r w:rsidRPr="00934626">
        <w:t xml:space="preserve">-based PPR vaccines indicate that they can protect against both </w:t>
      </w:r>
      <w:proofErr w:type="spellStart"/>
      <w:r w:rsidRPr="00934626">
        <w:t>capripox</w:t>
      </w:r>
      <w:proofErr w:type="spellEnd"/>
      <w:r w:rsidRPr="00934626">
        <w:t xml:space="preserve"> and PPR (</w:t>
      </w:r>
      <w:proofErr w:type="spellStart"/>
      <w:r w:rsidRPr="00934626">
        <w:t>Berhe</w:t>
      </w:r>
      <w:proofErr w:type="spellEnd"/>
      <w:r w:rsidRPr="00934626">
        <w:t xml:space="preserve"> </w:t>
      </w:r>
      <w:r w:rsidRPr="00934626">
        <w:rPr>
          <w:i/>
        </w:rPr>
        <w:t>et al.</w:t>
      </w:r>
      <w:r w:rsidRPr="00934626">
        <w:t xml:space="preserve">, 2003; </w:t>
      </w:r>
      <w:proofErr w:type="spellStart"/>
      <w:r w:rsidR="00FE6C3B" w:rsidRPr="00934626">
        <w:t>Caufour</w:t>
      </w:r>
      <w:proofErr w:type="spellEnd"/>
      <w:r w:rsidR="00FE6C3B" w:rsidRPr="00934626">
        <w:t xml:space="preserve"> </w:t>
      </w:r>
      <w:r w:rsidR="00FE6C3B" w:rsidRPr="00934626">
        <w:rPr>
          <w:i/>
        </w:rPr>
        <w:t>et al.,</w:t>
      </w:r>
      <w:r w:rsidR="00FE6C3B" w:rsidRPr="00934626">
        <w:t xml:space="preserve"> 2014; </w:t>
      </w:r>
      <w:r w:rsidRPr="00934626">
        <w:t xml:space="preserve">Chen </w:t>
      </w:r>
      <w:r w:rsidRPr="00934626">
        <w:rPr>
          <w:i/>
        </w:rPr>
        <w:t>et al</w:t>
      </w:r>
      <w:r w:rsidRPr="00934626">
        <w:t>.</w:t>
      </w:r>
      <w:r w:rsidR="00FE6C3B" w:rsidRPr="00934626">
        <w:t xml:space="preserve">, </w:t>
      </w:r>
      <w:r w:rsidRPr="00934626">
        <w:t>2010</w:t>
      </w:r>
      <w:r w:rsidR="0064677A" w:rsidRPr="00934626">
        <w:t xml:space="preserve">; </w:t>
      </w:r>
      <w:r w:rsidR="00FE6C3B" w:rsidRPr="00934626">
        <w:t xml:space="preserve">Diallo </w:t>
      </w:r>
      <w:r w:rsidR="00FE6C3B" w:rsidRPr="00934626">
        <w:rPr>
          <w:i/>
        </w:rPr>
        <w:t>et al.</w:t>
      </w:r>
      <w:r w:rsidR="00FE6C3B" w:rsidRPr="00934626">
        <w:t>, 2002</w:t>
      </w:r>
      <w:r w:rsidRPr="00934626">
        <w:t xml:space="preserve">). </w:t>
      </w:r>
      <w:r w:rsidR="004730E9" w:rsidRPr="00934626">
        <w:t>Novel vaccines based on recombinant adenoviruses have also been shown to be effective</w:t>
      </w:r>
      <w:r w:rsidR="00B77983" w:rsidRPr="00934626">
        <w:t xml:space="preserve"> (Herbert </w:t>
      </w:r>
      <w:r w:rsidR="00B77983" w:rsidRPr="00934626">
        <w:rPr>
          <w:i/>
        </w:rPr>
        <w:t>et al.,</w:t>
      </w:r>
      <w:r w:rsidR="00B77983" w:rsidRPr="00934626">
        <w:t xml:space="preserve"> 2014; Holzer </w:t>
      </w:r>
      <w:r w:rsidR="00B77983" w:rsidRPr="00934626">
        <w:rPr>
          <w:i/>
        </w:rPr>
        <w:t xml:space="preserve">et al., </w:t>
      </w:r>
      <w:r w:rsidR="00B77983" w:rsidRPr="00934626">
        <w:t xml:space="preserve">2016; Qin </w:t>
      </w:r>
      <w:r w:rsidR="00B77983" w:rsidRPr="00934626">
        <w:rPr>
          <w:i/>
        </w:rPr>
        <w:t>et al.,</w:t>
      </w:r>
      <w:r w:rsidR="00B77983" w:rsidRPr="00934626">
        <w:t xml:space="preserve"> 2012; Rojas </w:t>
      </w:r>
      <w:r w:rsidR="00B77983" w:rsidRPr="00934626">
        <w:rPr>
          <w:i/>
        </w:rPr>
        <w:t>et al.,</w:t>
      </w:r>
      <w:r w:rsidR="00B77983" w:rsidRPr="00934626">
        <w:t xml:space="preserve"> 2014; Wang </w:t>
      </w:r>
      <w:r w:rsidR="00B77983" w:rsidRPr="00934626">
        <w:rPr>
          <w:i/>
        </w:rPr>
        <w:t>et al.,</w:t>
      </w:r>
      <w:r w:rsidR="00B77983" w:rsidRPr="00934626">
        <w:t xml:space="preserve"> 2013)</w:t>
      </w:r>
      <w:r w:rsidR="004730E9" w:rsidRPr="00934626">
        <w:t xml:space="preserve">; such vaccines </w:t>
      </w:r>
      <w:r w:rsidR="00B77983" w:rsidRPr="00934626">
        <w:t xml:space="preserve">also </w:t>
      </w:r>
      <w:r w:rsidR="004730E9" w:rsidRPr="00934626">
        <w:t xml:space="preserve">offer the possibility of providing a DIVA capability. None of these vaccines </w:t>
      </w:r>
      <w:r w:rsidR="008E6239" w:rsidRPr="00934626">
        <w:t xml:space="preserve">has yet been </w:t>
      </w:r>
      <w:r w:rsidRPr="00934626">
        <w:t>validated for field use.</w:t>
      </w:r>
    </w:p>
    <w:p w14:paraId="42CD3C26" w14:textId="77777777" w:rsidR="005474BA" w:rsidRPr="00934626" w:rsidRDefault="00ED47BC" w:rsidP="00E13B8E">
      <w:pPr>
        <w:pStyle w:val="11"/>
      </w:pPr>
      <w:r w:rsidRPr="00934626">
        <w:t>3.2.</w:t>
      </w:r>
      <w:r w:rsidR="005474BA" w:rsidRPr="00934626">
        <w:tab/>
        <w:t>Special requirements for biotechnological vaccines, if any</w:t>
      </w:r>
    </w:p>
    <w:p w14:paraId="56894C8E" w14:textId="77777777" w:rsidR="005474BA" w:rsidRPr="00934626" w:rsidRDefault="005474BA" w:rsidP="00E13B8E">
      <w:pPr>
        <w:pStyle w:val="11Para"/>
        <w:spacing w:after="480"/>
      </w:pPr>
      <w:r w:rsidRPr="00934626">
        <w:t>None</w:t>
      </w:r>
      <w:r w:rsidR="005E7EAB" w:rsidRPr="00934626">
        <w:t>.</w:t>
      </w:r>
    </w:p>
    <w:p w14:paraId="6C4AB9C0" w14:textId="77777777" w:rsidR="00431B81" w:rsidRPr="00934626" w:rsidRDefault="00431B81" w:rsidP="00C3312C">
      <w:pPr>
        <w:pStyle w:val="Referencetitle"/>
      </w:pPr>
      <w:r w:rsidRPr="00934626">
        <w:t>REFERENCES</w:t>
      </w:r>
    </w:p>
    <w:p w14:paraId="09C4F69C" w14:textId="77777777" w:rsidR="007E3198" w:rsidRPr="00934626" w:rsidRDefault="007E3198" w:rsidP="00C3312C">
      <w:pPr>
        <w:pStyle w:val="Ref"/>
        <w:rPr>
          <w:smallCaps/>
        </w:rPr>
      </w:pPr>
      <w:proofErr w:type="spellStart"/>
      <w:r w:rsidRPr="00934626">
        <w:rPr>
          <w:smallCaps/>
        </w:rPr>
        <w:t>Adombi</w:t>
      </w:r>
      <w:proofErr w:type="spellEnd"/>
      <w:r w:rsidRPr="00934626">
        <w:rPr>
          <w:smallCaps/>
        </w:rPr>
        <w:t xml:space="preserve"> C.M., </w:t>
      </w:r>
      <w:proofErr w:type="spellStart"/>
      <w:r w:rsidRPr="00934626">
        <w:rPr>
          <w:smallCaps/>
        </w:rPr>
        <w:t>Lelenta</w:t>
      </w:r>
      <w:proofErr w:type="spellEnd"/>
      <w:r w:rsidRPr="00934626">
        <w:rPr>
          <w:smallCaps/>
        </w:rPr>
        <w:t xml:space="preserve"> M., </w:t>
      </w:r>
      <w:proofErr w:type="spellStart"/>
      <w:r w:rsidRPr="00934626">
        <w:rPr>
          <w:smallCaps/>
        </w:rPr>
        <w:t>Lamien</w:t>
      </w:r>
      <w:proofErr w:type="spellEnd"/>
      <w:r w:rsidRPr="00934626">
        <w:rPr>
          <w:smallCaps/>
        </w:rPr>
        <w:t xml:space="preserve"> C.E., </w:t>
      </w:r>
      <w:proofErr w:type="spellStart"/>
      <w:r w:rsidRPr="00934626">
        <w:rPr>
          <w:smallCaps/>
        </w:rPr>
        <w:t>Shamaki</w:t>
      </w:r>
      <w:proofErr w:type="spellEnd"/>
      <w:r w:rsidRPr="00934626">
        <w:rPr>
          <w:smallCaps/>
        </w:rPr>
        <w:t xml:space="preserve"> D., Yao K., </w:t>
      </w:r>
      <w:proofErr w:type="spellStart"/>
      <w:r w:rsidRPr="00934626">
        <w:rPr>
          <w:smallCaps/>
        </w:rPr>
        <w:t>Traoré</w:t>
      </w:r>
      <w:proofErr w:type="spellEnd"/>
      <w:r w:rsidRPr="00934626">
        <w:rPr>
          <w:smallCaps/>
        </w:rPr>
        <w:t xml:space="preserve"> A., Silber R., </w:t>
      </w:r>
      <w:proofErr w:type="spellStart"/>
      <w:r w:rsidRPr="00934626">
        <w:rPr>
          <w:smallCaps/>
        </w:rPr>
        <w:t>Couacy-Hymann</w:t>
      </w:r>
      <w:proofErr w:type="spellEnd"/>
      <w:r w:rsidRPr="00934626">
        <w:rPr>
          <w:smallCaps/>
        </w:rPr>
        <w:t xml:space="preserve"> E., </w:t>
      </w:r>
      <w:proofErr w:type="spellStart"/>
      <w:r w:rsidRPr="00934626">
        <w:rPr>
          <w:smallCaps/>
        </w:rPr>
        <w:t>Bodjo</w:t>
      </w:r>
      <w:proofErr w:type="spellEnd"/>
      <w:r w:rsidRPr="00934626">
        <w:rPr>
          <w:smallCaps/>
        </w:rPr>
        <w:t xml:space="preserve"> C., </w:t>
      </w:r>
      <w:proofErr w:type="spellStart"/>
      <w:r w:rsidRPr="00934626">
        <w:rPr>
          <w:smallCaps/>
        </w:rPr>
        <w:t>Djaman</w:t>
      </w:r>
      <w:proofErr w:type="spellEnd"/>
      <w:r w:rsidRPr="00934626">
        <w:rPr>
          <w:smallCaps/>
        </w:rPr>
        <w:t xml:space="preserve"> J.A., </w:t>
      </w:r>
      <w:proofErr w:type="spellStart"/>
      <w:r w:rsidRPr="00934626">
        <w:rPr>
          <w:smallCaps/>
        </w:rPr>
        <w:t>Luckins</w:t>
      </w:r>
      <w:proofErr w:type="spellEnd"/>
      <w:r w:rsidRPr="00934626">
        <w:rPr>
          <w:smallCaps/>
        </w:rPr>
        <w:t xml:space="preserve"> A. </w:t>
      </w:r>
      <w:r w:rsidR="00884747" w:rsidRPr="00934626">
        <w:rPr>
          <w:smallCaps/>
        </w:rPr>
        <w:t>&amp;</w:t>
      </w:r>
      <w:r w:rsidRPr="00934626">
        <w:rPr>
          <w:smallCaps/>
        </w:rPr>
        <w:t xml:space="preserve"> Diallo A. </w:t>
      </w:r>
      <w:r w:rsidR="00884747" w:rsidRPr="00934626">
        <w:rPr>
          <w:smallCaps/>
        </w:rPr>
        <w:t xml:space="preserve">(2011). </w:t>
      </w:r>
      <w:r w:rsidRPr="00934626">
        <w:t xml:space="preserve">Monkey CV1 </w:t>
      </w:r>
      <w:r w:rsidR="00884747" w:rsidRPr="00934626">
        <w:t>cell line expressing the sheep-goat</w:t>
      </w:r>
      <w:r w:rsidRPr="00934626">
        <w:t xml:space="preserve"> SLAM </w:t>
      </w:r>
      <w:r w:rsidR="00884747" w:rsidRPr="00934626">
        <w:t xml:space="preserve">protein: a highly sensitive cell line for the isolation of </w:t>
      </w:r>
      <w:proofErr w:type="spellStart"/>
      <w:r w:rsidR="00884747" w:rsidRPr="00934626">
        <w:t>peste</w:t>
      </w:r>
      <w:proofErr w:type="spellEnd"/>
      <w:r w:rsidR="00884747" w:rsidRPr="00934626">
        <w:t xml:space="preserve"> des petits ruminants virus from pathological specimens. </w:t>
      </w:r>
      <w:r w:rsidR="00884747" w:rsidRPr="00934626">
        <w:rPr>
          <w:i/>
        </w:rPr>
        <w:t xml:space="preserve">J. </w:t>
      </w:r>
      <w:proofErr w:type="spellStart"/>
      <w:r w:rsidR="00884747" w:rsidRPr="00934626">
        <w:rPr>
          <w:i/>
        </w:rPr>
        <w:t>Virol</w:t>
      </w:r>
      <w:proofErr w:type="spellEnd"/>
      <w:r w:rsidR="00884747" w:rsidRPr="00934626">
        <w:rPr>
          <w:i/>
        </w:rPr>
        <w:t>. Methods</w:t>
      </w:r>
      <w:r w:rsidR="00214F67" w:rsidRPr="00934626">
        <w:t xml:space="preserve">, </w:t>
      </w:r>
      <w:r w:rsidRPr="00934626">
        <w:rPr>
          <w:b/>
        </w:rPr>
        <w:t>173</w:t>
      </w:r>
      <w:r w:rsidR="00884747" w:rsidRPr="00934626">
        <w:t>,</w:t>
      </w:r>
      <w:r w:rsidRPr="00934626">
        <w:t xml:space="preserve"> 306–313</w:t>
      </w:r>
      <w:r w:rsidR="00214F67" w:rsidRPr="00934626">
        <w:t>.</w:t>
      </w:r>
    </w:p>
    <w:p w14:paraId="64357BE3" w14:textId="77777777" w:rsidR="00431B81" w:rsidRPr="00934626" w:rsidRDefault="00431B81" w:rsidP="006D44BE">
      <w:pPr>
        <w:pStyle w:val="Ref"/>
      </w:pPr>
      <w:r w:rsidRPr="00934626">
        <w:rPr>
          <w:smallCaps/>
        </w:rPr>
        <w:t>Anderson J. &amp; McKay</w:t>
      </w:r>
      <w:r w:rsidRPr="00934626">
        <w:t xml:space="preserve"> J.A. (1994). The detection of antibodies against </w:t>
      </w:r>
      <w:proofErr w:type="spellStart"/>
      <w:r w:rsidRPr="00934626">
        <w:t>peste</w:t>
      </w:r>
      <w:proofErr w:type="spellEnd"/>
      <w:r w:rsidRPr="00934626">
        <w:t xml:space="preserve"> des petits ruminants virus in cattle, sheep and goats and the possible implication to rinderpest control programmes. </w:t>
      </w:r>
      <w:proofErr w:type="spellStart"/>
      <w:r w:rsidRPr="00934626">
        <w:rPr>
          <w:i/>
        </w:rPr>
        <w:t>Epidem</w:t>
      </w:r>
      <w:r w:rsidR="00324A87" w:rsidRPr="00934626">
        <w:rPr>
          <w:i/>
        </w:rPr>
        <w:t>iol</w:t>
      </w:r>
      <w:proofErr w:type="spellEnd"/>
      <w:r w:rsidRPr="00934626">
        <w:rPr>
          <w:i/>
        </w:rPr>
        <w:t>. Infect</w:t>
      </w:r>
      <w:r w:rsidRPr="00934626">
        <w:t xml:space="preserve">., </w:t>
      </w:r>
      <w:r w:rsidRPr="00934626">
        <w:rPr>
          <w:b/>
        </w:rPr>
        <w:t>112</w:t>
      </w:r>
      <w:r w:rsidRPr="00934626">
        <w:t>, 225</w:t>
      </w:r>
      <w:r w:rsidR="00113356" w:rsidRPr="00934626">
        <w:t>–</w:t>
      </w:r>
      <w:r w:rsidRPr="00934626">
        <w:t>234.</w:t>
      </w:r>
    </w:p>
    <w:p w14:paraId="72DE9CA9" w14:textId="77777777" w:rsidR="00E569B6" w:rsidRPr="00934626" w:rsidRDefault="00E569B6" w:rsidP="00B06BC0">
      <w:pPr>
        <w:spacing w:after="240" w:line="240" w:lineRule="auto"/>
        <w:rPr>
          <w:rFonts w:ascii="Arial" w:hAnsi="Arial" w:cs="Arial"/>
          <w:sz w:val="18"/>
          <w:szCs w:val="18"/>
        </w:rPr>
      </w:pPr>
      <w:proofErr w:type="spellStart"/>
      <w:r w:rsidRPr="00934626">
        <w:rPr>
          <w:rFonts w:ascii="Arial" w:hAnsi="Arial" w:cs="Arial"/>
          <w:smallCaps/>
          <w:sz w:val="18"/>
          <w:szCs w:val="18"/>
          <w:lang w:val="en-US"/>
        </w:rPr>
        <w:t>Banyard</w:t>
      </w:r>
      <w:proofErr w:type="spellEnd"/>
      <w:r w:rsidRPr="00934626">
        <w:rPr>
          <w:rFonts w:ascii="Arial" w:hAnsi="Arial" w:cs="Arial"/>
          <w:smallCaps/>
          <w:sz w:val="18"/>
          <w:szCs w:val="18"/>
          <w:lang w:val="en-US"/>
        </w:rPr>
        <w:t xml:space="preserve"> A</w:t>
      </w:r>
      <w:r w:rsidR="0090477B" w:rsidRPr="00934626">
        <w:rPr>
          <w:rFonts w:ascii="Arial" w:hAnsi="Arial" w:cs="Arial"/>
          <w:smallCaps/>
          <w:sz w:val="18"/>
          <w:szCs w:val="18"/>
          <w:lang w:val="en-US"/>
        </w:rPr>
        <w:t>.</w:t>
      </w:r>
      <w:r w:rsidRPr="00934626">
        <w:rPr>
          <w:rFonts w:ascii="Arial" w:hAnsi="Arial" w:cs="Arial"/>
          <w:smallCaps/>
          <w:sz w:val="18"/>
          <w:szCs w:val="18"/>
          <w:lang w:val="en-US"/>
        </w:rPr>
        <w:t>C</w:t>
      </w:r>
      <w:r w:rsidR="0090477B" w:rsidRPr="00934626">
        <w:rPr>
          <w:rFonts w:ascii="Arial" w:hAnsi="Arial" w:cs="Arial"/>
          <w:smallCaps/>
          <w:sz w:val="18"/>
          <w:szCs w:val="18"/>
          <w:lang w:val="en-US"/>
        </w:rPr>
        <w:t>.</w:t>
      </w:r>
      <w:r w:rsidRPr="00934626">
        <w:rPr>
          <w:rFonts w:ascii="Arial" w:hAnsi="Arial" w:cs="Arial"/>
          <w:smallCaps/>
          <w:sz w:val="18"/>
          <w:szCs w:val="18"/>
          <w:lang w:val="en-US"/>
        </w:rPr>
        <w:t xml:space="preserve">, </w:t>
      </w:r>
      <w:proofErr w:type="spellStart"/>
      <w:r w:rsidRPr="00934626">
        <w:rPr>
          <w:rFonts w:ascii="Arial" w:hAnsi="Arial" w:cs="Arial"/>
          <w:smallCaps/>
          <w:sz w:val="18"/>
          <w:szCs w:val="18"/>
          <w:lang w:val="en-US"/>
        </w:rPr>
        <w:t>Parida</w:t>
      </w:r>
      <w:proofErr w:type="spellEnd"/>
      <w:r w:rsidRPr="00934626">
        <w:rPr>
          <w:rFonts w:ascii="Arial" w:hAnsi="Arial" w:cs="Arial"/>
          <w:smallCaps/>
          <w:sz w:val="18"/>
          <w:szCs w:val="18"/>
          <w:lang w:val="en-US"/>
        </w:rPr>
        <w:t xml:space="preserve"> S</w:t>
      </w:r>
      <w:r w:rsidR="0090477B" w:rsidRPr="00934626">
        <w:rPr>
          <w:rFonts w:ascii="Arial" w:hAnsi="Arial" w:cs="Arial"/>
          <w:smallCaps/>
          <w:sz w:val="18"/>
          <w:szCs w:val="18"/>
          <w:lang w:val="en-US"/>
        </w:rPr>
        <w:t>.</w:t>
      </w:r>
      <w:r w:rsidRPr="00934626">
        <w:rPr>
          <w:rFonts w:ascii="Arial" w:hAnsi="Arial" w:cs="Arial"/>
          <w:smallCaps/>
          <w:sz w:val="18"/>
          <w:szCs w:val="18"/>
          <w:lang w:val="en-US"/>
        </w:rPr>
        <w:t>, Batten C</w:t>
      </w:r>
      <w:r w:rsidR="0090477B" w:rsidRPr="00934626">
        <w:rPr>
          <w:rFonts w:ascii="Arial" w:hAnsi="Arial" w:cs="Arial"/>
          <w:smallCaps/>
          <w:sz w:val="18"/>
          <w:szCs w:val="18"/>
          <w:lang w:val="en-US"/>
        </w:rPr>
        <w:t>.</w:t>
      </w:r>
      <w:r w:rsidRPr="00934626">
        <w:rPr>
          <w:rFonts w:ascii="Arial" w:hAnsi="Arial" w:cs="Arial"/>
          <w:smallCaps/>
          <w:sz w:val="18"/>
          <w:szCs w:val="18"/>
          <w:lang w:val="en-US"/>
        </w:rPr>
        <w:t xml:space="preserve">, </w:t>
      </w:r>
      <w:proofErr w:type="spellStart"/>
      <w:r w:rsidRPr="00934626">
        <w:rPr>
          <w:rFonts w:ascii="Arial" w:hAnsi="Arial" w:cs="Arial"/>
          <w:smallCaps/>
          <w:sz w:val="18"/>
          <w:szCs w:val="18"/>
          <w:lang w:val="en-US"/>
        </w:rPr>
        <w:t>Oura</w:t>
      </w:r>
      <w:proofErr w:type="spellEnd"/>
      <w:r w:rsidRPr="00934626">
        <w:rPr>
          <w:rFonts w:ascii="Arial" w:hAnsi="Arial" w:cs="Arial"/>
          <w:smallCaps/>
          <w:sz w:val="18"/>
          <w:szCs w:val="18"/>
          <w:lang w:val="en-US"/>
        </w:rPr>
        <w:t xml:space="preserve"> C</w:t>
      </w:r>
      <w:r w:rsidR="0090477B" w:rsidRPr="00934626">
        <w:rPr>
          <w:rFonts w:ascii="Arial" w:hAnsi="Arial" w:cs="Arial"/>
          <w:smallCaps/>
          <w:sz w:val="18"/>
          <w:szCs w:val="18"/>
          <w:lang w:val="en-US"/>
        </w:rPr>
        <w:t>.</w:t>
      </w:r>
      <w:r w:rsidRPr="00934626">
        <w:rPr>
          <w:rFonts w:ascii="Arial" w:hAnsi="Arial" w:cs="Arial"/>
          <w:smallCaps/>
          <w:sz w:val="18"/>
          <w:szCs w:val="18"/>
          <w:lang w:val="en-US"/>
        </w:rPr>
        <w:t xml:space="preserve">, </w:t>
      </w:r>
      <w:proofErr w:type="spellStart"/>
      <w:r w:rsidRPr="00934626">
        <w:rPr>
          <w:rFonts w:ascii="Arial" w:hAnsi="Arial" w:cs="Arial"/>
          <w:smallCaps/>
          <w:sz w:val="18"/>
          <w:szCs w:val="18"/>
          <w:lang w:val="en-US"/>
        </w:rPr>
        <w:t>Kwiatek</w:t>
      </w:r>
      <w:proofErr w:type="spellEnd"/>
      <w:r w:rsidRPr="00934626">
        <w:rPr>
          <w:rFonts w:ascii="Arial" w:hAnsi="Arial" w:cs="Arial"/>
          <w:smallCaps/>
          <w:sz w:val="18"/>
          <w:szCs w:val="18"/>
          <w:lang w:val="en-US"/>
        </w:rPr>
        <w:t xml:space="preserve"> O</w:t>
      </w:r>
      <w:r w:rsidR="0090477B" w:rsidRPr="00934626">
        <w:rPr>
          <w:rFonts w:ascii="Arial" w:hAnsi="Arial" w:cs="Arial"/>
          <w:smallCaps/>
          <w:sz w:val="18"/>
          <w:szCs w:val="18"/>
          <w:lang w:val="en-US"/>
        </w:rPr>
        <w:t>. &amp;</w:t>
      </w:r>
      <w:r w:rsidRPr="00934626">
        <w:rPr>
          <w:rFonts w:ascii="Arial" w:hAnsi="Arial" w:cs="Arial"/>
          <w:smallCaps/>
          <w:sz w:val="18"/>
          <w:szCs w:val="18"/>
          <w:lang w:val="en-US"/>
        </w:rPr>
        <w:t xml:space="preserve"> Libeau G.</w:t>
      </w:r>
      <w:r w:rsidRPr="00934626">
        <w:rPr>
          <w:rFonts w:ascii="Arial" w:hAnsi="Arial" w:cs="Arial"/>
          <w:sz w:val="18"/>
          <w:szCs w:val="18"/>
          <w:lang w:val="en-US"/>
        </w:rPr>
        <w:t xml:space="preserve"> </w:t>
      </w:r>
      <w:r w:rsidR="0090477B" w:rsidRPr="00934626">
        <w:rPr>
          <w:rFonts w:ascii="Arial" w:hAnsi="Arial" w:cs="Arial"/>
          <w:sz w:val="18"/>
          <w:szCs w:val="18"/>
          <w:lang w:val="en-US"/>
        </w:rPr>
        <w:t xml:space="preserve">(2010). </w:t>
      </w:r>
      <w:r w:rsidRPr="00934626">
        <w:rPr>
          <w:rFonts w:ascii="Arial" w:hAnsi="Arial" w:cs="Arial"/>
          <w:sz w:val="18"/>
          <w:szCs w:val="18"/>
          <w:lang w:val="en-US"/>
        </w:rPr>
        <w:t xml:space="preserve">Global distribution of </w:t>
      </w:r>
      <w:proofErr w:type="spellStart"/>
      <w:r w:rsidRPr="00934626">
        <w:rPr>
          <w:rFonts w:ascii="Arial" w:hAnsi="Arial" w:cs="Arial"/>
          <w:sz w:val="18"/>
          <w:szCs w:val="18"/>
          <w:lang w:val="en-US"/>
        </w:rPr>
        <w:t>peste</w:t>
      </w:r>
      <w:proofErr w:type="spellEnd"/>
      <w:r w:rsidRPr="00934626">
        <w:rPr>
          <w:rFonts w:ascii="Arial" w:hAnsi="Arial" w:cs="Arial"/>
          <w:sz w:val="18"/>
          <w:szCs w:val="18"/>
          <w:lang w:val="en-US"/>
        </w:rPr>
        <w:t xml:space="preserve"> des petits ruminants virus and prospects for improved diagnosis and control. </w:t>
      </w:r>
      <w:r w:rsidRPr="00934626">
        <w:rPr>
          <w:rFonts w:ascii="Arial" w:hAnsi="Arial" w:cs="Arial"/>
          <w:i/>
          <w:sz w:val="18"/>
          <w:szCs w:val="18"/>
        </w:rPr>
        <w:t>J</w:t>
      </w:r>
      <w:r w:rsidR="0090477B" w:rsidRPr="00934626">
        <w:rPr>
          <w:rFonts w:ascii="Arial" w:hAnsi="Arial" w:cs="Arial"/>
          <w:i/>
          <w:sz w:val="18"/>
          <w:szCs w:val="18"/>
        </w:rPr>
        <w:t>.</w:t>
      </w:r>
      <w:r w:rsidRPr="00934626">
        <w:rPr>
          <w:rFonts w:ascii="Arial" w:hAnsi="Arial" w:cs="Arial"/>
          <w:i/>
          <w:sz w:val="18"/>
          <w:szCs w:val="18"/>
        </w:rPr>
        <w:t xml:space="preserve"> Gen</w:t>
      </w:r>
      <w:r w:rsidR="0090477B" w:rsidRPr="00934626">
        <w:rPr>
          <w:rFonts w:ascii="Arial" w:hAnsi="Arial" w:cs="Arial"/>
          <w:i/>
          <w:sz w:val="18"/>
          <w:szCs w:val="18"/>
        </w:rPr>
        <w:t>.</w:t>
      </w:r>
      <w:r w:rsidRPr="00934626">
        <w:rPr>
          <w:rFonts w:ascii="Arial" w:hAnsi="Arial" w:cs="Arial"/>
          <w:i/>
          <w:sz w:val="18"/>
          <w:szCs w:val="18"/>
        </w:rPr>
        <w:t xml:space="preserve"> </w:t>
      </w:r>
      <w:proofErr w:type="spellStart"/>
      <w:r w:rsidRPr="00934626">
        <w:rPr>
          <w:rFonts w:ascii="Arial" w:hAnsi="Arial" w:cs="Arial"/>
          <w:i/>
          <w:sz w:val="18"/>
          <w:szCs w:val="18"/>
        </w:rPr>
        <w:t>Virol</w:t>
      </w:r>
      <w:proofErr w:type="spellEnd"/>
      <w:r w:rsidRPr="00934626">
        <w:rPr>
          <w:rFonts w:ascii="Arial" w:hAnsi="Arial" w:cs="Arial"/>
          <w:i/>
          <w:sz w:val="18"/>
          <w:szCs w:val="18"/>
        </w:rPr>
        <w:t>.</w:t>
      </w:r>
      <w:r w:rsidRPr="00934626">
        <w:rPr>
          <w:rFonts w:ascii="Arial" w:hAnsi="Arial" w:cs="Arial"/>
          <w:sz w:val="18"/>
          <w:szCs w:val="18"/>
        </w:rPr>
        <w:t xml:space="preserve">, </w:t>
      </w:r>
      <w:r w:rsidRPr="00934626">
        <w:rPr>
          <w:rFonts w:ascii="Arial" w:hAnsi="Arial" w:cs="Arial"/>
          <w:b/>
          <w:sz w:val="18"/>
          <w:szCs w:val="18"/>
        </w:rPr>
        <w:t>91</w:t>
      </w:r>
      <w:r w:rsidR="0090477B" w:rsidRPr="00934626">
        <w:rPr>
          <w:rFonts w:ascii="Arial" w:hAnsi="Arial" w:cs="Arial"/>
          <w:sz w:val="18"/>
          <w:szCs w:val="18"/>
        </w:rPr>
        <w:t xml:space="preserve">, </w:t>
      </w:r>
      <w:r w:rsidRPr="00934626">
        <w:rPr>
          <w:rFonts w:ascii="Arial" w:hAnsi="Arial" w:cs="Arial"/>
          <w:sz w:val="18"/>
          <w:szCs w:val="18"/>
        </w:rPr>
        <w:t>2885</w:t>
      </w:r>
      <w:r w:rsidR="0090477B" w:rsidRPr="00934626">
        <w:rPr>
          <w:rFonts w:ascii="Arial" w:hAnsi="Arial" w:cs="Arial"/>
          <w:sz w:val="18"/>
          <w:szCs w:val="18"/>
        </w:rPr>
        <w:t>–28</w:t>
      </w:r>
      <w:r w:rsidRPr="00934626">
        <w:rPr>
          <w:rFonts w:ascii="Arial" w:hAnsi="Arial" w:cs="Arial"/>
          <w:sz w:val="18"/>
          <w:szCs w:val="18"/>
        </w:rPr>
        <w:t xml:space="preserve">97. </w:t>
      </w:r>
    </w:p>
    <w:p w14:paraId="612D007F" w14:textId="77777777" w:rsidR="00E569B6" w:rsidRPr="00934626" w:rsidRDefault="00E569B6" w:rsidP="00B06BC0">
      <w:pPr>
        <w:spacing w:after="240" w:line="240" w:lineRule="auto"/>
        <w:rPr>
          <w:rFonts w:ascii="Arial" w:hAnsi="Arial" w:cs="Arial"/>
          <w:sz w:val="18"/>
          <w:szCs w:val="18"/>
          <w:lang w:val="en-US"/>
        </w:rPr>
      </w:pPr>
      <w:r w:rsidRPr="00934626">
        <w:rPr>
          <w:rFonts w:ascii="Arial" w:hAnsi="Arial" w:cs="Arial"/>
          <w:smallCaps/>
          <w:sz w:val="18"/>
          <w:szCs w:val="18"/>
          <w:lang w:val="en-US"/>
        </w:rPr>
        <w:t xml:space="preserve">Bao J., Li L., Wang Z., Barrett T., Suo L., Zhao W., Liu Y., Liu C. &amp; Li J. </w:t>
      </w:r>
      <w:r w:rsidR="00BA0D3E" w:rsidRPr="00934626">
        <w:rPr>
          <w:rFonts w:ascii="Arial" w:hAnsi="Arial" w:cs="Arial"/>
          <w:smallCaps/>
          <w:sz w:val="18"/>
          <w:szCs w:val="18"/>
          <w:lang w:val="en-US"/>
        </w:rPr>
        <w:t>(2008).</w:t>
      </w:r>
      <w:r w:rsidR="00BA0D3E" w:rsidRPr="00934626">
        <w:rPr>
          <w:rFonts w:ascii="Arial" w:hAnsi="Arial" w:cs="Arial"/>
          <w:sz w:val="18"/>
          <w:szCs w:val="18"/>
          <w:lang w:val="en-US"/>
        </w:rPr>
        <w:t xml:space="preserve"> </w:t>
      </w:r>
      <w:r w:rsidRPr="00934626">
        <w:rPr>
          <w:rFonts w:ascii="Arial" w:hAnsi="Arial" w:cs="Arial"/>
          <w:sz w:val="18"/>
          <w:szCs w:val="18"/>
          <w:lang w:val="en-US"/>
        </w:rPr>
        <w:t xml:space="preserve">Development of one-step real-time RT-PCR assay for detection and quantitation of </w:t>
      </w:r>
      <w:proofErr w:type="spellStart"/>
      <w:r w:rsidRPr="00934626">
        <w:rPr>
          <w:rFonts w:ascii="Arial" w:hAnsi="Arial" w:cs="Arial"/>
          <w:sz w:val="18"/>
          <w:szCs w:val="18"/>
          <w:lang w:val="en-US"/>
        </w:rPr>
        <w:t>peste</w:t>
      </w:r>
      <w:proofErr w:type="spellEnd"/>
      <w:r w:rsidRPr="00934626">
        <w:rPr>
          <w:rFonts w:ascii="Arial" w:hAnsi="Arial" w:cs="Arial"/>
          <w:sz w:val="18"/>
          <w:szCs w:val="18"/>
          <w:lang w:val="en-US"/>
        </w:rPr>
        <w:t xml:space="preserve"> des petits ruminants virus. </w:t>
      </w:r>
      <w:r w:rsidRPr="00934626">
        <w:rPr>
          <w:rFonts w:ascii="Arial" w:hAnsi="Arial" w:cs="Arial"/>
          <w:i/>
          <w:sz w:val="18"/>
          <w:szCs w:val="18"/>
          <w:lang w:val="en-US"/>
        </w:rPr>
        <w:t>J</w:t>
      </w:r>
      <w:r w:rsidR="00884747" w:rsidRPr="00934626">
        <w:rPr>
          <w:rFonts w:ascii="Arial" w:hAnsi="Arial" w:cs="Arial"/>
          <w:i/>
          <w:sz w:val="18"/>
          <w:szCs w:val="18"/>
          <w:lang w:val="en-US"/>
        </w:rPr>
        <w:t>.</w:t>
      </w:r>
      <w:r w:rsidRPr="00934626">
        <w:rPr>
          <w:rFonts w:ascii="Arial" w:hAnsi="Arial" w:cs="Arial"/>
          <w:i/>
          <w:sz w:val="18"/>
          <w:szCs w:val="18"/>
          <w:lang w:val="en-US"/>
        </w:rPr>
        <w:t xml:space="preserve"> </w:t>
      </w:r>
      <w:proofErr w:type="spellStart"/>
      <w:r w:rsidRPr="00934626">
        <w:rPr>
          <w:rFonts w:ascii="Arial" w:hAnsi="Arial" w:cs="Arial"/>
          <w:i/>
          <w:sz w:val="18"/>
          <w:szCs w:val="18"/>
          <w:lang w:val="en-US"/>
        </w:rPr>
        <w:t>Virol</w:t>
      </w:r>
      <w:proofErr w:type="spellEnd"/>
      <w:r w:rsidR="00884747" w:rsidRPr="00934626">
        <w:rPr>
          <w:rFonts w:ascii="Arial" w:hAnsi="Arial" w:cs="Arial"/>
          <w:i/>
          <w:sz w:val="18"/>
          <w:szCs w:val="18"/>
          <w:lang w:val="en-US"/>
        </w:rPr>
        <w:t>.</w:t>
      </w:r>
      <w:r w:rsidRPr="00934626">
        <w:rPr>
          <w:rFonts w:ascii="Arial" w:hAnsi="Arial" w:cs="Arial"/>
          <w:i/>
          <w:sz w:val="18"/>
          <w:szCs w:val="18"/>
          <w:lang w:val="en-US"/>
        </w:rPr>
        <w:t xml:space="preserve"> Methods,</w:t>
      </w:r>
      <w:r w:rsidRPr="00934626">
        <w:rPr>
          <w:rFonts w:ascii="Arial" w:hAnsi="Arial" w:cs="Arial"/>
          <w:sz w:val="18"/>
          <w:szCs w:val="18"/>
          <w:lang w:val="en-US"/>
        </w:rPr>
        <w:t xml:space="preserve"> </w:t>
      </w:r>
      <w:r w:rsidRPr="00934626">
        <w:rPr>
          <w:rFonts w:ascii="Arial" w:hAnsi="Arial" w:cs="Arial"/>
          <w:b/>
          <w:sz w:val="18"/>
          <w:szCs w:val="18"/>
          <w:lang w:val="en-US"/>
        </w:rPr>
        <w:t>148</w:t>
      </w:r>
      <w:r w:rsidR="00884747" w:rsidRPr="00934626">
        <w:rPr>
          <w:rFonts w:ascii="Arial" w:hAnsi="Arial" w:cs="Arial"/>
          <w:sz w:val="18"/>
          <w:szCs w:val="18"/>
          <w:lang w:val="en-US"/>
        </w:rPr>
        <w:t xml:space="preserve">, </w:t>
      </w:r>
      <w:r w:rsidRPr="00934626">
        <w:rPr>
          <w:rFonts w:ascii="Arial" w:hAnsi="Arial" w:cs="Arial"/>
          <w:sz w:val="18"/>
          <w:szCs w:val="18"/>
          <w:lang w:val="en-US"/>
        </w:rPr>
        <w:t>232–236</w:t>
      </w:r>
      <w:r w:rsidR="00214F67" w:rsidRPr="00934626">
        <w:rPr>
          <w:rFonts w:ascii="Arial" w:hAnsi="Arial" w:cs="Arial"/>
          <w:sz w:val="18"/>
          <w:szCs w:val="18"/>
          <w:lang w:val="en-US"/>
        </w:rPr>
        <w:t>.</w:t>
      </w:r>
    </w:p>
    <w:p w14:paraId="1678E0C8" w14:textId="5AC8CB56" w:rsidR="00390B26" w:rsidRPr="00934626" w:rsidRDefault="00390B26" w:rsidP="008A0A9D">
      <w:pPr>
        <w:pStyle w:val="Ref"/>
      </w:pPr>
      <w:r w:rsidRPr="00934626">
        <w:rPr>
          <w:smallCaps/>
        </w:rPr>
        <w:t xml:space="preserve">Baron J., Fishbourne E., </w:t>
      </w:r>
      <w:proofErr w:type="spellStart"/>
      <w:r w:rsidRPr="00934626">
        <w:rPr>
          <w:smallCaps/>
        </w:rPr>
        <w:t>Couacy</w:t>
      </w:r>
      <w:proofErr w:type="spellEnd"/>
      <w:r w:rsidRPr="00934626">
        <w:rPr>
          <w:smallCaps/>
        </w:rPr>
        <w:t xml:space="preserve">-Hyman E., Abubakar M., Jones B.A., Frost L., Herbert R., </w:t>
      </w:r>
      <w:proofErr w:type="spellStart"/>
      <w:r w:rsidRPr="00934626">
        <w:rPr>
          <w:smallCaps/>
        </w:rPr>
        <w:t>Chibssa</w:t>
      </w:r>
      <w:proofErr w:type="spellEnd"/>
      <w:r w:rsidRPr="00934626">
        <w:rPr>
          <w:smallCaps/>
        </w:rPr>
        <w:t xml:space="preserve"> T.R., </w:t>
      </w:r>
      <w:proofErr w:type="spellStart"/>
      <w:r w:rsidRPr="00934626">
        <w:rPr>
          <w:smallCaps/>
        </w:rPr>
        <w:t>Van</w:t>
      </w:r>
      <w:r w:rsidR="008A0A9D" w:rsidRPr="00934626">
        <w:rPr>
          <w:smallCaps/>
        </w:rPr>
        <w:t>’</w:t>
      </w:r>
      <w:r w:rsidRPr="00934626">
        <w:rPr>
          <w:smallCaps/>
        </w:rPr>
        <w:t>t</w:t>
      </w:r>
      <w:proofErr w:type="spellEnd"/>
      <w:r w:rsidRPr="00934626">
        <w:rPr>
          <w:smallCaps/>
        </w:rPr>
        <w:t xml:space="preserve"> </w:t>
      </w:r>
      <w:proofErr w:type="spellStart"/>
      <w:r w:rsidRPr="00934626">
        <w:rPr>
          <w:smallCaps/>
        </w:rPr>
        <w:t>Klooster</w:t>
      </w:r>
      <w:proofErr w:type="spellEnd"/>
      <w:r w:rsidRPr="00934626">
        <w:rPr>
          <w:smallCaps/>
        </w:rPr>
        <w:t xml:space="preserve"> G., Afzal M., </w:t>
      </w:r>
      <w:proofErr w:type="spellStart"/>
      <w:r w:rsidRPr="00934626">
        <w:rPr>
          <w:smallCaps/>
        </w:rPr>
        <w:t>Ayebazibwe</w:t>
      </w:r>
      <w:proofErr w:type="spellEnd"/>
      <w:r w:rsidRPr="00934626">
        <w:rPr>
          <w:smallCaps/>
        </w:rPr>
        <w:t xml:space="preserve"> C., Toye P., </w:t>
      </w:r>
      <w:proofErr w:type="spellStart"/>
      <w:r w:rsidRPr="00934626">
        <w:rPr>
          <w:smallCaps/>
        </w:rPr>
        <w:t>Bashiruddin</w:t>
      </w:r>
      <w:proofErr w:type="spellEnd"/>
      <w:r w:rsidRPr="00934626">
        <w:rPr>
          <w:smallCaps/>
        </w:rPr>
        <w:t xml:space="preserve"> J.</w:t>
      </w:r>
      <w:r w:rsidR="008A0A9D" w:rsidRPr="00934626">
        <w:rPr>
          <w:smallCaps/>
        </w:rPr>
        <w:t xml:space="preserve"> &amp;</w:t>
      </w:r>
      <w:r w:rsidRPr="00934626">
        <w:rPr>
          <w:smallCaps/>
        </w:rPr>
        <w:t xml:space="preserve"> Baron M.D</w:t>
      </w:r>
      <w:r w:rsidRPr="00934626">
        <w:t xml:space="preserve">. </w:t>
      </w:r>
      <w:r w:rsidR="008A0A9D" w:rsidRPr="00934626">
        <w:t>(</w:t>
      </w:r>
      <w:r w:rsidRPr="00934626">
        <w:t>2014</w:t>
      </w:r>
      <w:r w:rsidR="008A0A9D" w:rsidRPr="00934626">
        <w:t>)</w:t>
      </w:r>
      <w:r w:rsidRPr="00934626">
        <w:t xml:space="preserve">. Development and testing of a field diagnostic assay for </w:t>
      </w:r>
      <w:proofErr w:type="spellStart"/>
      <w:r w:rsidRPr="00934626">
        <w:t>peste</w:t>
      </w:r>
      <w:proofErr w:type="spellEnd"/>
      <w:r w:rsidRPr="00934626">
        <w:t xml:space="preserve"> des petits ruminants virus. </w:t>
      </w:r>
      <w:proofErr w:type="spellStart"/>
      <w:r w:rsidRPr="00934626">
        <w:rPr>
          <w:i/>
        </w:rPr>
        <w:t>Transbound</w:t>
      </w:r>
      <w:proofErr w:type="spellEnd"/>
      <w:r w:rsidRPr="00934626">
        <w:rPr>
          <w:i/>
        </w:rPr>
        <w:t xml:space="preserve">. </w:t>
      </w:r>
      <w:proofErr w:type="spellStart"/>
      <w:r w:rsidRPr="00934626">
        <w:rPr>
          <w:i/>
        </w:rPr>
        <w:t>Emerg</w:t>
      </w:r>
      <w:proofErr w:type="spellEnd"/>
      <w:r w:rsidRPr="00934626">
        <w:rPr>
          <w:i/>
        </w:rPr>
        <w:t>. Dis.</w:t>
      </w:r>
      <w:r w:rsidR="008A0A9D" w:rsidRPr="00934626">
        <w:rPr>
          <w:i/>
        </w:rPr>
        <w:t>,</w:t>
      </w:r>
      <w:r w:rsidRPr="00934626">
        <w:t xml:space="preserve"> </w:t>
      </w:r>
      <w:r w:rsidRPr="00934626">
        <w:rPr>
          <w:b/>
        </w:rPr>
        <w:t>61</w:t>
      </w:r>
      <w:r w:rsidRPr="00934626">
        <w:t>, 390</w:t>
      </w:r>
      <w:r w:rsidR="008A0A9D" w:rsidRPr="00934626">
        <w:t>–</w:t>
      </w:r>
      <w:r w:rsidRPr="00934626">
        <w:t>396.</w:t>
      </w:r>
    </w:p>
    <w:p w14:paraId="50B2EDE9" w14:textId="789B8205" w:rsidR="00A61D6B" w:rsidRPr="00934626" w:rsidRDefault="00754D8A" w:rsidP="00754D8A">
      <w:pPr>
        <w:pStyle w:val="Ref"/>
        <w:rPr>
          <w:lang w:val="en-US"/>
        </w:rPr>
      </w:pPr>
      <w:r w:rsidRPr="00934626">
        <w:rPr>
          <w:smallCaps/>
        </w:rPr>
        <w:t xml:space="preserve">Batten C.A., </w:t>
      </w:r>
      <w:proofErr w:type="spellStart"/>
      <w:r w:rsidRPr="00934626">
        <w:rPr>
          <w:smallCaps/>
        </w:rPr>
        <w:t>Banyard</w:t>
      </w:r>
      <w:proofErr w:type="spellEnd"/>
      <w:r w:rsidRPr="00934626">
        <w:rPr>
          <w:smallCaps/>
        </w:rPr>
        <w:t xml:space="preserve"> A.C., King D.P., </w:t>
      </w:r>
      <w:proofErr w:type="spellStart"/>
      <w:r w:rsidRPr="00934626">
        <w:rPr>
          <w:smallCaps/>
        </w:rPr>
        <w:t>Henstock</w:t>
      </w:r>
      <w:proofErr w:type="spellEnd"/>
      <w:r w:rsidRPr="00934626">
        <w:rPr>
          <w:smallCaps/>
        </w:rPr>
        <w:t xml:space="preserve"> M.R., Edwards L., Sanders A., </w:t>
      </w:r>
      <w:proofErr w:type="spellStart"/>
      <w:r w:rsidRPr="00934626">
        <w:rPr>
          <w:smallCaps/>
        </w:rPr>
        <w:t>Buczkowski</w:t>
      </w:r>
      <w:proofErr w:type="spellEnd"/>
      <w:r w:rsidRPr="00934626">
        <w:rPr>
          <w:smallCaps/>
        </w:rPr>
        <w:t xml:space="preserve"> H., </w:t>
      </w:r>
      <w:proofErr w:type="spellStart"/>
      <w:r w:rsidRPr="00934626">
        <w:rPr>
          <w:smallCaps/>
        </w:rPr>
        <w:t>Oura</w:t>
      </w:r>
      <w:proofErr w:type="spellEnd"/>
      <w:r w:rsidRPr="00934626">
        <w:rPr>
          <w:smallCaps/>
        </w:rPr>
        <w:t xml:space="preserve"> C. A. L. &amp; Barrett T. </w:t>
      </w:r>
      <w:r w:rsidRPr="00934626">
        <w:t xml:space="preserve">(2011). A real-time PCR assay for the specific detection of </w:t>
      </w:r>
      <w:proofErr w:type="spellStart"/>
      <w:r w:rsidR="00051E54" w:rsidRPr="00934626">
        <w:t>peste</w:t>
      </w:r>
      <w:proofErr w:type="spellEnd"/>
      <w:r w:rsidR="00051E54" w:rsidRPr="00934626">
        <w:t xml:space="preserve"> des petits ruminants virus</w:t>
      </w:r>
      <w:r w:rsidRPr="00934626">
        <w:t xml:space="preserve">. </w:t>
      </w:r>
      <w:r w:rsidRPr="00934626">
        <w:rPr>
          <w:i/>
        </w:rPr>
        <w:t xml:space="preserve">J. </w:t>
      </w:r>
      <w:proofErr w:type="spellStart"/>
      <w:r w:rsidRPr="00934626">
        <w:rPr>
          <w:i/>
        </w:rPr>
        <w:t>Virol</w:t>
      </w:r>
      <w:proofErr w:type="spellEnd"/>
      <w:r w:rsidRPr="00934626">
        <w:rPr>
          <w:i/>
        </w:rPr>
        <w:t>. Methods</w:t>
      </w:r>
      <w:r w:rsidRPr="00934626">
        <w:t xml:space="preserve">, </w:t>
      </w:r>
      <w:r w:rsidRPr="00934626">
        <w:rPr>
          <w:b/>
        </w:rPr>
        <w:t>171</w:t>
      </w:r>
      <w:r w:rsidRPr="00934626">
        <w:t>, 401–404.</w:t>
      </w:r>
    </w:p>
    <w:p w14:paraId="7B5DF23C" w14:textId="77777777" w:rsidR="006174D6" w:rsidRPr="00934626" w:rsidRDefault="006174D6" w:rsidP="006D44BE">
      <w:pPr>
        <w:pStyle w:val="Ref"/>
      </w:pPr>
      <w:proofErr w:type="spellStart"/>
      <w:r w:rsidRPr="00934626">
        <w:rPr>
          <w:smallCaps/>
          <w:lang w:val="en-US"/>
        </w:rPr>
        <w:t>Berhe</w:t>
      </w:r>
      <w:proofErr w:type="spellEnd"/>
      <w:r w:rsidRPr="00934626">
        <w:rPr>
          <w:smallCaps/>
          <w:lang w:val="en-US"/>
        </w:rPr>
        <w:t xml:space="preserve"> G</w:t>
      </w:r>
      <w:r w:rsidR="00A82833" w:rsidRPr="00934626">
        <w:rPr>
          <w:smallCaps/>
          <w:lang w:val="en-US"/>
        </w:rPr>
        <w:t>.</w:t>
      </w:r>
      <w:r w:rsidRPr="00934626">
        <w:rPr>
          <w:smallCaps/>
          <w:lang w:val="en-US"/>
        </w:rPr>
        <w:t xml:space="preserve">, </w:t>
      </w:r>
      <w:proofErr w:type="spellStart"/>
      <w:r w:rsidRPr="00934626">
        <w:rPr>
          <w:smallCaps/>
          <w:lang w:val="en-US"/>
        </w:rPr>
        <w:t>Minet</w:t>
      </w:r>
      <w:proofErr w:type="spellEnd"/>
      <w:r w:rsidRPr="00934626">
        <w:rPr>
          <w:smallCaps/>
          <w:lang w:val="en-US"/>
        </w:rPr>
        <w:t xml:space="preserve"> C</w:t>
      </w:r>
      <w:r w:rsidR="00A82833" w:rsidRPr="00934626">
        <w:rPr>
          <w:smallCaps/>
          <w:lang w:val="en-US"/>
        </w:rPr>
        <w:t>.</w:t>
      </w:r>
      <w:r w:rsidRPr="00934626">
        <w:rPr>
          <w:smallCaps/>
          <w:lang w:val="en-US"/>
        </w:rPr>
        <w:t>, Le Goff C</w:t>
      </w:r>
      <w:r w:rsidR="00A82833" w:rsidRPr="00934626">
        <w:rPr>
          <w:smallCaps/>
          <w:lang w:val="en-US"/>
        </w:rPr>
        <w:t>.</w:t>
      </w:r>
      <w:r w:rsidRPr="00934626">
        <w:rPr>
          <w:smallCaps/>
          <w:lang w:val="en-US"/>
        </w:rPr>
        <w:t>, Barrett T</w:t>
      </w:r>
      <w:r w:rsidR="00A82833" w:rsidRPr="00934626">
        <w:rPr>
          <w:smallCaps/>
          <w:lang w:val="en-US"/>
        </w:rPr>
        <w:t>.</w:t>
      </w:r>
      <w:r w:rsidRPr="00934626">
        <w:rPr>
          <w:smallCaps/>
          <w:lang w:val="en-US"/>
        </w:rPr>
        <w:t xml:space="preserve">, </w:t>
      </w:r>
      <w:proofErr w:type="spellStart"/>
      <w:r w:rsidRPr="00934626">
        <w:rPr>
          <w:smallCaps/>
          <w:lang w:val="en-US"/>
        </w:rPr>
        <w:t>Ngangnou</w:t>
      </w:r>
      <w:proofErr w:type="spellEnd"/>
      <w:r w:rsidRPr="00934626">
        <w:rPr>
          <w:smallCaps/>
          <w:lang w:val="en-US"/>
        </w:rPr>
        <w:t xml:space="preserve"> A</w:t>
      </w:r>
      <w:r w:rsidR="00A82833" w:rsidRPr="00934626">
        <w:rPr>
          <w:smallCaps/>
          <w:lang w:val="en-US"/>
        </w:rPr>
        <w:t>.</w:t>
      </w:r>
      <w:r w:rsidRPr="00934626">
        <w:rPr>
          <w:smallCaps/>
          <w:lang w:val="en-US"/>
        </w:rPr>
        <w:t xml:space="preserve">, </w:t>
      </w:r>
      <w:proofErr w:type="spellStart"/>
      <w:r w:rsidRPr="00934626">
        <w:rPr>
          <w:smallCaps/>
          <w:lang w:val="en-US"/>
        </w:rPr>
        <w:t>Grillet</w:t>
      </w:r>
      <w:proofErr w:type="spellEnd"/>
      <w:r w:rsidRPr="00934626">
        <w:rPr>
          <w:smallCaps/>
          <w:lang w:val="en-US"/>
        </w:rPr>
        <w:t xml:space="preserve"> C</w:t>
      </w:r>
      <w:r w:rsidR="00A82833" w:rsidRPr="00934626">
        <w:rPr>
          <w:smallCaps/>
          <w:lang w:val="en-US"/>
        </w:rPr>
        <w:t>.</w:t>
      </w:r>
      <w:r w:rsidRPr="00934626">
        <w:rPr>
          <w:smallCaps/>
          <w:lang w:val="en-US"/>
        </w:rPr>
        <w:t>, Libeau G</w:t>
      </w:r>
      <w:r w:rsidR="00A82833" w:rsidRPr="00934626">
        <w:rPr>
          <w:smallCaps/>
          <w:lang w:val="en-US"/>
        </w:rPr>
        <w:t>.</w:t>
      </w:r>
      <w:r w:rsidRPr="00934626">
        <w:rPr>
          <w:smallCaps/>
          <w:lang w:val="en-US"/>
        </w:rPr>
        <w:t>, Fleming M</w:t>
      </w:r>
      <w:r w:rsidR="00A82833" w:rsidRPr="00934626">
        <w:rPr>
          <w:smallCaps/>
          <w:lang w:val="en-US"/>
        </w:rPr>
        <w:t>.</w:t>
      </w:r>
      <w:r w:rsidRPr="00934626">
        <w:rPr>
          <w:smallCaps/>
          <w:lang w:val="en-US"/>
        </w:rPr>
        <w:t>, Black D</w:t>
      </w:r>
      <w:r w:rsidR="00A82833" w:rsidRPr="00934626">
        <w:rPr>
          <w:smallCaps/>
          <w:lang w:val="en-US"/>
        </w:rPr>
        <w:t>.</w:t>
      </w:r>
      <w:r w:rsidRPr="00934626">
        <w:rPr>
          <w:smallCaps/>
          <w:lang w:val="en-US"/>
        </w:rPr>
        <w:t>N</w:t>
      </w:r>
      <w:r w:rsidR="00A82833" w:rsidRPr="00934626">
        <w:rPr>
          <w:smallCaps/>
          <w:lang w:val="en-US"/>
        </w:rPr>
        <w:t>. &amp;</w:t>
      </w:r>
      <w:r w:rsidRPr="00934626">
        <w:rPr>
          <w:smallCaps/>
          <w:lang w:val="en-US"/>
        </w:rPr>
        <w:t xml:space="preserve"> Diallo A.</w:t>
      </w:r>
      <w:r w:rsidRPr="00934626">
        <w:rPr>
          <w:lang w:val="en-US"/>
        </w:rPr>
        <w:t xml:space="preserve"> (2003). </w:t>
      </w:r>
      <w:r w:rsidRPr="00934626">
        <w:t xml:space="preserve">Development of a dual recombinant vaccine to protect small ruminants against </w:t>
      </w:r>
      <w:proofErr w:type="spellStart"/>
      <w:r w:rsidRPr="00934626">
        <w:t>peste</w:t>
      </w:r>
      <w:proofErr w:type="spellEnd"/>
      <w:r w:rsidRPr="00934626">
        <w:t xml:space="preserve">-des-petits-ruminants virus and </w:t>
      </w:r>
      <w:proofErr w:type="spellStart"/>
      <w:r w:rsidRPr="00934626">
        <w:t>capripoxvirus</w:t>
      </w:r>
      <w:proofErr w:type="spellEnd"/>
      <w:r w:rsidRPr="00934626">
        <w:t xml:space="preserve"> infections. </w:t>
      </w:r>
      <w:r w:rsidRPr="00934626">
        <w:rPr>
          <w:i/>
          <w:iCs/>
        </w:rPr>
        <w:t>J</w:t>
      </w:r>
      <w:r w:rsidR="00A82833" w:rsidRPr="00934626">
        <w:rPr>
          <w:i/>
          <w:iCs/>
        </w:rPr>
        <w:t>.</w:t>
      </w:r>
      <w:r w:rsidRPr="00934626">
        <w:rPr>
          <w:i/>
          <w:iCs/>
        </w:rPr>
        <w:t xml:space="preserve"> </w:t>
      </w:r>
      <w:proofErr w:type="spellStart"/>
      <w:r w:rsidRPr="00934626">
        <w:rPr>
          <w:i/>
          <w:iCs/>
        </w:rPr>
        <w:t>Virol</w:t>
      </w:r>
      <w:proofErr w:type="spellEnd"/>
      <w:r w:rsidR="00A82833" w:rsidRPr="00934626">
        <w:t>.</w:t>
      </w:r>
      <w:r w:rsidRPr="00934626">
        <w:t xml:space="preserve">, </w:t>
      </w:r>
      <w:r w:rsidRPr="00934626">
        <w:rPr>
          <w:b/>
          <w:bCs/>
        </w:rPr>
        <w:t>77</w:t>
      </w:r>
      <w:r w:rsidRPr="00934626">
        <w:t>, 1571</w:t>
      </w:r>
      <w:r w:rsidR="00A82833" w:rsidRPr="00934626">
        <w:t>–</w:t>
      </w:r>
      <w:r w:rsidRPr="00934626">
        <w:t xml:space="preserve">1577. </w:t>
      </w:r>
    </w:p>
    <w:p w14:paraId="12FF2016" w14:textId="5C1AD7D2" w:rsidR="00A73151" w:rsidRPr="00934626" w:rsidRDefault="00A73151" w:rsidP="00A73151">
      <w:pPr>
        <w:pStyle w:val="Ref"/>
        <w:rPr>
          <w:smallCaps/>
        </w:rPr>
      </w:pPr>
      <w:proofErr w:type="spellStart"/>
      <w:r w:rsidRPr="00934626">
        <w:rPr>
          <w:smallCaps/>
        </w:rPr>
        <w:lastRenderedPageBreak/>
        <w:t>Caufour</w:t>
      </w:r>
      <w:proofErr w:type="spellEnd"/>
      <w:r w:rsidRPr="00934626">
        <w:rPr>
          <w:smallCaps/>
        </w:rPr>
        <w:t xml:space="preserve"> P., </w:t>
      </w:r>
      <w:proofErr w:type="spellStart"/>
      <w:r w:rsidRPr="00934626">
        <w:rPr>
          <w:smallCaps/>
        </w:rPr>
        <w:t>Rufael</w:t>
      </w:r>
      <w:proofErr w:type="spellEnd"/>
      <w:r w:rsidRPr="00934626">
        <w:rPr>
          <w:smallCaps/>
        </w:rPr>
        <w:t xml:space="preserve"> T., </w:t>
      </w:r>
      <w:proofErr w:type="spellStart"/>
      <w:r w:rsidRPr="00934626">
        <w:rPr>
          <w:smallCaps/>
        </w:rPr>
        <w:t>Lamien</w:t>
      </w:r>
      <w:proofErr w:type="spellEnd"/>
      <w:r w:rsidRPr="00934626">
        <w:rPr>
          <w:smallCaps/>
        </w:rPr>
        <w:t xml:space="preserve"> C.E., Lancelot R., Kidane M., </w:t>
      </w:r>
      <w:proofErr w:type="spellStart"/>
      <w:r w:rsidRPr="00934626">
        <w:rPr>
          <w:smallCaps/>
        </w:rPr>
        <w:t>Awel</w:t>
      </w:r>
      <w:proofErr w:type="spellEnd"/>
      <w:r w:rsidRPr="00934626">
        <w:rPr>
          <w:smallCaps/>
        </w:rPr>
        <w:t xml:space="preserve"> D., </w:t>
      </w:r>
      <w:proofErr w:type="spellStart"/>
      <w:r w:rsidRPr="00934626">
        <w:rPr>
          <w:smallCaps/>
        </w:rPr>
        <w:t>Sertse</w:t>
      </w:r>
      <w:proofErr w:type="spellEnd"/>
      <w:r w:rsidRPr="00934626">
        <w:rPr>
          <w:smallCaps/>
        </w:rPr>
        <w:t xml:space="preserve"> T., </w:t>
      </w:r>
      <w:proofErr w:type="spellStart"/>
      <w:r w:rsidRPr="00934626">
        <w:rPr>
          <w:smallCaps/>
        </w:rPr>
        <w:t>Kwiatek</w:t>
      </w:r>
      <w:proofErr w:type="spellEnd"/>
      <w:r w:rsidRPr="00934626">
        <w:rPr>
          <w:smallCaps/>
        </w:rPr>
        <w:t xml:space="preserve"> O., Libeau G., </w:t>
      </w:r>
      <w:proofErr w:type="spellStart"/>
      <w:r w:rsidRPr="00934626">
        <w:rPr>
          <w:smallCaps/>
        </w:rPr>
        <w:t>Sahle</w:t>
      </w:r>
      <w:proofErr w:type="spellEnd"/>
      <w:r w:rsidRPr="00934626">
        <w:rPr>
          <w:smallCaps/>
        </w:rPr>
        <w:t xml:space="preserve"> M., Diallo A. &amp; Albina E. (2014). </w:t>
      </w:r>
      <w:r w:rsidRPr="00934626">
        <w:t xml:space="preserve">Protective efficacy of a single immunization with </w:t>
      </w:r>
      <w:proofErr w:type="spellStart"/>
      <w:r w:rsidRPr="00934626">
        <w:t>capripoxvirus</w:t>
      </w:r>
      <w:proofErr w:type="spellEnd"/>
      <w:r w:rsidRPr="00934626">
        <w:t xml:space="preserve">-vectored recombinant </w:t>
      </w:r>
      <w:proofErr w:type="spellStart"/>
      <w:r w:rsidRPr="00934626">
        <w:t>peste</w:t>
      </w:r>
      <w:proofErr w:type="spellEnd"/>
      <w:r w:rsidRPr="00934626">
        <w:t xml:space="preserve"> des petits ruminants vaccines in presence of pre-existing immunity.</w:t>
      </w:r>
      <w:r w:rsidRPr="00934626">
        <w:rPr>
          <w:smallCaps/>
        </w:rPr>
        <w:t xml:space="preserve"> </w:t>
      </w:r>
      <w:r w:rsidRPr="00934626">
        <w:rPr>
          <w:i/>
        </w:rPr>
        <w:t>Vaccine</w:t>
      </w:r>
      <w:r w:rsidRPr="00934626">
        <w:rPr>
          <w:smallCaps/>
        </w:rPr>
        <w:t xml:space="preserve">, </w:t>
      </w:r>
      <w:r w:rsidRPr="00934626">
        <w:rPr>
          <w:b/>
          <w:smallCaps/>
        </w:rPr>
        <w:t>32</w:t>
      </w:r>
      <w:r w:rsidRPr="00934626">
        <w:rPr>
          <w:smallCaps/>
        </w:rPr>
        <w:t xml:space="preserve">, 3772–3779. </w:t>
      </w:r>
    </w:p>
    <w:p w14:paraId="5E22EBE5" w14:textId="0B679256" w:rsidR="009A4438" w:rsidRPr="00934626" w:rsidRDefault="006E3BC1" w:rsidP="006D44BE">
      <w:pPr>
        <w:pStyle w:val="Ref"/>
        <w:rPr>
          <w:smallCaps/>
        </w:rPr>
      </w:pPr>
      <w:r w:rsidRPr="00934626">
        <w:rPr>
          <w:smallCaps/>
          <w:lang w:val="de-DE"/>
        </w:rPr>
        <w:t xml:space="preserve">Chen W., Hu S., Qu L., Hu Q., Zhang Q., </w:t>
      </w:r>
      <w:proofErr w:type="spellStart"/>
      <w:r w:rsidRPr="00934626">
        <w:rPr>
          <w:smallCaps/>
          <w:lang w:val="de-DE"/>
        </w:rPr>
        <w:t>Zhi</w:t>
      </w:r>
      <w:proofErr w:type="spellEnd"/>
      <w:r w:rsidRPr="00934626">
        <w:rPr>
          <w:smallCaps/>
          <w:lang w:val="de-DE"/>
        </w:rPr>
        <w:t xml:space="preserve"> H., Huang K. &amp; </w:t>
      </w:r>
      <w:proofErr w:type="spellStart"/>
      <w:r w:rsidRPr="00934626">
        <w:rPr>
          <w:smallCaps/>
          <w:lang w:val="de-DE"/>
        </w:rPr>
        <w:t>Bu</w:t>
      </w:r>
      <w:proofErr w:type="spellEnd"/>
      <w:r w:rsidRPr="00934626">
        <w:rPr>
          <w:smallCaps/>
          <w:lang w:val="de-DE"/>
        </w:rPr>
        <w:t xml:space="preserve"> Z.</w:t>
      </w:r>
      <w:r w:rsidRPr="00934626">
        <w:rPr>
          <w:lang w:val="de-DE"/>
        </w:rPr>
        <w:t xml:space="preserve"> </w:t>
      </w:r>
      <w:r w:rsidRPr="00934626">
        <w:rPr>
          <w:lang w:val="en-IE"/>
        </w:rPr>
        <w:t xml:space="preserve">(2010). </w:t>
      </w:r>
      <w:r w:rsidRPr="00934626">
        <w:t xml:space="preserve">A goat poxvirus-vectored </w:t>
      </w:r>
      <w:proofErr w:type="spellStart"/>
      <w:r w:rsidRPr="00934626">
        <w:t>peste</w:t>
      </w:r>
      <w:proofErr w:type="spellEnd"/>
      <w:r w:rsidRPr="00934626">
        <w:t xml:space="preserve">-des-petits-ruminants vaccine induces long-lasting neutralization antibody to high levels in goats and sheep. </w:t>
      </w:r>
      <w:r w:rsidRPr="00934626">
        <w:rPr>
          <w:i/>
          <w:iCs/>
        </w:rPr>
        <w:t xml:space="preserve">Vaccine, </w:t>
      </w:r>
      <w:r w:rsidRPr="00934626">
        <w:rPr>
          <w:b/>
          <w:bCs/>
        </w:rPr>
        <w:t>28</w:t>
      </w:r>
      <w:r w:rsidRPr="00934626">
        <w:rPr>
          <w:bCs/>
        </w:rPr>
        <w:t>,</w:t>
      </w:r>
      <w:r w:rsidRPr="00934626">
        <w:t xml:space="preserve"> 4742–4750.</w:t>
      </w:r>
    </w:p>
    <w:p w14:paraId="02D51710" w14:textId="77777777" w:rsidR="00431B81" w:rsidRPr="00934626" w:rsidRDefault="00EF7CA8" w:rsidP="006D44BE">
      <w:pPr>
        <w:pStyle w:val="Ref"/>
      </w:pPr>
      <w:proofErr w:type="spellStart"/>
      <w:r w:rsidRPr="009238E8">
        <w:rPr>
          <w:smallCaps/>
          <w:lang w:val="en-IE"/>
        </w:rPr>
        <w:t>Couacy-Hymann</w:t>
      </w:r>
      <w:proofErr w:type="spellEnd"/>
      <w:r w:rsidRPr="009238E8">
        <w:rPr>
          <w:smallCaps/>
          <w:lang w:val="en-IE"/>
        </w:rPr>
        <w:t xml:space="preserve"> E., </w:t>
      </w:r>
      <w:proofErr w:type="spellStart"/>
      <w:r w:rsidRPr="009238E8">
        <w:rPr>
          <w:smallCaps/>
          <w:lang w:val="en-IE"/>
        </w:rPr>
        <w:t>Hurard</w:t>
      </w:r>
      <w:proofErr w:type="spellEnd"/>
      <w:r w:rsidRPr="009238E8">
        <w:rPr>
          <w:smallCaps/>
          <w:lang w:val="en-IE"/>
        </w:rPr>
        <w:t xml:space="preserve"> C., </w:t>
      </w:r>
      <w:proofErr w:type="spellStart"/>
      <w:r w:rsidRPr="009238E8">
        <w:rPr>
          <w:smallCaps/>
          <w:lang w:val="en-IE"/>
        </w:rPr>
        <w:t>Guillou</w:t>
      </w:r>
      <w:proofErr w:type="spellEnd"/>
      <w:r w:rsidRPr="009238E8">
        <w:rPr>
          <w:smallCaps/>
          <w:lang w:val="en-IE"/>
        </w:rPr>
        <w:t xml:space="preserve"> J.P., Libeau G. &amp; Diallo A.</w:t>
      </w:r>
      <w:r w:rsidRPr="009238E8">
        <w:rPr>
          <w:lang w:val="en-IE"/>
        </w:rPr>
        <w:t xml:space="preserve"> (2002). </w:t>
      </w:r>
      <w:r w:rsidR="00431B81" w:rsidRPr="00934626">
        <w:t xml:space="preserve">Rapid and sensitive detection of </w:t>
      </w:r>
      <w:proofErr w:type="spellStart"/>
      <w:r w:rsidR="00431B81" w:rsidRPr="00934626">
        <w:t>peste</w:t>
      </w:r>
      <w:proofErr w:type="spellEnd"/>
      <w:r w:rsidR="00431B81" w:rsidRPr="00934626">
        <w:t xml:space="preserve"> des petits ruminants virus by a polymerase chain reaction assay. </w:t>
      </w:r>
      <w:r w:rsidR="00431B81" w:rsidRPr="00934626">
        <w:rPr>
          <w:i/>
        </w:rPr>
        <w:t>J</w:t>
      </w:r>
      <w:r w:rsidR="00A66851" w:rsidRPr="00934626">
        <w:rPr>
          <w:i/>
        </w:rPr>
        <w:t>.</w:t>
      </w:r>
      <w:r w:rsidR="00431B81" w:rsidRPr="00934626">
        <w:rPr>
          <w:i/>
        </w:rPr>
        <w:t xml:space="preserve"> </w:t>
      </w:r>
      <w:proofErr w:type="spellStart"/>
      <w:r w:rsidR="00431B81" w:rsidRPr="00934626">
        <w:rPr>
          <w:i/>
        </w:rPr>
        <w:t>Virol</w:t>
      </w:r>
      <w:proofErr w:type="spellEnd"/>
      <w:r w:rsidR="00A66851" w:rsidRPr="00934626">
        <w:rPr>
          <w:i/>
        </w:rPr>
        <w:t>.</w:t>
      </w:r>
      <w:r w:rsidR="00431B81" w:rsidRPr="00934626">
        <w:rPr>
          <w:i/>
        </w:rPr>
        <w:t xml:space="preserve"> Methods</w:t>
      </w:r>
      <w:r w:rsidR="00431B81" w:rsidRPr="00934626">
        <w:t xml:space="preserve">, </w:t>
      </w:r>
      <w:r w:rsidR="00431B81" w:rsidRPr="00934626">
        <w:rPr>
          <w:b/>
        </w:rPr>
        <w:t>100</w:t>
      </w:r>
      <w:r w:rsidR="00431B81" w:rsidRPr="00934626">
        <w:t>, 17</w:t>
      </w:r>
      <w:r w:rsidR="00A66851" w:rsidRPr="00934626">
        <w:t>–</w:t>
      </w:r>
      <w:r w:rsidR="00431B81" w:rsidRPr="00934626">
        <w:t>25.</w:t>
      </w:r>
    </w:p>
    <w:p w14:paraId="43E2782F" w14:textId="77777777" w:rsidR="006174D6" w:rsidRPr="00934626" w:rsidRDefault="006174D6" w:rsidP="00C70EA8">
      <w:pPr>
        <w:pStyle w:val="Ref"/>
      </w:pPr>
      <w:r w:rsidRPr="00934626">
        <w:rPr>
          <w:smallCaps/>
        </w:rPr>
        <w:t>Diallo A</w:t>
      </w:r>
      <w:r w:rsidR="00A82833" w:rsidRPr="00934626">
        <w:rPr>
          <w:smallCaps/>
        </w:rPr>
        <w:t>.</w:t>
      </w:r>
      <w:r w:rsidRPr="00934626">
        <w:rPr>
          <w:smallCaps/>
        </w:rPr>
        <w:t xml:space="preserve">, </w:t>
      </w:r>
      <w:proofErr w:type="spellStart"/>
      <w:r w:rsidRPr="00934626">
        <w:rPr>
          <w:smallCaps/>
        </w:rPr>
        <w:t>Minet</w:t>
      </w:r>
      <w:proofErr w:type="spellEnd"/>
      <w:r w:rsidRPr="00934626">
        <w:rPr>
          <w:smallCaps/>
        </w:rPr>
        <w:t xml:space="preserve"> C</w:t>
      </w:r>
      <w:r w:rsidR="00A82833" w:rsidRPr="00934626">
        <w:rPr>
          <w:smallCaps/>
        </w:rPr>
        <w:t>.</w:t>
      </w:r>
      <w:r w:rsidRPr="00934626">
        <w:rPr>
          <w:smallCaps/>
        </w:rPr>
        <w:t xml:space="preserve">, </w:t>
      </w:r>
      <w:proofErr w:type="spellStart"/>
      <w:r w:rsidRPr="00934626">
        <w:rPr>
          <w:smallCaps/>
        </w:rPr>
        <w:t>Berhe</w:t>
      </w:r>
      <w:proofErr w:type="spellEnd"/>
      <w:r w:rsidRPr="00934626">
        <w:rPr>
          <w:smallCaps/>
        </w:rPr>
        <w:t xml:space="preserve"> G</w:t>
      </w:r>
      <w:r w:rsidR="00A82833" w:rsidRPr="00934626">
        <w:rPr>
          <w:smallCaps/>
        </w:rPr>
        <w:t>.</w:t>
      </w:r>
      <w:r w:rsidRPr="00934626">
        <w:rPr>
          <w:smallCaps/>
        </w:rPr>
        <w:t>, Le Goff C</w:t>
      </w:r>
      <w:r w:rsidR="00A82833" w:rsidRPr="00934626">
        <w:rPr>
          <w:smallCaps/>
        </w:rPr>
        <w:t>.</w:t>
      </w:r>
      <w:r w:rsidRPr="00934626">
        <w:rPr>
          <w:smallCaps/>
        </w:rPr>
        <w:t>, Black D</w:t>
      </w:r>
      <w:r w:rsidR="00A82833" w:rsidRPr="00934626">
        <w:rPr>
          <w:smallCaps/>
        </w:rPr>
        <w:t>.</w:t>
      </w:r>
      <w:r w:rsidRPr="00934626">
        <w:rPr>
          <w:smallCaps/>
        </w:rPr>
        <w:t>N</w:t>
      </w:r>
      <w:r w:rsidR="00A82833" w:rsidRPr="00934626">
        <w:rPr>
          <w:smallCaps/>
        </w:rPr>
        <w:t>.</w:t>
      </w:r>
      <w:r w:rsidRPr="00934626">
        <w:rPr>
          <w:smallCaps/>
        </w:rPr>
        <w:t>, Fleming M</w:t>
      </w:r>
      <w:r w:rsidR="00A82833" w:rsidRPr="00934626">
        <w:rPr>
          <w:smallCaps/>
        </w:rPr>
        <w:t>.</w:t>
      </w:r>
      <w:r w:rsidRPr="00934626">
        <w:rPr>
          <w:smallCaps/>
        </w:rPr>
        <w:t>, Barrett T</w:t>
      </w:r>
      <w:r w:rsidR="00A82833" w:rsidRPr="00934626">
        <w:rPr>
          <w:smallCaps/>
        </w:rPr>
        <w:t>.</w:t>
      </w:r>
      <w:r w:rsidRPr="00934626">
        <w:rPr>
          <w:smallCaps/>
        </w:rPr>
        <w:t xml:space="preserve">, </w:t>
      </w:r>
      <w:proofErr w:type="spellStart"/>
      <w:r w:rsidRPr="00934626">
        <w:rPr>
          <w:smallCaps/>
        </w:rPr>
        <w:t>Grillet</w:t>
      </w:r>
      <w:proofErr w:type="spellEnd"/>
      <w:r w:rsidRPr="00934626">
        <w:rPr>
          <w:smallCaps/>
        </w:rPr>
        <w:t xml:space="preserve"> C</w:t>
      </w:r>
      <w:r w:rsidR="00A82833" w:rsidRPr="00934626">
        <w:rPr>
          <w:smallCaps/>
        </w:rPr>
        <w:t>. &amp;</w:t>
      </w:r>
      <w:r w:rsidRPr="00934626">
        <w:rPr>
          <w:smallCaps/>
        </w:rPr>
        <w:t xml:space="preserve"> Libeau G.</w:t>
      </w:r>
      <w:r w:rsidRPr="00934626">
        <w:t xml:space="preserve"> (2002). Goat immune response to </w:t>
      </w:r>
      <w:proofErr w:type="spellStart"/>
      <w:r w:rsidRPr="00934626">
        <w:t>capripox</w:t>
      </w:r>
      <w:proofErr w:type="spellEnd"/>
      <w:r w:rsidRPr="00934626">
        <w:t xml:space="preserve"> vaccine expressing the hemagglutinin protein of </w:t>
      </w:r>
      <w:proofErr w:type="spellStart"/>
      <w:r w:rsidRPr="00934626">
        <w:t>peste</w:t>
      </w:r>
      <w:proofErr w:type="spellEnd"/>
      <w:r w:rsidRPr="00934626">
        <w:t xml:space="preserve"> des petits ruminants. </w:t>
      </w:r>
      <w:r w:rsidRPr="00934626">
        <w:rPr>
          <w:i/>
          <w:iCs/>
        </w:rPr>
        <w:t>Ann</w:t>
      </w:r>
      <w:r w:rsidR="00A82833" w:rsidRPr="00934626">
        <w:rPr>
          <w:i/>
          <w:iCs/>
        </w:rPr>
        <w:t>.</w:t>
      </w:r>
      <w:r w:rsidRPr="00934626">
        <w:rPr>
          <w:i/>
          <w:iCs/>
        </w:rPr>
        <w:t xml:space="preserve"> NY Acad</w:t>
      </w:r>
      <w:r w:rsidR="00A82833" w:rsidRPr="00934626">
        <w:rPr>
          <w:i/>
          <w:iCs/>
        </w:rPr>
        <w:t>.</w:t>
      </w:r>
      <w:r w:rsidRPr="00934626">
        <w:rPr>
          <w:i/>
          <w:iCs/>
        </w:rPr>
        <w:t xml:space="preserve"> Sci., </w:t>
      </w:r>
      <w:r w:rsidRPr="00934626">
        <w:rPr>
          <w:b/>
          <w:bCs/>
        </w:rPr>
        <w:t>969</w:t>
      </w:r>
      <w:r w:rsidR="00A82833" w:rsidRPr="00934626">
        <w:t>,</w:t>
      </w:r>
      <w:r w:rsidRPr="00934626">
        <w:t xml:space="preserve"> 88</w:t>
      </w:r>
      <w:r w:rsidR="00A82833" w:rsidRPr="00934626">
        <w:t>–</w:t>
      </w:r>
      <w:r w:rsidRPr="00934626">
        <w:t xml:space="preserve">91. </w:t>
      </w:r>
    </w:p>
    <w:p w14:paraId="622985D5" w14:textId="77777777" w:rsidR="00A82833" w:rsidRPr="00934626" w:rsidRDefault="00A82833" w:rsidP="00C70EA8">
      <w:pPr>
        <w:pStyle w:val="Ref"/>
      </w:pPr>
      <w:r w:rsidRPr="00934626">
        <w:rPr>
          <w:smallCaps/>
        </w:rPr>
        <w:t>Diallo A., Taylor W.P., Lefevre P.C. &amp; Provost A.</w:t>
      </w:r>
      <w:r w:rsidRPr="00934626">
        <w:t xml:space="preserve"> (1989). </w:t>
      </w:r>
      <w:r w:rsidRPr="00934626">
        <w:rPr>
          <w:lang w:val="fr-FR"/>
        </w:rPr>
        <w:t xml:space="preserve">Atténuation d’une souche de virus de la peste des petits ruminants: candidat pour un vaccin homologue vivant. </w:t>
      </w:r>
      <w:r w:rsidRPr="00934626">
        <w:rPr>
          <w:i/>
        </w:rPr>
        <w:t>Rev. Elev. Med. Vet. Pays Trop</w:t>
      </w:r>
      <w:r w:rsidRPr="00934626">
        <w:t xml:space="preserve">., </w:t>
      </w:r>
      <w:r w:rsidRPr="00934626">
        <w:rPr>
          <w:b/>
        </w:rPr>
        <w:t>42</w:t>
      </w:r>
      <w:r w:rsidRPr="00934626">
        <w:t>, 311–319.</w:t>
      </w:r>
    </w:p>
    <w:p w14:paraId="6E00164A" w14:textId="77777777" w:rsidR="00431B81" w:rsidRPr="00934626" w:rsidRDefault="00431B81" w:rsidP="002464B1">
      <w:pPr>
        <w:pStyle w:val="Ref"/>
      </w:pPr>
      <w:proofErr w:type="spellStart"/>
      <w:r w:rsidRPr="00934626">
        <w:rPr>
          <w:smallCaps/>
        </w:rPr>
        <w:t>Durojaiye</w:t>
      </w:r>
      <w:proofErr w:type="spellEnd"/>
      <w:r w:rsidRPr="00934626">
        <w:rPr>
          <w:smallCaps/>
        </w:rPr>
        <w:t xml:space="preserve"> O.A.</w:t>
      </w:r>
      <w:r w:rsidRPr="00934626">
        <w:t xml:space="preserve"> (1982). Precipitating antibody in sera of goats naturally affected with </w:t>
      </w:r>
      <w:proofErr w:type="spellStart"/>
      <w:r w:rsidRPr="00934626">
        <w:t>peste</w:t>
      </w:r>
      <w:proofErr w:type="spellEnd"/>
      <w:r w:rsidRPr="00934626">
        <w:t xml:space="preserve"> des petits ruminants. </w:t>
      </w:r>
      <w:r w:rsidRPr="00934626">
        <w:rPr>
          <w:i/>
        </w:rPr>
        <w:t>Trop. Anim. Health Prod</w:t>
      </w:r>
      <w:r w:rsidRPr="00934626">
        <w:t xml:space="preserve">., </w:t>
      </w:r>
      <w:r w:rsidRPr="00934626">
        <w:rPr>
          <w:b/>
        </w:rPr>
        <w:t>14</w:t>
      </w:r>
      <w:r w:rsidRPr="00934626">
        <w:t>, 98</w:t>
      </w:r>
      <w:r w:rsidR="00A66851" w:rsidRPr="00934626">
        <w:t>–</w:t>
      </w:r>
      <w:r w:rsidRPr="00934626">
        <w:t>100.</w:t>
      </w:r>
    </w:p>
    <w:p w14:paraId="146413E4" w14:textId="77777777" w:rsidR="00431B81" w:rsidRPr="009238E8" w:rsidRDefault="00431B81" w:rsidP="008D4B5A">
      <w:pPr>
        <w:pStyle w:val="Ref"/>
        <w:rPr>
          <w:lang w:val="en-IE"/>
        </w:rPr>
      </w:pPr>
      <w:proofErr w:type="spellStart"/>
      <w:r w:rsidRPr="009238E8">
        <w:rPr>
          <w:smallCaps/>
          <w:lang w:val="en-IE"/>
        </w:rPr>
        <w:t>Durojaiye</w:t>
      </w:r>
      <w:proofErr w:type="spellEnd"/>
      <w:r w:rsidRPr="009238E8">
        <w:rPr>
          <w:smallCaps/>
          <w:lang w:val="en-IE"/>
        </w:rPr>
        <w:t xml:space="preserve"> O.A., Obi T.U. &amp; </w:t>
      </w:r>
      <w:proofErr w:type="spellStart"/>
      <w:r w:rsidRPr="009238E8">
        <w:rPr>
          <w:smallCaps/>
          <w:lang w:val="en-IE"/>
        </w:rPr>
        <w:t>Ojo</w:t>
      </w:r>
      <w:proofErr w:type="spellEnd"/>
      <w:r w:rsidRPr="009238E8">
        <w:rPr>
          <w:smallCaps/>
          <w:lang w:val="en-IE"/>
        </w:rPr>
        <w:t xml:space="preserve"> O.</w:t>
      </w:r>
      <w:r w:rsidRPr="009238E8">
        <w:rPr>
          <w:lang w:val="en-IE"/>
        </w:rPr>
        <w:t xml:space="preserve"> (1983). </w:t>
      </w:r>
      <w:proofErr w:type="spellStart"/>
      <w:r w:rsidRPr="009238E8">
        <w:rPr>
          <w:lang w:val="en-IE"/>
        </w:rPr>
        <w:t>Virological</w:t>
      </w:r>
      <w:proofErr w:type="spellEnd"/>
      <w:r w:rsidRPr="009238E8">
        <w:rPr>
          <w:lang w:val="en-IE"/>
        </w:rPr>
        <w:t xml:space="preserve"> and serological diagnosis of </w:t>
      </w:r>
      <w:proofErr w:type="spellStart"/>
      <w:r w:rsidRPr="009238E8">
        <w:rPr>
          <w:lang w:val="en-IE"/>
        </w:rPr>
        <w:t>peste</w:t>
      </w:r>
      <w:proofErr w:type="spellEnd"/>
      <w:r w:rsidRPr="009238E8">
        <w:rPr>
          <w:lang w:val="en-IE"/>
        </w:rPr>
        <w:t xml:space="preserve"> des petits ruminants. </w:t>
      </w:r>
      <w:r w:rsidRPr="009238E8">
        <w:rPr>
          <w:i/>
          <w:lang w:val="en-IE"/>
        </w:rPr>
        <w:t>Trop. Vet</w:t>
      </w:r>
      <w:r w:rsidRPr="009238E8">
        <w:rPr>
          <w:lang w:val="en-IE"/>
        </w:rPr>
        <w:t xml:space="preserve">., </w:t>
      </w:r>
      <w:r w:rsidRPr="009238E8">
        <w:rPr>
          <w:b/>
          <w:lang w:val="en-IE"/>
        </w:rPr>
        <w:t>1,</w:t>
      </w:r>
      <w:r w:rsidRPr="009238E8">
        <w:rPr>
          <w:lang w:val="en-IE"/>
        </w:rPr>
        <w:t xml:space="preserve"> 13</w:t>
      </w:r>
      <w:r w:rsidR="00A66851" w:rsidRPr="009238E8">
        <w:rPr>
          <w:lang w:val="en-IE"/>
        </w:rPr>
        <w:t>–</w:t>
      </w:r>
      <w:r w:rsidRPr="009238E8">
        <w:rPr>
          <w:lang w:val="en-IE"/>
        </w:rPr>
        <w:t>17.</w:t>
      </w:r>
    </w:p>
    <w:p w14:paraId="01009AC6" w14:textId="3B10DCA8" w:rsidR="00986437" w:rsidRPr="00934626" w:rsidRDefault="008A0A9D" w:rsidP="008D4B5A">
      <w:pPr>
        <w:pStyle w:val="Ref"/>
        <w:rPr>
          <w:lang w:val="fr-FR"/>
        </w:rPr>
      </w:pPr>
      <w:r w:rsidRPr="009238E8">
        <w:rPr>
          <w:smallCaps/>
          <w:lang w:val="en-IE"/>
        </w:rPr>
        <w:t xml:space="preserve">Forsyth M.A., </w:t>
      </w:r>
      <w:proofErr w:type="spellStart"/>
      <w:r w:rsidRPr="009238E8">
        <w:rPr>
          <w:smallCaps/>
          <w:lang w:val="en-IE"/>
        </w:rPr>
        <w:t>Parida</w:t>
      </w:r>
      <w:proofErr w:type="spellEnd"/>
      <w:r w:rsidRPr="009238E8">
        <w:rPr>
          <w:smallCaps/>
          <w:lang w:val="en-IE"/>
        </w:rPr>
        <w:t xml:space="preserve"> S., </w:t>
      </w:r>
      <w:proofErr w:type="spellStart"/>
      <w:r w:rsidRPr="009238E8">
        <w:rPr>
          <w:smallCaps/>
          <w:lang w:val="en-IE"/>
        </w:rPr>
        <w:t>Alexandersen</w:t>
      </w:r>
      <w:proofErr w:type="spellEnd"/>
      <w:r w:rsidRPr="009238E8">
        <w:rPr>
          <w:smallCaps/>
          <w:lang w:val="en-IE"/>
        </w:rPr>
        <w:t xml:space="preserve"> S., </w:t>
      </w:r>
      <w:proofErr w:type="spellStart"/>
      <w:r w:rsidRPr="009238E8">
        <w:rPr>
          <w:smallCaps/>
          <w:lang w:val="en-IE"/>
        </w:rPr>
        <w:t>Belsham</w:t>
      </w:r>
      <w:proofErr w:type="spellEnd"/>
      <w:r w:rsidRPr="009238E8">
        <w:rPr>
          <w:smallCaps/>
          <w:lang w:val="en-IE"/>
        </w:rPr>
        <w:t xml:space="preserve"> G.J. &amp;</w:t>
      </w:r>
      <w:r w:rsidR="00986437" w:rsidRPr="009238E8">
        <w:rPr>
          <w:smallCaps/>
          <w:lang w:val="en-IE"/>
        </w:rPr>
        <w:t xml:space="preserve"> Barrett T.</w:t>
      </w:r>
      <w:r w:rsidR="00986437" w:rsidRPr="009238E8">
        <w:rPr>
          <w:lang w:val="en-IE"/>
        </w:rPr>
        <w:t xml:space="preserve"> (2003). </w:t>
      </w:r>
      <w:r w:rsidR="00986437" w:rsidRPr="00934626">
        <w:rPr>
          <w:lang w:val="en-US"/>
        </w:rPr>
        <w:t xml:space="preserve">Rinderpest virus lineage differentiation using RT-PCR and SNAP-ELISA. </w:t>
      </w:r>
      <w:r w:rsidR="00986437" w:rsidRPr="00934626">
        <w:rPr>
          <w:i/>
          <w:lang w:val="fr-FR"/>
        </w:rPr>
        <w:t xml:space="preserve">J. </w:t>
      </w:r>
      <w:proofErr w:type="spellStart"/>
      <w:r w:rsidR="00986437" w:rsidRPr="00934626">
        <w:rPr>
          <w:i/>
          <w:lang w:val="fr-FR"/>
        </w:rPr>
        <w:t>Virol</w:t>
      </w:r>
      <w:proofErr w:type="spellEnd"/>
      <w:r w:rsidR="00986437" w:rsidRPr="00934626">
        <w:rPr>
          <w:i/>
          <w:lang w:val="fr-FR"/>
        </w:rPr>
        <w:t>. Methods</w:t>
      </w:r>
      <w:r w:rsidRPr="00934626">
        <w:rPr>
          <w:i/>
          <w:lang w:val="fr-FR"/>
        </w:rPr>
        <w:t>,</w:t>
      </w:r>
      <w:r w:rsidR="00986437" w:rsidRPr="00934626">
        <w:rPr>
          <w:lang w:val="fr-FR"/>
        </w:rPr>
        <w:t xml:space="preserve"> </w:t>
      </w:r>
      <w:r w:rsidR="00986437" w:rsidRPr="00934626">
        <w:rPr>
          <w:b/>
          <w:lang w:val="fr-FR"/>
        </w:rPr>
        <w:t>107</w:t>
      </w:r>
      <w:r w:rsidR="00986437" w:rsidRPr="00934626">
        <w:rPr>
          <w:lang w:val="fr-FR"/>
        </w:rPr>
        <w:t>, 29–36</w:t>
      </w:r>
      <w:r w:rsidRPr="00934626">
        <w:rPr>
          <w:lang w:val="fr-FR"/>
        </w:rPr>
        <w:t>.</w:t>
      </w:r>
    </w:p>
    <w:p w14:paraId="0F3E3BAE" w14:textId="77777777" w:rsidR="00431B81" w:rsidRPr="009238E8" w:rsidRDefault="00431B81" w:rsidP="00EC0CC1">
      <w:pPr>
        <w:pStyle w:val="Ref"/>
        <w:ind w:left="357" w:hanging="357"/>
        <w:rPr>
          <w:lang w:val="fr-FR"/>
        </w:rPr>
      </w:pPr>
      <w:proofErr w:type="spellStart"/>
      <w:r w:rsidRPr="00934626">
        <w:rPr>
          <w:smallCaps/>
          <w:lang w:val="fr-FR"/>
        </w:rPr>
        <w:t>Gargadennec</w:t>
      </w:r>
      <w:proofErr w:type="spellEnd"/>
      <w:r w:rsidRPr="00934626">
        <w:rPr>
          <w:smallCaps/>
          <w:lang w:val="fr-FR"/>
        </w:rPr>
        <w:t xml:space="preserve"> L. &amp; Lalanne A.</w:t>
      </w:r>
      <w:r w:rsidRPr="00934626">
        <w:rPr>
          <w:lang w:val="fr-FR"/>
        </w:rPr>
        <w:t xml:space="preserve"> (1942). La peste des petits ruminants. </w:t>
      </w:r>
      <w:r w:rsidR="00EF7CA8" w:rsidRPr="009238E8">
        <w:rPr>
          <w:i/>
          <w:lang w:val="fr-FR"/>
        </w:rPr>
        <w:t xml:space="preserve">Bull. </w:t>
      </w:r>
      <w:proofErr w:type="spellStart"/>
      <w:r w:rsidR="00EF7CA8" w:rsidRPr="009238E8">
        <w:rPr>
          <w:i/>
          <w:lang w:val="fr-FR"/>
        </w:rPr>
        <w:t>Serv</w:t>
      </w:r>
      <w:proofErr w:type="spellEnd"/>
      <w:r w:rsidR="00EF7CA8" w:rsidRPr="009238E8">
        <w:rPr>
          <w:i/>
          <w:lang w:val="fr-FR"/>
        </w:rPr>
        <w:t>. Zoo. A.O.F</w:t>
      </w:r>
      <w:r w:rsidR="00EF7CA8" w:rsidRPr="009238E8">
        <w:rPr>
          <w:lang w:val="fr-FR"/>
        </w:rPr>
        <w:t>.,</w:t>
      </w:r>
      <w:r w:rsidR="00EF7CA8" w:rsidRPr="009238E8">
        <w:rPr>
          <w:b/>
          <w:lang w:val="fr-FR"/>
        </w:rPr>
        <w:t xml:space="preserve"> 5</w:t>
      </w:r>
      <w:r w:rsidR="00EF7CA8" w:rsidRPr="009238E8">
        <w:rPr>
          <w:lang w:val="fr-FR"/>
        </w:rPr>
        <w:t>, 15–21.</w:t>
      </w:r>
    </w:p>
    <w:p w14:paraId="618439F5" w14:textId="77777777" w:rsidR="002C1AC8" w:rsidRPr="00934626" w:rsidRDefault="00EF7CA8" w:rsidP="008D4B5A">
      <w:pPr>
        <w:pStyle w:val="Ref"/>
      </w:pPr>
      <w:r w:rsidRPr="009238E8">
        <w:rPr>
          <w:smallCaps/>
          <w:lang w:val="fr-FR"/>
        </w:rPr>
        <w:t xml:space="preserve">George A., Dhar P., </w:t>
      </w:r>
      <w:proofErr w:type="spellStart"/>
      <w:r w:rsidRPr="009238E8">
        <w:rPr>
          <w:smallCaps/>
          <w:lang w:val="fr-FR"/>
        </w:rPr>
        <w:t>Sreenivasa</w:t>
      </w:r>
      <w:proofErr w:type="spellEnd"/>
      <w:r w:rsidRPr="009238E8">
        <w:rPr>
          <w:smallCaps/>
          <w:lang w:val="fr-FR"/>
        </w:rPr>
        <w:t xml:space="preserve"> B.P., Singh R.P. &amp; </w:t>
      </w:r>
      <w:proofErr w:type="spellStart"/>
      <w:r w:rsidRPr="009238E8">
        <w:rPr>
          <w:smallCaps/>
          <w:lang w:val="fr-FR"/>
        </w:rPr>
        <w:t>Bandyopahyay</w:t>
      </w:r>
      <w:proofErr w:type="spellEnd"/>
      <w:r w:rsidRPr="009238E8">
        <w:rPr>
          <w:smallCaps/>
          <w:lang w:val="fr-FR"/>
        </w:rPr>
        <w:t xml:space="preserve"> S.K. </w:t>
      </w:r>
      <w:r w:rsidRPr="009238E8">
        <w:rPr>
          <w:lang w:val="fr-FR"/>
        </w:rPr>
        <w:t xml:space="preserve">(2006). </w:t>
      </w:r>
      <w:r w:rsidR="002C1AC8" w:rsidRPr="00934626">
        <w:t xml:space="preserve">The M and N genes based simplex and multiplex PCRs are better than the F or H gene based simplex PCR for </w:t>
      </w:r>
      <w:proofErr w:type="spellStart"/>
      <w:r w:rsidR="00ED7582" w:rsidRPr="00934626">
        <w:t>peste</w:t>
      </w:r>
      <w:proofErr w:type="spellEnd"/>
      <w:r w:rsidR="00ED7582" w:rsidRPr="00934626">
        <w:t xml:space="preserve"> </w:t>
      </w:r>
      <w:r w:rsidR="002C1AC8" w:rsidRPr="00934626">
        <w:t xml:space="preserve">des </w:t>
      </w:r>
      <w:r w:rsidR="00ED7582" w:rsidRPr="00934626">
        <w:t>p</w:t>
      </w:r>
      <w:r w:rsidR="002C1AC8" w:rsidRPr="00934626">
        <w:t xml:space="preserve">etits </w:t>
      </w:r>
      <w:r w:rsidR="00ED7582" w:rsidRPr="00934626">
        <w:t>r</w:t>
      </w:r>
      <w:r w:rsidR="002C1AC8" w:rsidRPr="00934626">
        <w:t xml:space="preserve">uminants virus. </w:t>
      </w:r>
      <w:r w:rsidR="002C1AC8" w:rsidRPr="00934626">
        <w:rPr>
          <w:i/>
        </w:rPr>
        <w:t xml:space="preserve">Acta. </w:t>
      </w:r>
      <w:proofErr w:type="spellStart"/>
      <w:r w:rsidR="002C1AC8" w:rsidRPr="00934626">
        <w:rPr>
          <w:i/>
        </w:rPr>
        <w:t>Virol</w:t>
      </w:r>
      <w:proofErr w:type="spellEnd"/>
      <w:r w:rsidR="002C1AC8" w:rsidRPr="00934626">
        <w:t>.,</w:t>
      </w:r>
      <w:r w:rsidR="00ED7582" w:rsidRPr="00934626">
        <w:t xml:space="preserve"> </w:t>
      </w:r>
      <w:r w:rsidR="002C1AC8" w:rsidRPr="00934626">
        <w:rPr>
          <w:b/>
        </w:rPr>
        <w:t>50</w:t>
      </w:r>
      <w:r w:rsidR="00ED7582" w:rsidRPr="00934626">
        <w:t xml:space="preserve">, </w:t>
      </w:r>
      <w:r w:rsidR="002C1AC8" w:rsidRPr="00934626">
        <w:t>217</w:t>
      </w:r>
      <w:r w:rsidR="00ED7582" w:rsidRPr="00934626">
        <w:t>–2</w:t>
      </w:r>
      <w:r w:rsidR="002C1AC8" w:rsidRPr="00934626">
        <w:t>22</w:t>
      </w:r>
      <w:r w:rsidR="00ED7582" w:rsidRPr="00934626">
        <w:t>.</w:t>
      </w:r>
    </w:p>
    <w:p w14:paraId="28B056BE" w14:textId="77777777" w:rsidR="00431B81" w:rsidRPr="00934626" w:rsidRDefault="00431B81" w:rsidP="008D4B5A">
      <w:pPr>
        <w:pStyle w:val="Ref"/>
        <w:rPr>
          <w:lang w:val="en-IE"/>
        </w:rPr>
      </w:pPr>
      <w:r w:rsidRPr="00934626">
        <w:rPr>
          <w:smallCaps/>
        </w:rPr>
        <w:t>Gibbs E.P.J., Taylor W.P., Lawman M.J.P. &amp; Bryant J.</w:t>
      </w:r>
      <w:r w:rsidRPr="00934626">
        <w:t xml:space="preserve"> (1979). Classification of </w:t>
      </w:r>
      <w:proofErr w:type="spellStart"/>
      <w:r w:rsidRPr="00934626">
        <w:t>peste</w:t>
      </w:r>
      <w:proofErr w:type="spellEnd"/>
      <w:r w:rsidRPr="00934626">
        <w:t xml:space="preserve"> des petits ruminants virus as the fourth member of the genus </w:t>
      </w:r>
      <w:r w:rsidRPr="00934626">
        <w:rPr>
          <w:i/>
        </w:rPr>
        <w:t>Morbillivirus</w:t>
      </w:r>
      <w:r w:rsidRPr="00934626">
        <w:t xml:space="preserve">. </w:t>
      </w:r>
      <w:proofErr w:type="spellStart"/>
      <w:r w:rsidRPr="00934626">
        <w:rPr>
          <w:i/>
          <w:lang w:val="en-IE"/>
        </w:rPr>
        <w:t>Intervirology</w:t>
      </w:r>
      <w:proofErr w:type="spellEnd"/>
      <w:r w:rsidRPr="00934626">
        <w:rPr>
          <w:lang w:val="en-IE"/>
        </w:rPr>
        <w:t xml:space="preserve">, </w:t>
      </w:r>
      <w:r w:rsidRPr="00934626">
        <w:rPr>
          <w:b/>
          <w:lang w:val="en-IE"/>
        </w:rPr>
        <w:t>II</w:t>
      </w:r>
      <w:r w:rsidRPr="00934626">
        <w:rPr>
          <w:lang w:val="en-IE"/>
        </w:rPr>
        <w:t>, 268</w:t>
      </w:r>
      <w:r w:rsidR="00A66851" w:rsidRPr="00934626">
        <w:rPr>
          <w:lang w:val="en-IE"/>
        </w:rPr>
        <w:t>–</w:t>
      </w:r>
      <w:r w:rsidRPr="00934626">
        <w:rPr>
          <w:lang w:val="en-IE"/>
        </w:rPr>
        <w:t>274.</w:t>
      </w:r>
    </w:p>
    <w:p w14:paraId="0FFC7405" w14:textId="58C5A5A6" w:rsidR="009C6B1C" w:rsidRPr="00934626" w:rsidRDefault="007A34CA" w:rsidP="009C6B1C">
      <w:pPr>
        <w:pStyle w:val="Ref"/>
        <w:rPr>
          <w:lang w:val="en-US"/>
        </w:rPr>
      </w:pPr>
      <w:r w:rsidRPr="00934626">
        <w:rPr>
          <w:smallCaps/>
          <w:lang w:val="en-US"/>
        </w:rPr>
        <w:t>Herbert R., Baron</w:t>
      </w:r>
      <w:r w:rsidR="009C6B1C" w:rsidRPr="00934626">
        <w:rPr>
          <w:smallCaps/>
          <w:lang w:val="en-US"/>
        </w:rPr>
        <w:t xml:space="preserve"> J.,</w:t>
      </w:r>
      <w:r w:rsidRPr="00934626">
        <w:rPr>
          <w:smallCaps/>
          <w:lang w:val="en-US"/>
        </w:rPr>
        <w:t xml:space="preserve"> Batten C., Baron M. &amp; Taylor</w:t>
      </w:r>
      <w:r w:rsidR="009C6B1C" w:rsidRPr="00934626">
        <w:rPr>
          <w:smallCaps/>
          <w:lang w:val="en-US"/>
        </w:rPr>
        <w:t xml:space="preserve"> G.</w:t>
      </w:r>
      <w:r w:rsidR="009C6B1C" w:rsidRPr="00934626">
        <w:rPr>
          <w:lang w:val="en-US"/>
        </w:rPr>
        <w:t xml:space="preserve"> (2014). Recombinant adenovirus expressing the haemagglutinin of </w:t>
      </w:r>
      <w:proofErr w:type="spellStart"/>
      <w:r w:rsidR="009C6B1C" w:rsidRPr="00934626">
        <w:rPr>
          <w:lang w:val="en-US"/>
        </w:rPr>
        <w:t>peste</w:t>
      </w:r>
      <w:proofErr w:type="spellEnd"/>
      <w:r w:rsidR="009C6B1C" w:rsidRPr="00934626">
        <w:rPr>
          <w:lang w:val="en-US"/>
        </w:rPr>
        <w:t xml:space="preserve"> des petits ruminants virus (PPRV) protects goats against challenge with pathogenic virus; a DIVA vaccine for PPR.</w:t>
      </w:r>
      <w:r w:rsidR="009C6B1C" w:rsidRPr="00934626">
        <w:rPr>
          <w:i/>
          <w:lang w:val="en-US"/>
        </w:rPr>
        <w:t xml:space="preserve"> Vet. Res.</w:t>
      </w:r>
      <w:r w:rsidR="009C6B1C" w:rsidRPr="00934626">
        <w:rPr>
          <w:lang w:val="en-US"/>
        </w:rPr>
        <w:t xml:space="preserve">, </w:t>
      </w:r>
      <w:r w:rsidR="009C6B1C" w:rsidRPr="00934626">
        <w:rPr>
          <w:b/>
          <w:lang w:val="en-US"/>
        </w:rPr>
        <w:t>45</w:t>
      </w:r>
      <w:r w:rsidR="009C6B1C" w:rsidRPr="00934626">
        <w:rPr>
          <w:lang w:val="en-US"/>
        </w:rPr>
        <w:t>, 24.</w:t>
      </w:r>
    </w:p>
    <w:p w14:paraId="094AEA27" w14:textId="5D54BE01" w:rsidR="002E5632" w:rsidRPr="00934626" w:rsidRDefault="002E5632" w:rsidP="009C6B1C">
      <w:pPr>
        <w:pStyle w:val="Ref"/>
        <w:rPr>
          <w:lang w:val="en-US"/>
        </w:rPr>
      </w:pPr>
      <w:r w:rsidRPr="00934626">
        <w:rPr>
          <w:smallCaps/>
          <w:lang w:val="en-US" w:eastAsia="en-GB"/>
        </w:rPr>
        <w:t xml:space="preserve">Hodgson S., Moffat K., Hill H., Flannery J.T., Graham S.P., Baron M.D. &amp; </w:t>
      </w:r>
      <w:proofErr w:type="spellStart"/>
      <w:r w:rsidRPr="00934626">
        <w:rPr>
          <w:smallCaps/>
          <w:lang w:val="en-US" w:eastAsia="en-GB"/>
        </w:rPr>
        <w:t>Darpel</w:t>
      </w:r>
      <w:proofErr w:type="spellEnd"/>
      <w:r w:rsidRPr="00934626">
        <w:rPr>
          <w:smallCaps/>
          <w:lang w:val="en-US" w:eastAsia="en-GB"/>
        </w:rPr>
        <w:t xml:space="preserve"> K.E. (</w:t>
      </w:r>
      <w:r w:rsidRPr="00934626">
        <w:rPr>
          <w:lang w:val="en-US" w:eastAsia="en-GB"/>
        </w:rPr>
        <w:t xml:space="preserve">2018). – Comparison of the immunogenicity and cross-lineage efficacy of live attenuated </w:t>
      </w:r>
      <w:proofErr w:type="spellStart"/>
      <w:r w:rsidRPr="00934626">
        <w:rPr>
          <w:lang w:val="en-US" w:eastAsia="en-GB"/>
        </w:rPr>
        <w:t>peste</w:t>
      </w:r>
      <w:proofErr w:type="spellEnd"/>
      <w:r w:rsidRPr="00934626">
        <w:rPr>
          <w:lang w:val="en-US" w:eastAsia="en-GB"/>
        </w:rPr>
        <w:t xml:space="preserve"> des petits ruminants virus vaccines PPRV/Nigeria/75/1 and PPRV/</w:t>
      </w:r>
      <w:proofErr w:type="spellStart"/>
      <w:r w:rsidRPr="00934626">
        <w:rPr>
          <w:lang w:val="en-US" w:eastAsia="en-GB"/>
        </w:rPr>
        <w:t>Sungri</w:t>
      </w:r>
      <w:proofErr w:type="spellEnd"/>
      <w:r w:rsidRPr="00934626">
        <w:rPr>
          <w:lang w:val="en-US" w:eastAsia="en-GB"/>
        </w:rPr>
        <w:t xml:space="preserve">/96. </w:t>
      </w:r>
      <w:r w:rsidRPr="00934626">
        <w:rPr>
          <w:i/>
          <w:iCs/>
          <w:lang w:val="en-US" w:eastAsia="en-GB"/>
        </w:rPr>
        <w:t xml:space="preserve">J. </w:t>
      </w:r>
      <w:proofErr w:type="spellStart"/>
      <w:r w:rsidRPr="00934626">
        <w:rPr>
          <w:i/>
          <w:iCs/>
          <w:lang w:val="en-US" w:eastAsia="en-GB"/>
        </w:rPr>
        <w:t>Virol</w:t>
      </w:r>
      <w:proofErr w:type="spellEnd"/>
      <w:r w:rsidRPr="00934626">
        <w:rPr>
          <w:i/>
          <w:iCs/>
          <w:lang w:val="en-US" w:eastAsia="en-GB"/>
        </w:rPr>
        <w:t xml:space="preserve">., </w:t>
      </w:r>
      <w:r w:rsidR="002C1389" w:rsidRPr="00934626">
        <w:rPr>
          <w:b/>
          <w:bCs/>
          <w:lang w:val="en-US" w:eastAsia="en-GB"/>
        </w:rPr>
        <w:t>92</w:t>
      </w:r>
      <w:r w:rsidR="002C1389" w:rsidRPr="00934626">
        <w:rPr>
          <w:bCs/>
          <w:lang w:val="en-US" w:eastAsia="en-GB"/>
        </w:rPr>
        <w:t>, e01471-18</w:t>
      </w:r>
      <w:r w:rsidR="00191FD9" w:rsidRPr="00934626">
        <w:rPr>
          <w:bCs/>
          <w:lang w:val="en-US" w:eastAsia="en-GB"/>
        </w:rPr>
        <w:t>.</w:t>
      </w:r>
    </w:p>
    <w:p w14:paraId="43AB19DA" w14:textId="637A5A44" w:rsidR="009C6B1C" w:rsidRPr="009238E8" w:rsidRDefault="00D00B32" w:rsidP="008D4B5A">
      <w:pPr>
        <w:pStyle w:val="Ref"/>
        <w:rPr>
          <w:lang w:val="es-ES"/>
        </w:rPr>
      </w:pPr>
      <w:r w:rsidRPr="00934626">
        <w:rPr>
          <w:smallCaps/>
          <w:lang w:val="en-US"/>
        </w:rPr>
        <w:t>Holz</w:t>
      </w:r>
      <w:r w:rsidR="007A34CA" w:rsidRPr="00934626">
        <w:rPr>
          <w:smallCaps/>
          <w:lang w:val="en-US"/>
        </w:rPr>
        <w:t xml:space="preserve">er B., Taylor G., </w:t>
      </w:r>
      <w:proofErr w:type="spellStart"/>
      <w:r w:rsidR="007A34CA" w:rsidRPr="00934626">
        <w:rPr>
          <w:smallCaps/>
          <w:lang w:val="en-US"/>
        </w:rPr>
        <w:t>Rajko-Nenow</w:t>
      </w:r>
      <w:proofErr w:type="spellEnd"/>
      <w:r w:rsidR="007A34CA" w:rsidRPr="00934626">
        <w:rPr>
          <w:smallCaps/>
          <w:lang w:val="en-US"/>
        </w:rPr>
        <w:t xml:space="preserve"> P., Hodgson S., Okoth E., Herbert</w:t>
      </w:r>
      <w:r w:rsidRPr="00934626">
        <w:rPr>
          <w:smallCaps/>
          <w:lang w:val="en-US"/>
        </w:rPr>
        <w:t xml:space="preserve"> R., Toye</w:t>
      </w:r>
      <w:r w:rsidR="007A34CA" w:rsidRPr="00934626">
        <w:rPr>
          <w:smallCaps/>
          <w:lang w:val="en-US"/>
        </w:rPr>
        <w:t xml:space="preserve"> P. &amp; Baron</w:t>
      </w:r>
      <w:r w:rsidRPr="00934626">
        <w:rPr>
          <w:smallCaps/>
          <w:lang w:val="en-US"/>
        </w:rPr>
        <w:t xml:space="preserve"> M.D.</w:t>
      </w:r>
      <w:r w:rsidRPr="00934626">
        <w:rPr>
          <w:lang w:val="en-US"/>
        </w:rPr>
        <w:t xml:space="preserve"> (2016). Determination of the minimum fully protective dose of adenovirus-based DIVA vaccine against </w:t>
      </w:r>
      <w:proofErr w:type="spellStart"/>
      <w:r w:rsidRPr="00934626">
        <w:rPr>
          <w:lang w:val="en-US"/>
        </w:rPr>
        <w:t>peste</w:t>
      </w:r>
      <w:proofErr w:type="spellEnd"/>
      <w:r w:rsidRPr="00934626">
        <w:rPr>
          <w:lang w:val="en-US"/>
        </w:rPr>
        <w:t xml:space="preserve"> des petits ruminants virus challenge in East African goats.</w:t>
      </w:r>
      <w:r w:rsidRPr="00934626">
        <w:rPr>
          <w:i/>
          <w:lang w:val="en-US"/>
        </w:rPr>
        <w:t xml:space="preserve"> </w:t>
      </w:r>
      <w:proofErr w:type="spellStart"/>
      <w:r w:rsidRPr="009238E8">
        <w:rPr>
          <w:i/>
          <w:lang w:val="es-ES"/>
        </w:rPr>
        <w:t>Vet</w:t>
      </w:r>
      <w:proofErr w:type="spellEnd"/>
      <w:r w:rsidRPr="009238E8">
        <w:rPr>
          <w:i/>
          <w:lang w:val="es-ES"/>
        </w:rPr>
        <w:t>. Res.</w:t>
      </w:r>
      <w:r w:rsidRPr="009238E8">
        <w:rPr>
          <w:lang w:val="es-ES"/>
        </w:rPr>
        <w:t xml:space="preserve">, </w:t>
      </w:r>
      <w:r w:rsidRPr="009238E8">
        <w:rPr>
          <w:b/>
          <w:lang w:val="es-ES"/>
        </w:rPr>
        <w:t>47</w:t>
      </w:r>
      <w:r w:rsidR="009C6B1C" w:rsidRPr="009238E8">
        <w:rPr>
          <w:lang w:val="es-ES"/>
        </w:rPr>
        <w:t>, 20.</w:t>
      </w:r>
    </w:p>
    <w:p w14:paraId="160B9910" w14:textId="77777777" w:rsidR="00C56B59" w:rsidRPr="00934626" w:rsidRDefault="00C56B59" w:rsidP="001C1DCD">
      <w:pPr>
        <w:pStyle w:val="Ref"/>
        <w:rPr>
          <w:lang w:val="fr-FR"/>
        </w:rPr>
      </w:pPr>
      <w:proofErr w:type="spellStart"/>
      <w:r w:rsidRPr="00934626">
        <w:rPr>
          <w:smallCaps/>
          <w:lang w:val="de-DE"/>
        </w:rPr>
        <w:t>Kwiatek</w:t>
      </w:r>
      <w:proofErr w:type="spellEnd"/>
      <w:r w:rsidRPr="00934626">
        <w:rPr>
          <w:smallCaps/>
          <w:lang w:val="de-DE"/>
        </w:rPr>
        <w:t xml:space="preserve"> O., Keita D., Gil P., Fernandez-Pinero J., Jimenez </w:t>
      </w:r>
      <w:proofErr w:type="spellStart"/>
      <w:r w:rsidRPr="00934626">
        <w:rPr>
          <w:smallCaps/>
          <w:lang w:val="de-DE"/>
        </w:rPr>
        <w:t>Clavero</w:t>
      </w:r>
      <w:proofErr w:type="spellEnd"/>
      <w:r w:rsidRPr="00934626">
        <w:rPr>
          <w:smallCaps/>
          <w:lang w:val="de-DE"/>
        </w:rPr>
        <w:t xml:space="preserve"> M.A., Albina E. &amp; Libeau G</w:t>
      </w:r>
      <w:r w:rsidRPr="00934626">
        <w:rPr>
          <w:lang w:val="de-DE"/>
        </w:rPr>
        <w:t xml:space="preserve">. (2010). </w:t>
      </w:r>
      <w:r w:rsidRPr="00934626">
        <w:rPr>
          <w:lang w:val="en-US"/>
        </w:rPr>
        <w:t xml:space="preserve">Quantitative one-step real-time RT-PCR for the fast detection of the four genotypes of PPRV. </w:t>
      </w:r>
      <w:r w:rsidRPr="00934626">
        <w:rPr>
          <w:i/>
          <w:lang w:val="fr-FR"/>
        </w:rPr>
        <w:t xml:space="preserve">J </w:t>
      </w:r>
      <w:proofErr w:type="spellStart"/>
      <w:r w:rsidRPr="00934626">
        <w:rPr>
          <w:i/>
          <w:lang w:val="fr-FR"/>
        </w:rPr>
        <w:t>Virol</w:t>
      </w:r>
      <w:proofErr w:type="spellEnd"/>
      <w:r w:rsidRPr="00934626">
        <w:rPr>
          <w:i/>
          <w:lang w:val="fr-FR"/>
        </w:rPr>
        <w:t>. Methods</w:t>
      </w:r>
      <w:r w:rsidRPr="00934626">
        <w:rPr>
          <w:lang w:val="fr-FR"/>
        </w:rPr>
        <w:t xml:space="preserve">, </w:t>
      </w:r>
      <w:r w:rsidRPr="00934626">
        <w:rPr>
          <w:b/>
          <w:lang w:val="fr-FR"/>
        </w:rPr>
        <w:t>165</w:t>
      </w:r>
      <w:r w:rsidRPr="00934626">
        <w:rPr>
          <w:lang w:val="fr-FR"/>
        </w:rPr>
        <w:t>, 168–177.</w:t>
      </w:r>
    </w:p>
    <w:p w14:paraId="55FBBE9F" w14:textId="77777777" w:rsidR="00431B81" w:rsidRPr="00934626" w:rsidRDefault="00431B81" w:rsidP="00EC0CC1">
      <w:pPr>
        <w:pStyle w:val="Ref"/>
        <w:ind w:left="357" w:hanging="357"/>
      </w:pPr>
      <w:r w:rsidRPr="00934626">
        <w:rPr>
          <w:smallCaps/>
          <w:lang w:val="fr-FR"/>
        </w:rPr>
        <w:t>Lefevre P.C. &amp; Diallo A</w:t>
      </w:r>
      <w:r w:rsidRPr="00934626">
        <w:rPr>
          <w:lang w:val="fr-FR"/>
        </w:rPr>
        <w:t xml:space="preserve">. (1990). Peste des petits ruminants. </w:t>
      </w:r>
      <w:r w:rsidRPr="00934626">
        <w:rPr>
          <w:i/>
        </w:rPr>
        <w:t xml:space="preserve">Rev. sci. tech. Off. int. </w:t>
      </w:r>
      <w:proofErr w:type="spellStart"/>
      <w:r w:rsidRPr="00934626">
        <w:rPr>
          <w:i/>
        </w:rPr>
        <w:t>Epiz</w:t>
      </w:r>
      <w:proofErr w:type="spellEnd"/>
      <w:r w:rsidRPr="00934626">
        <w:t xml:space="preserve">., </w:t>
      </w:r>
      <w:r w:rsidRPr="00934626">
        <w:rPr>
          <w:b/>
        </w:rPr>
        <w:t>9</w:t>
      </w:r>
      <w:r w:rsidRPr="00934626">
        <w:t>, 951</w:t>
      </w:r>
      <w:r w:rsidR="00A66851" w:rsidRPr="00934626">
        <w:t>–</w:t>
      </w:r>
      <w:r w:rsidRPr="00934626">
        <w:t>965.</w:t>
      </w:r>
    </w:p>
    <w:p w14:paraId="35CCC25D" w14:textId="2CEBFE6C" w:rsidR="00000CAE" w:rsidRPr="00934626" w:rsidRDefault="0092519D" w:rsidP="00000CAE">
      <w:pPr>
        <w:shd w:val="clear" w:color="auto" w:fill="FFFFFF"/>
        <w:spacing w:after="240" w:line="240" w:lineRule="auto"/>
        <w:rPr>
          <w:rFonts w:ascii="Arial" w:hAnsi="Arial" w:cs="Arial"/>
          <w:sz w:val="18"/>
          <w:szCs w:val="18"/>
        </w:rPr>
      </w:pPr>
      <w:hyperlink r:id="rId8" w:history="1">
        <w:r w:rsidR="00000CAE" w:rsidRPr="00934626">
          <w:rPr>
            <w:rStyle w:val="Lienhypertexte"/>
            <w:rFonts w:ascii="Arial" w:hAnsi="Arial" w:cs="Arial"/>
            <w:bCs/>
            <w:smallCaps/>
            <w:color w:val="auto"/>
            <w:sz w:val="18"/>
            <w:szCs w:val="18"/>
            <w:u w:val="none"/>
          </w:rPr>
          <w:t>Li</w:t>
        </w:r>
        <w:r w:rsidR="00000CAE" w:rsidRPr="00934626">
          <w:rPr>
            <w:rStyle w:val="Lienhypertexte"/>
            <w:rFonts w:ascii="Arial" w:hAnsi="Arial" w:cs="Arial"/>
            <w:smallCaps/>
            <w:color w:val="auto"/>
            <w:sz w:val="18"/>
            <w:szCs w:val="18"/>
            <w:u w:val="none"/>
          </w:rPr>
          <w:t xml:space="preserve"> L</w:t>
        </w:r>
      </w:hyperlink>
      <w:r w:rsidR="00000CAE" w:rsidRPr="00934626">
        <w:rPr>
          <w:rFonts w:ascii="Arial" w:hAnsi="Arial" w:cs="Arial"/>
          <w:smallCaps/>
          <w:sz w:val="18"/>
          <w:szCs w:val="18"/>
        </w:rPr>
        <w:t xml:space="preserve">., </w:t>
      </w:r>
      <w:hyperlink r:id="rId9" w:history="1">
        <w:r w:rsidR="00000CAE" w:rsidRPr="00934626">
          <w:rPr>
            <w:rStyle w:val="Lienhypertexte"/>
            <w:rFonts w:ascii="Arial" w:hAnsi="Arial" w:cs="Arial"/>
            <w:smallCaps/>
            <w:color w:val="auto"/>
            <w:sz w:val="18"/>
            <w:szCs w:val="18"/>
            <w:u w:val="none"/>
          </w:rPr>
          <w:t>Bao J</w:t>
        </w:r>
      </w:hyperlink>
      <w:r w:rsidR="00000CAE" w:rsidRPr="00934626">
        <w:rPr>
          <w:rFonts w:ascii="Arial" w:hAnsi="Arial" w:cs="Arial"/>
          <w:smallCaps/>
          <w:sz w:val="18"/>
          <w:szCs w:val="18"/>
        </w:rPr>
        <w:t xml:space="preserve">., </w:t>
      </w:r>
      <w:hyperlink r:id="rId10" w:history="1">
        <w:r w:rsidR="00000CAE" w:rsidRPr="00934626">
          <w:rPr>
            <w:rStyle w:val="Lienhypertexte"/>
            <w:rFonts w:ascii="Arial" w:hAnsi="Arial" w:cs="Arial"/>
            <w:smallCaps/>
            <w:color w:val="auto"/>
            <w:sz w:val="18"/>
            <w:szCs w:val="18"/>
            <w:u w:val="none"/>
          </w:rPr>
          <w:t>Wu X</w:t>
        </w:r>
      </w:hyperlink>
      <w:r w:rsidR="00000CAE" w:rsidRPr="00934626">
        <w:rPr>
          <w:rFonts w:ascii="Arial" w:hAnsi="Arial" w:cs="Arial"/>
          <w:smallCaps/>
          <w:sz w:val="18"/>
          <w:szCs w:val="18"/>
        </w:rPr>
        <w:t xml:space="preserve">., </w:t>
      </w:r>
      <w:hyperlink r:id="rId11" w:history="1">
        <w:r w:rsidR="00000CAE" w:rsidRPr="00934626">
          <w:rPr>
            <w:rStyle w:val="Lienhypertexte"/>
            <w:rFonts w:ascii="Arial" w:hAnsi="Arial" w:cs="Arial"/>
            <w:smallCaps/>
            <w:color w:val="auto"/>
            <w:sz w:val="18"/>
            <w:szCs w:val="18"/>
            <w:u w:val="none"/>
          </w:rPr>
          <w:t>Wang Z</w:t>
        </w:r>
      </w:hyperlink>
      <w:r w:rsidR="00000CAE" w:rsidRPr="00934626">
        <w:rPr>
          <w:rFonts w:ascii="Arial" w:hAnsi="Arial" w:cs="Arial"/>
          <w:smallCaps/>
          <w:sz w:val="18"/>
          <w:szCs w:val="18"/>
        </w:rPr>
        <w:t xml:space="preserve">., </w:t>
      </w:r>
      <w:hyperlink r:id="rId12" w:history="1">
        <w:r w:rsidR="00000CAE" w:rsidRPr="00934626">
          <w:rPr>
            <w:rStyle w:val="Lienhypertexte"/>
            <w:rFonts w:ascii="Arial" w:hAnsi="Arial" w:cs="Arial"/>
            <w:smallCaps/>
            <w:color w:val="auto"/>
            <w:sz w:val="18"/>
            <w:szCs w:val="18"/>
            <w:u w:val="none"/>
          </w:rPr>
          <w:t>Wang J</w:t>
        </w:r>
      </w:hyperlink>
      <w:r w:rsidR="00000CAE" w:rsidRPr="00934626">
        <w:rPr>
          <w:rFonts w:ascii="Arial" w:hAnsi="Arial" w:cs="Arial"/>
          <w:smallCaps/>
          <w:sz w:val="18"/>
          <w:szCs w:val="18"/>
        </w:rPr>
        <w:t xml:space="preserve">., </w:t>
      </w:r>
      <w:hyperlink r:id="rId13" w:history="1">
        <w:r w:rsidR="00000CAE" w:rsidRPr="00934626">
          <w:rPr>
            <w:rStyle w:val="Lienhypertexte"/>
            <w:rFonts w:ascii="Arial" w:hAnsi="Arial" w:cs="Arial"/>
            <w:smallCaps/>
            <w:color w:val="auto"/>
            <w:sz w:val="18"/>
            <w:szCs w:val="18"/>
            <w:u w:val="none"/>
          </w:rPr>
          <w:t>Gong M</w:t>
        </w:r>
      </w:hyperlink>
      <w:r w:rsidR="00000CAE" w:rsidRPr="00934626">
        <w:rPr>
          <w:rFonts w:ascii="Arial" w:hAnsi="Arial" w:cs="Arial"/>
          <w:smallCaps/>
          <w:sz w:val="18"/>
          <w:szCs w:val="18"/>
        </w:rPr>
        <w:t xml:space="preserve">., </w:t>
      </w:r>
      <w:hyperlink r:id="rId14" w:history="1">
        <w:r w:rsidR="00000CAE" w:rsidRPr="00934626">
          <w:rPr>
            <w:rStyle w:val="Lienhypertexte"/>
            <w:rFonts w:ascii="Arial" w:hAnsi="Arial" w:cs="Arial"/>
            <w:smallCaps/>
            <w:color w:val="auto"/>
            <w:sz w:val="18"/>
            <w:szCs w:val="18"/>
            <w:u w:val="none"/>
          </w:rPr>
          <w:t>Liu C</w:t>
        </w:r>
      </w:hyperlink>
      <w:r w:rsidR="00000CAE" w:rsidRPr="00934626">
        <w:rPr>
          <w:rFonts w:ascii="Arial" w:hAnsi="Arial" w:cs="Arial"/>
          <w:smallCaps/>
          <w:sz w:val="18"/>
          <w:szCs w:val="18"/>
        </w:rPr>
        <w:t xml:space="preserve">. &amp; </w:t>
      </w:r>
      <w:hyperlink r:id="rId15" w:history="1">
        <w:r w:rsidR="00000CAE" w:rsidRPr="00934626">
          <w:rPr>
            <w:rStyle w:val="Lienhypertexte"/>
            <w:rFonts w:ascii="Arial" w:hAnsi="Arial" w:cs="Arial"/>
            <w:bCs/>
            <w:smallCaps/>
            <w:color w:val="auto"/>
            <w:sz w:val="18"/>
            <w:szCs w:val="18"/>
            <w:u w:val="none"/>
          </w:rPr>
          <w:t>Li</w:t>
        </w:r>
        <w:r w:rsidR="00000CAE" w:rsidRPr="00934626">
          <w:rPr>
            <w:rStyle w:val="Lienhypertexte"/>
            <w:rFonts w:ascii="Arial" w:hAnsi="Arial" w:cs="Arial"/>
            <w:smallCaps/>
            <w:color w:val="auto"/>
            <w:sz w:val="18"/>
            <w:szCs w:val="18"/>
            <w:u w:val="none"/>
          </w:rPr>
          <w:t xml:space="preserve"> J</w:t>
        </w:r>
      </w:hyperlink>
      <w:r w:rsidR="00000CAE" w:rsidRPr="00934626">
        <w:rPr>
          <w:rFonts w:ascii="Arial" w:hAnsi="Arial" w:cs="Arial"/>
          <w:smallCaps/>
          <w:sz w:val="18"/>
          <w:szCs w:val="18"/>
        </w:rPr>
        <w:t>.</w:t>
      </w:r>
      <w:r w:rsidR="00000CAE" w:rsidRPr="00934626">
        <w:rPr>
          <w:rFonts w:ascii="Arial" w:hAnsi="Arial" w:cs="Arial"/>
          <w:sz w:val="18"/>
          <w:szCs w:val="18"/>
        </w:rPr>
        <w:t xml:space="preserve"> (2010). Rapid detection of </w:t>
      </w:r>
      <w:proofErr w:type="spellStart"/>
      <w:r w:rsidR="00000CAE" w:rsidRPr="00934626">
        <w:rPr>
          <w:rFonts w:ascii="Arial" w:hAnsi="Arial" w:cs="Arial"/>
          <w:sz w:val="18"/>
          <w:szCs w:val="18"/>
        </w:rPr>
        <w:t>peste</w:t>
      </w:r>
      <w:proofErr w:type="spellEnd"/>
      <w:r w:rsidR="00000CAE" w:rsidRPr="00934626">
        <w:rPr>
          <w:rFonts w:ascii="Arial" w:hAnsi="Arial" w:cs="Arial"/>
          <w:sz w:val="18"/>
          <w:szCs w:val="18"/>
        </w:rPr>
        <w:t xml:space="preserve"> des petits ruminants virus by a reverse transcription loop-mediated isothermal amplification assay. </w:t>
      </w:r>
      <w:hyperlink r:id="rId16" w:tooltip="Journal of virological methods." w:history="1">
        <w:r w:rsidR="00000CAE" w:rsidRPr="00934626">
          <w:rPr>
            <w:rStyle w:val="Lienhypertexte"/>
            <w:rFonts w:ascii="Arial" w:hAnsi="Arial" w:cs="Arial"/>
            <w:i/>
            <w:color w:val="auto"/>
            <w:sz w:val="18"/>
            <w:szCs w:val="18"/>
            <w:u w:val="none"/>
          </w:rPr>
          <w:t xml:space="preserve">J. </w:t>
        </w:r>
        <w:proofErr w:type="spellStart"/>
        <w:r w:rsidR="00000CAE" w:rsidRPr="00934626">
          <w:rPr>
            <w:rStyle w:val="Lienhypertexte"/>
            <w:rFonts w:ascii="Arial" w:hAnsi="Arial" w:cs="Arial"/>
            <w:i/>
            <w:color w:val="auto"/>
            <w:sz w:val="18"/>
            <w:szCs w:val="18"/>
            <w:u w:val="none"/>
          </w:rPr>
          <w:t>Virol</w:t>
        </w:r>
        <w:proofErr w:type="spellEnd"/>
        <w:r w:rsidR="00000CAE" w:rsidRPr="00934626">
          <w:rPr>
            <w:rStyle w:val="Lienhypertexte"/>
            <w:rFonts w:ascii="Arial" w:hAnsi="Arial" w:cs="Arial"/>
            <w:i/>
            <w:color w:val="auto"/>
            <w:sz w:val="18"/>
            <w:szCs w:val="18"/>
            <w:u w:val="none"/>
          </w:rPr>
          <w:t xml:space="preserve">. Methods, </w:t>
        </w:r>
      </w:hyperlink>
      <w:r w:rsidR="00000CAE" w:rsidRPr="00934626">
        <w:rPr>
          <w:rFonts w:ascii="Arial" w:hAnsi="Arial" w:cs="Arial"/>
          <w:b/>
          <w:sz w:val="18"/>
          <w:szCs w:val="18"/>
        </w:rPr>
        <w:t>170</w:t>
      </w:r>
      <w:r w:rsidR="00000CAE" w:rsidRPr="00934626">
        <w:rPr>
          <w:rFonts w:ascii="Arial" w:hAnsi="Arial" w:cs="Arial"/>
          <w:sz w:val="18"/>
          <w:szCs w:val="18"/>
        </w:rPr>
        <w:t>, 37–41.</w:t>
      </w:r>
    </w:p>
    <w:p w14:paraId="05A1907B" w14:textId="619D6CAC" w:rsidR="00E746F5" w:rsidRPr="009238E8" w:rsidRDefault="00E746F5" w:rsidP="00000CAE">
      <w:pPr>
        <w:shd w:val="clear" w:color="auto" w:fill="FFFFFF"/>
        <w:spacing w:after="240" w:line="240" w:lineRule="auto"/>
        <w:rPr>
          <w:rFonts w:ascii="Arial" w:hAnsi="Arial" w:cs="Arial"/>
          <w:sz w:val="18"/>
          <w:szCs w:val="18"/>
          <w:lang w:val="en-IE"/>
        </w:rPr>
      </w:pPr>
      <w:r w:rsidRPr="00934626">
        <w:rPr>
          <w:rFonts w:ascii="Arial" w:hAnsi="Arial" w:cs="Arial"/>
          <w:sz w:val="18"/>
          <w:szCs w:val="18"/>
          <w:lang w:val="en-IE" w:eastAsia="en-IE"/>
        </w:rPr>
        <w:t>L</w:t>
      </w:r>
      <w:r w:rsidRPr="00934626">
        <w:rPr>
          <w:rFonts w:ascii="Arial" w:hAnsi="Arial" w:cs="Arial"/>
          <w:smallCaps/>
          <w:sz w:val="18"/>
          <w:szCs w:val="18"/>
          <w:lang w:val="en-IE" w:eastAsia="en-IE"/>
        </w:rPr>
        <w:t xml:space="preserve">i L., Wu X., Liu F., Wang Z., Liu C., Wang Q. &amp; Bao J. </w:t>
      </w:r>
      <w:r w:rsidRPr="00934626">
        <w:rPr>
          <w:rFonts w:ascii="Arial" w:hAnsi="Arial" w:cs="Arial"/>
          <w:sz w:val="18"/>
          <w:szCs w:val="18"/>
          <w:lang w:val="en-IE" w:eastAsia="en-IE"/>
        </w:rPr>
        <w:t xml:space="preserve">(2016). </w:t>
      </w:r>
      <w:r w:rsidRPr="00934626">
        <w:rPr>
          <w:rFonts w:ascii="Arial" w:hAnsi="Arial" w:cs="Arial"/>
          <w:bCs/>
          <w:kern w:val="36"/>
          <w:sz w:val="18"/>
          <w:szCs w:val="18"/>
          <w:lang w:val="en-IE" w:eastAsia="en-IE"/>
        </w:rPr>
        <w:t xml:space="preserve">Rapid detection of lineage IV </w:t>
      </w:r>
      <w:proofErr w:type="spellStart"/>
      <w:r w:rsidRPr="00934626">
        <w:rPr>
          <w:rFonts w:ascii="Arial" w:hAnsi="Arial" w:cs="Arial"/>
          <w:bCs/>
          <w:kern w:val="36"/>
          <w:sz w:val="18"/>
          <w:szCs w:val="18"/>
          <w:lang w:val="en-IE" w:eastAsia="en-IE"/>
        </w:rPr>
        <w:t>peste</w:t>
      </w:r>
      <w:proofErr w:type="spellEnd"/>
      <w:r w:rsidRPr="00934626">
        <w:rPr>
          <w:rFonts w:ascii="Arial" w:hAnsi="Arial" w:cs="Arial"/>
          <w:bCs/>
          <w:kern w:val="36"/>
          <w:sz w:val="18"/>
          <w:szCs w:val="18"/>
          <w:lang w:val="en-IE" w:eastAsia="en-IE"/>
        </w:rPr>
        <w:t xml:space="preserve"> des petits ruminants virus by real-time RT-PCR.</w:t>
      </w:r>
      <w:r w:rsidRPr="00934626">
        <w:rPr>
          <w:rFonts w:ascii="Arial" w:hAnsi="Arial" w:cs="Arial"/>
          <w:sz w:val="18"/>
          <w:szCs w:val="18"/>
          <w:lang w:val="en-IE" w:eastAsia="en-IE"/>
        </w:rPr>
        <w:t xml:space="preserve"> </w:t>
      </w:r>
      <w:r w:rsidRPr="009238E8">
        <w:rPr>
          <w:rFonts w:ascii="Arial" w:hAnsi="Arial" w:cs="Arial"/>
          <w:i/>
          <w:sz w:val="18"/>
          <w:szCs w:val="18"/>
          <w:lang w:val="en-IE" w:eastAsia="en-IE"/>
        </w:rPr>
        <w:t xml:space="preserve">J. </w:t>
      </w:r>
      <w:proofErr w:type="spellStart"/>
      <w:r w:rsidRPr="009238E8">
        <w:rPr>
          <w:rFonts w:ascii="Arial" w:hAnsi="Arial" w:cs="Arial"/>
          <w:i/>
          <w:sz w:val="18"/>
          <w:szCs w:val="18"/>
          <w:lang w:val="en-IE" w:eastAsia="en-IE"/>
        </w:rPr>
        <w:t>Virol</w:t>
      </w:r>
      <w:proofErr w:type="spellEnd"/>
      <w:r w:rsidRPr="009238E8">
        <w:rPr>
          <w:rFonts w:ascii="Arial" w:hAnsi="Arial" w:cs="Arial"/>
          <w:i/>
          <w:sz w:val="18"/>
          <w:szCs w:val="18"/>
          <w:lang w:val="en-IE" w:eastAsia="en-IE"/>
        </w:rPr>
        <w:t>. Methods</w:t>
      </w:r>
      <w:r w:rsidRPr="009238E8">
        <w:rPr>
          <w:rFonts w:ascii="Arial" w:hAnsi="Arial" w:cs="Arial"/>
          <w:sz w:val="18"/>
          <w:szCs w:val="18"/>
          <w:lang w:val="en-IE" w:eastAsia="en-IE"/>
        </w:rPr>
        <w:t xml:space="preserve">, </w:t>
      </w:r>
      <w:r w:rsidRPr="009238E8">
        <w:rPr>
          <w:rFonts w:ascii="Arial" w:hAnsi="Arial" w:cs="Arial"/>
          <w:b/>
          <w:sz w:val="18"/>
          <w:szCs w:val="18"/>
          <w:lang w:val="en-IE" w:eastAsia="en-IE"/>
        </w:rPr>
        <w:t>235</w:t>
      </w:r>
      <w:r w:rsidRPr="009238E8">
        <w:rPr>
          <w:rFonts w:ascii="Arial" w:hAnsi="Arial" w:cs="Arial"/>
          <w:sz w:val="18"/>
          <w:szCs w:val="18"/>
          <w:lang w:val="en-IE" w:eastAsia="en-IE"/>
        </w:rPr>
        <w:t xml:space="preserve">, 131–133. </w:t>
      </w:r>
      <w:proofErr w:type="spellStart"/>
      <w:r w:rsidRPr="009238E8">
        <w:rPr>
          <w:rFonts w:ascii="Arial" w:hAnsi="Arial" w:cs="Arial"/>
          <w:sz w:val="18"/>
          <w:szCs w:val="18"/>
          <w:lang w:val="en-IE" w:eastAsia="en-IE"/>
        </w:rPr>
        <w:t>doi</w:t>
      </w:r>
      <w:proofErr w:type="spellEnd"/>
      <w:r w:rsidRPr="009238E8">
        <w:rPr>
          <w:rFonts w:ascii="Arial" w:hAnsi="Arial" w:cs="Arial"/>
          <w:sz w:val="18"/>
          <w:szCs w:val="18"/>
          <w:lang w:val="en-IE" w:eastAsia="en-IE"/>
        </w:rPr>
        <w:t xml:space="preserve">: 10.1016/j.jviromet.2016.05.019. </w:t>
      </w:r>
      <w:proofErr w:type="spellStart"/>
      <w:r w:rsidRPr="009238E8">
        <w:rPr>
          <w:rFonts w:ascii="Arial" w:hAnsi="Arial" w:cs="Arial"/>
          <w:sz w:val="18"/>
          <w:szCs w:val="18"/>
          <w:lang w:val="en-IE" w:eastAsia="en-IE"/>
        </w:rPr>
        <w:t>Epub</w:t>
      </w:r>
      <w:proofErr w:type="spellEnd"/>
      <w:r w:rsidRPr="009238E8">
        <w:rPr>
          <w:rFonts w:ascii="Arial" w:hAnsi="Arial" w:cs="Arial"/>
          <w:sz w:val="18"/>
          <w:szCs w:val="18"/>
          <w:lang w:val="en-IE" w:eastAsia="en-IE"/>
        </w:rPr>
        <w:t xml:space="preserve"> 2016 Jun 1.</w:t>
      </w:r>
    </w:p>
    <w:p w14:paraId="0B493325" w14:textId="77777777" w:rsidR="00431B81" w:rsidRPr="00934626" w:rsidRDefault="00EF7CA8" w:rsidP="005E5FC3">
      <w:pPr>
        <w:pStyle w:val="Ref"/>
      </w:pPr>
      <w:r w:rsidRPr="009238E8">
        <w:rPr>
          <w:smallCaps/>
          <w:lang w:val="en-IE"/>
        </w:rPr>
        <w:t>Libeau G., Diallo A., Colas F. &amp; Guerre L.</w:t>
      </w:r>
      <w:r w:rsidRPr="009238E8">
        <w:rPr>
          <w:lang w:val="en-IE"/>
        </w:rPr>
        <w:t xml:space="preserve"> (1994). </w:t>
      </w:r>
      <w:r w:rsidR="00431B81" w:rsidRPr="00934626">
        <w:rPr>
          <w:lang w:val="en-IE"/>
        </w:rPr>
        <w:t xml:space="preserve">Rapid differential diagnosis of rinderpest and </w:t>
      </w:r>
      <w:proofErr w:type="spellStart"/>
      <w:r w:rsidR="00431B81" w:rsidRPr="00934626">
        <w:rPr>
          <w:lang w:val="en-IE"/>
        </w:rPr>
        <w:t>peste</w:t>
      </w:r>
      <w:proofErr w:type="spellEnd"/>
      <w:r w:rsidR="00431B81" w:rsidRPr="00934626">
        <w:rPr>
          <w:lang w:val="en-IE"/>
        </w:rPr>
        <w:t xml:space="preserve"> des petits ruminants using an immunocapture ELISA. </w:t>
      </w:r>
      <w:r w:rsidR="00431B81" w:rsidRPr="00934626">
        <w:rPr>
          <w:i/>
        </w:rPr>
        <w:t>Vet. Rec</w:t>
      </w:r>
      <w:r w:rsidR="00431B81" w:rsidRPr="00934626">
        <w:t xml:space="preserve">., </w:t>
      </w:r>
      <w:r w:rsidR="00431B81" w:rsidRPr="00934626">
        <w:rPr>
          <w:b/>
        </w:rPr>
        <w:t>134</w:t>
      </w:r>
      <w:r w:rsidR="00431B81" w:rsidRPr="00934626">
        <w:t>, 300</w:t>
      </w:r>
      <w:r w:rsidR="00A66851" w:rsidRPr="00934626">
        <w:t>–</w:t>
      </w:r>
      <w:r w:rsidR="00431B81" w:rsidRPr="00934626">
        <w:t>304.</w:t>
      </w:r>
    </w:p>
    <w:p w14:paraId="123BBF40" w14:textId="77777777" w:rsidR="00431B81" w:rsidRPr="00934626" w:rsidRDefault="00431B81" w:rsidP="005E5FC3">
      <w:pPr>
        <w:pStyle w:val="Ref"/>
      </w:pPr>
      <w:r w:rsidRPr="00934626">
        <w:rPr>
          <w:smallCaps/>
        </w:rPr>
        <w:lastRenderedPageBreak/>
        <w:t xml:space="preserve">Libeau G., </w:t>
      </w:r>
      <w:proofErr w:type="spellStart"/>
      <w:r w:rsidRPr="00934626">
        <w:rPr>
          <w:smallCaps/>
        </w:rPr>
        <w:t>Prehaud</w:t>
      </w:r>
      <w:proofErr w:type="spellEnd"/>
      <w:r w:rsidRPr="00934626">
        <w:rPr>
          <w:smallCaps/>
        </w:rPr>
        <w:t xml:space="preserve"> C., Lancelot R., Colas F., Guerre L., Bishop D.H.L. &amp; Diallo A</w:t>
      </w:r>
      <w:r w:rsidRPr="00934626">
        <w:t xml:space="preserve">. (1995). Development of a competitive ELISA for detecting antibodies to the </w:t>
      </w:r>
      <w:proofErr w:type="spellStart"/>
      <w:r w:rsidRPr="00934626">
        <w:t>peste</w:t>
      </w:r>
      <w:proofErr w:type="spellEnd"/>
      <w:r w:rsidRPr="00934626">
        <w:t xml:space="preserve"> des petits ruminants virus using a recombinant nucleoprotein. </w:t>
      </w:r>
      <w:r w:rsidRPr="00934626">
        <w:rPr>
          <w:i/>
        </w:rPr>
        <w:t>Res. Vet. Sci</w:t>
      </w:r>
      <w:r w:rsidRPr="00934626">
        <w:t xml:space="preserve">., </w:t>
      </w:r>
      <w:r w:rsidRPr="00934626">
        <w:rPr>
          <w:b/>
        </w:rPr>
        <w:t>58</w:t>
      </w:r>
      <w:r w:rsidRPr="00934626">
        <w:t>, 50</w:t>
      </w:r>
      <w:r w:rsidR="00A66851" w:rsidRPr="00934626">
        <w:t>–</w:t>
      </w:r>
      <w:r w:rsidRPr="00934626">
        <w:t>55.</w:t>
      </w:r>
    </w:p>
    <w:p w14:paraId="1924C58E" w14:textId="77777777" w:rsidR="00431B81" w:rsidRPr="00934626" w:rsidRDefault="00431B81" w:rsidP="005E5FC3">
      <w:pPr>
        <w:pStyle w:val="Ref"/>
      </w:pPr>
      <w:proofErr w:type="spellStart"/>
      <w:r w:rsidRPr="00934626">
        <w:rPr>
          <w:smallCaps/>
        </w:rPr>
        <w:t>Majiyagbe</w:t>
      </w:r>
      <w:proofErr w:type="spellEnd"/>
      <w:r w:rsidRPr="00934626">
        <w:rPr>
          <w:smallCaps/>
        </w:rPr>
        <w:t xml:space="preserve"> K.A., </w:t>
      </w:r>
      <w:proofErr w:type="spellStart"/>
      <w:r w:rsidRPr="00934626">
        <w:rPr>
          <w:smallCaps/>
        </w:rPr>
        <w:t>Nawathe</w:t>
      </w:r>
      <w:proofErr w:type="spellEnd"/>
      <w:r w:rsidRPr="00934626">
        <w:rPr>
          <w:smallCaps/>
        </w:rPr>
        <w:t xml:space="preserve"> D.R. &amp; </w:t>
      </w:r>
      <w:proofErr w:type="spellStart"/>
      <w:r w:rsidRPr="00934626">
        <w:rPr>
          <w:smallCaps/>
        </w:rPr>
        <w:t>Abegunde</w:t>
      </w:r>
      <w:proofErr w:type="spellEnd"/>
      <w:r w:rsidRPr="00934626">
        <w:rPr>
          <w:smallCaps/>
        </w:rPr>
        <w:t xml:space="preserve"> A</w:t>
      </w:r>
      <w:r w:rsidRPr="00934626">
        <w:t>. (1984). Rapid diagnosis of PPR infection, application of immuno-electro-</w:t>
      </w:r>
      <w:proofErr w:type="spellStart"/>
      <w:r w:rsidRPr="00934626">
        <w:t>osmophoresis</w:t>
      </w:r>
      <w:proofErr w:type="spellEnd"/>
      <w:r w:rsidRPr="00934626">
        <w:t xml:space="preserve"> (IEOP) technique. </w:t>
      </w:r>
      <w:r w:rsidRPr="00934626">
        <w:rPr>
          <w:i/>
        </w:rPr>
        <w:t>Rev. Elev. Med. Vet. Pays Trop</w:t>
      </w:r>
      <w:r w:rsidRPr="00934626">
        <w:t xml:space="preserve">., </w:t>
      </w:r>
      <w:r w:rsidRPr="00934626">
        <w:rPr>
          <w:b/>
        </w:rPr>
        <w:t>37</w:t>
      </w:r>
      <w:r w:rsidRPr="00934626">
        <w:t>, 11</w:t>
      </w:r>
      <w:r w:rsidR="00A66851" w:rsidRPr="00934626">
        <w:t>–</w:t>
      </w:r>
      <w:r w:rsidRPr="00934626">
        <w:t>15.</w:t>
      </w:r>
    </w:p>
    <w:p w14:paraId="4E4822BA" w14:textId="4FA86F51" w:rsidR="0067224D" w:rsidRPr="00934626" w:rsidRDefault="0067224D" w:rsidP="005E5FC3">
      <w:pPr>
        <w:pStyle w:val="Ref"/>
      </w:pPr>
      <w:r w:rsidRPr="00934626">
        <w:rPr>
          <w:smallCaps/>
        </w:rPr>
        <w:t xml:space="preserve">Mariner J.C., </w:t>
      </w:r>
      <w:proofErr w:type="spellStart"/>
      <w:r w:rsidRPr="00934626">
        <w:rPr>
          <w:smallCaps/>
        </w:rPr>
        <w:t>Gachanja</w:t>
      </w:r>
      <w:proofErr w:type="spellEnd"/>
      <w:r w:rsidRPr="00934626">
        <w:rPr>
          <w:smallCaps/>
        </w:rPr>
        <w:t xml:space="preserve"> J., </w:t>
      </w:r>
      <w:proofErr w:type="spellStart"/>
      <w:r w:rsidRPr="00934626">
        <w:rPr>
          <w:smallCaps/>
        </w:rPr>
        <w:t>Tindih</w:t>
      </w:r>
      <w:proofErr w:type="spellEnd"/>
      <w:r w:rsidRPr="00934626">
        <w:rPr>
          <w:smallCaps/>
        </w:rPr>
        <w:t xml:space="preserve"> S.H. &amp; Toye P.</w:t>
      </w:r>
      <w:r w:rsidRPr="00934626">
        <w:t xml:space="preserve"> (2017). A thermostable presentation of the live, attenuated </w:t>
      </w:r>
      <w:proofErr w:type="spellStart"/>
      <w:r w:rsidRPr="00934626">
        <w:t>peste</w:t>
      </w:r>
      <w:proofErr w:type="spellEnd"/>
      <w:r w:rsidRPr="00934626">
        <w:t xml:space="preserve"> des petits ruminants vaccine in use in Africa and Asia. </w:t>
      </w:r>
      <w:r w:rsidRPr="00934626">
        <w:rPr>
          <w:i/>
        </w:rPr>
        <w:t>Vaccine</w:t>
      </w:r>
      <w:r w:rsidRPr="00934626">
        <w:t xml:space="preserve">, </w:t>
      </w:r>
      <w:r w:rsidRPr="00934626">
        <w:rPr>
          <w:b/>
        </w:rPr>
        <w:t>35</w:t>
      </w:r>
      <w:r w:rsidRPr="00934626">
        <w:t>, 3773</w:t>
      </w:r>
      <w:r w:rsidR="007A34CA" w:rsidRPr="00934626">
        <w:t>–</w:t>
      </w:r>
      <w:r w:rsidRPr="00934626">
        <w:t>3779.</w:t>
      </w:r>
    </w:p>
    <w:p w14:paraId="6320CF24" w14:textId="3330F638" w:rsidR="009C6B1C" w:rsidRPr="009238E8" w:rsidRDefault="007A34CA" w:rsidP="005E5FC3">
      <w:pPr>
        <w:pStyle w:val="Ref"/>
        <w:rPr>
          <w:lang w:val="es-ES"/>
        </w:rPr>
      </w:pPr>
      <w:r w:rsidRPr="00934626">
        <w:rPr>
          <w:smallCaps/>
          <w:lang w:val="en-US"/>
        </w:rPr>
        <w:t xml:space="preserve">Qin J., Huang H., </w:t>
      </w:r>
      <w:proofErr w:type="spellStart"/>
      <w:r w:rsidRPr="00934626">
        <w:rPr>
          <w:smallCaps/>
          <w:lang w:val="en-US"/>
        </w:rPr>
        <w:t>Ruan</w:t>
      </w:r>
      <w:proofErr w:type="spellEnd"/>
      <w:r w:rsidRPr="00934626">
        <w:rPr>
          <w:smallCaps/>
          <w:lang w:val="en-US"/>
        </w:rPr>
        <w:t xml:space="preserve"> Y., Hou X., Yang S., Wang C., Huang G., Wang T., Feng N., Gao Y. &amp; Xia </w:t>
      </w:r>
      <w:r w:rsidR="009C6B1C" w:rsidRPr="00934626">
        <w:rPr>
          <w:smallCaps/>
          <w:lang w:val="en-US"/>
        </w:rPr>
        <w:t xml:space="preserve">X. </w:t>
      </w:r>
      <w:r w:rsidRPr="00934626">
        <w:rPr>
          <w:lang w:val="en-US"/>
        </w:rPr>
        <w:t>(2012).</w:t>
      </w:r>
      <w:r w:rsidR="009C6B1C" w:rsidRPr="00934626">
        <w:rPr>
          <w:lang w:val="en-US"/>
        </w:rPr>
        <w:t xml:space="preserve"> A novel recombinant Peste des petits ruminants-canine adenovirus vaccine elicits long-lasting neutralizing antibody response against PPR in goats.</w:t>
      </w:r>
      <w:r w:rsidR="009C6B1C" w:rsidRPr="00934626">
        <w:rPr>
          <w:i/>
          <w:lang w:val="en-US"/>
        </w:rPr>
        <w:t xml:space="preserve"> </w:t>
      </w:r>
      <w:proofErr w:type="spellStart"/>
      <w:r w:rsidR="009C6B1C" w:rsidRPr="009238E8">
        <w:rPr>
          <w:i/>
          <w:lang w:val="es-ES"/>
        </w:rPr>
        <w:t>PLoS</w:t>
      </w:r>
      <w:proofErr w:type="spellEnd"/>
      <w:r w:rsidR="009C6B1C" w:rsidRPr="009238E8">
        <w:rPr>
          <w:i/>
          <w:lang w:val="es-ES"/>
        </w:rPr>
        <w:t xml:space="preserve"> ONE</w:t>
      </w:r>
      <w:r w:rsidR="009C6B1C" w:rsidRPr="009238E8">
        <w:rPr>
          <w:lang w:val="es-ES"/>
        </w:rPr>
        <w:t xml:space="preserve">, </w:t>
      </w:r>
      <w:r w:rsidR="009C6B1C" w:rsidRPr="009238E8">
        <w:rPr>
          <w:b/>
          <w:lang w:val="es-ES"/>
        </w:rPr>
        <w:t>7</w:t>
      </w:r>
      <w:r w:rsidR="009C6B1C" w:rsidRPr="009238E8">
        <w:rPr>
          <w:lang w:val="es-ES"/>
        </w:rPr>
        <w:t>, e37170.</w:t>
      </w:r>
    </w:p>
    <w:p w14:paraId="7CB790B6" w14:textId="3C7944A8" w:rsidR="009C6B1C" w:rsidRPr="00934626" w:rsidRDefault="009C6B1C" w:rsidP="009C6B1C">
      <w:pPr>
        <w:pStyle w:val="Ref"/>
        <w:rPr>
          <w:lang w:val="en-US"/>
        </w:rPr>
      </w:pPr>
      <w:r w:rsidRPr="009238E8">
        <w:rPr>
          <w:smallCaps/>
          <w:lang w:val="es-ES"/>
        </w:rPr>
        <w:t>Roj</w:t>
      </w:r>
      <w:r w:rsidR="007A34CA" w:rsidRPr="009238E8">
        <w:rPr>
          <w:smallCaps/>
          <w:lang w:val="es-ES"/>
        </w:rPr>
        <w:t xml:space="preserve">as J.M., Moreno H., </w:t>
      </w:r>
      <w:proofErr w:type="spellStart"/>
      <w:r w:rsidR="007A34CA" w:rsidRPr="009238E8">
        <w:rPr>
          <w:smallCaps/>
          <w:lang w:val="es-ES"/>
        </w:rPr>
        <w:t>Valcarcel</w:t>
      </w:r>
      <w:proofErr w:type="spellEnd"/>
      <w:r w:rsidRPr="009238E8">
        <w:rPr>
          <w:smallCaps/>
          <w:lang w:val="es-ES"/>
        </w:rPr>
        <w:t xml:space="preserve"> F.,</w:t>
      </w:r>
      <w:r w:rsidR="007A34CA" w:rsidRPr="009238E8">
        <w:rPr>
          <w:smallCaps/>
          <w:lang w:val="es-ES"/>
        </w:rPr>
        <w:t xml:space="preserve"> Pena L., Sevilla N. &amp; Martin</w:t>
      </w:r>
      <w:r w:rsidRPr="009238E8">
        <w:rPr>
          <w:smallCaps/>
          <w:lang w:val="es-ES"/>
        </w:rPr>
        <w:t xml:space="preserve"> V.</w:t>
      </w:r>
      <w:r w:rsidR="007A34CA" w:rsidRPr="009238E8">
        <w:rPr>
          <w:lang w:val="es-ES"/>
        </w:rPr>
        <w:t xml:space="preserve"> (2014). </w:t>
      </w:r>
      <w:r w:rsidRPr="00934626">
        <w:rPr>
          <w:lang w:val="en-US"/>
        </w:rPr>
        <w:t xml:space="preserve">Vaccination with recombinant adenoviruses expressing the </w:t>
      </w:r>
      <w:proofErr w:type="spellStart"/>
      <w:r w:rsidRPr="00934626">
        <w:rPr>
          <w:lang w:val="en-US"/>
        </w:rPr>
        <w:t>peste</w:t>
      </w:r>
      <w:proofErr w:type="spellEnd"/>
      <w:r w:rsidRPr="00934626">
        <w:rPr>
          <w:lang w:val="en-US"/>
        </w:rPr>
        <w:t xml:space="preserve"> des petits ruminants virus F or H proteins overcomes viral immunosuppression and induces protective immunity against PPRV challenge in sheep.</w:t>
      </w:r>
      <w:r w:rsidRPr="00934626">
        <w:rPr>
          <w:i/>
          <w:lang w:val="en-US"/>
        </w:rPr>
        <w:t xml:space="preserve"> </w:t>
      </w:r>
      <w:proofErr w:type="spellStart"/>
      <w:r w:rsidRPr="00934626">
        <w:rPr>
          <w:i/>
          <w:lang w:val="en-US"/>
        </w:rPr>
        <w:t>PLoS</w:t>
      </w:r>
      <w:proofErr w:type="spellEnd"/>
      <w:r w:rsidRPr="00934626">
        <w:rPr>
          <w:i/>
          <w:lang w:val="en-US"/>
        </w:rPr>
        <w:t xml:space="preserve"> ONE</w:t>
      </w:r>
      <w:r w:rsidRPr="00934626">
        <w:rPr>
          <w:lang w:val="en-US"/>
        </w:rPr>
        <w:t xml:space="preserve">, </w:t>
      </w:r>
      <w:r w:rsidRPr="00934626">
        <w:rPr>
          <w:b/>
          <w:lang w:val="en-US"/>
        </w:rPr>
        <w:t>9</w:t>
      </w:r>
      <w:r w:rsidRPr="00934626">
        <w:rPr>
          <w:lang w:val="en-US"/>
        </w:rPr>
        <w:t>, e101226.</w:t>
      </w:r>
    </w:p>
    <w:p w14:paraId="293780E4" w14:textId="77777777" w:rsidR="00431B81" w:rsidRPr="00934626" w:rsidRDefault="00431B81" w:rsidP="00604759">
      <w:pPr>
        <w:pStyle w:val="Ref"/>
      </w:pPr>
      <w:proofErr w:type="spellStart"/>
      <w:r w:rsidRPr="00934626">
        <w:rPr>
          <w:smallCaps/>
        </w:rPr>
        <w:t>Saliki</w:t>
      </w:r>
      <w:proofErr w:type="spellEnd"/>
      <w:r w:rsidRPr="00934626">
        <w:rPr>
          <w:smallCaps/>
        </w:rPr>
        <w:t xml:space="preserve"> J.T., Libeau G., House J.A., </w:t>
      </w:r>
      <w:proofErr w:type="spellStart"/>
      <w:r w:rsidRPr="00934626">
        <w:rPr>
          <w:smallCaps/>
        </w:rPr>
        <w:t>Mebus</w:t>
      </w:r>
      <w:proofErr w:type="spellEnd"/>
      <w:r w:rsidRPr="00934626">
        <w:rPr>
          <w:smallCaps/>
        </w:rPr>
        <w:t xml:space="preserve"> C.A. &amp; </w:t>
      </w:r>
      <w:proofErr w:type="spellStart"/>
      <w:r w:rsidRPr="00934626">
        <w:rPr>
          <w:smallCaps/>
        </w:rPr>
        <w:t>Dubovi</w:t>
      </w:r>
      <w:proofErr w:type="spellEnd"/>
      <w:r w:rsidRPr="00934626">
        <w:rPr>
          <w:smallCaps/>
        </w:rPr>
        <w:t xml:space="preserve"> E.J</w:t>
      </w:r>
      <w:r w:rsidRPr="00934626">
        <w:t xml:space="preserve">. (1993). Monoclonal antibody-based blocking enzyme-linked immunosorbent assay for specific detection and titration of </w:t>
      </w:r>
      <w:proofErr w:type="spellStart"/>
      <w:r w:rsidRPr="00934626">
        <w:t>peste</w:t>
      </w:r>
      <w:proofErr w:type="spellEnd"/>
      <w:r w:rsidRPr="00934626">
        <w:t xml:space="preserve">-des-petits ruminants virus antibody in caprine and ovine sera. </w:t>
      </w:r>
      <w:r w:rsidRPr="00934626">
        <w:rPr>
          <w:i/>
        </w:rPr>
        <w:t xml:space="preserve">J. Clin. </w:t>
      </w:r>
      <w:proofErr w:type="spellStart"/>
      <w:r w:rsidRPr="00934626">
        <w:rPr>
          <w:i/>
        </w:rPr>
        <w:t>Microbiol</w:t>
      </w:r>
      <w:proofErr w:type="spellEnd"/>
      <w:r w:rsidRPr="00934626">
        <w:rPr>
          <w:i/>
        </w:rPr>
        <w:t>.</w:t>
      </w:r>
      <w:r w:rsidRPr="00934626">
        <w:t xml:space="preserve">, </w:t>
      </w:r>
      <w:r w:rsidRPr="00934626">
        <w:rPr>
          <w:b/>
        </w:rPr>
        <w:t>31</w:t>
      </w:r>
      <w:r w:rsidRPr="00934626">
        <w:t>, 1075</w:t>
      </w:r>
      <w:r w:rsidR="00A66851" w:rsidRPr="00934626">
        <w:t>–</w:t>
      </w:r>
      <w:r w:rsidRPr="00934626">
        <w:t>1082.</w:t>
      </w:r>
    </w:p>
    <w:p w14:paraId="51587E86" w14:textId="7E88E1DB" w:rsidR="00765813" w:rsidRPr="00934626" w:rsidRDefault="00765813" w:rsidP="00EC0CC1">
      <w:pPr>
        <w:pStyle w:val="Ref"/>
        <w:rPr>
          <w:smallCaps/>
        </w:rPr>
      </w:pPr>
      <w:r w:rsidRPr="00934626">
        <w:rPr>
          <w:bCs/>
          <w:smallCaps/>
        </w:rPr>
        <w:t>Saravanan P.</w:t>
      </w:r>
      <w:r w:rsidRPr="00934626">
        <w:rPr>
          <w:smallCaps/>
        </w:rPr>
        <w:t xml:space="preserve">, Sen A., Balamurugan V., </w:t>
      </w:r>
      <w:proofErr w:type="spellStart"/>
      <w:r w:rsidRPr="00934626">
        <w:rPr>
          <w:smallCaps/>
        </w:rPr>
        <w:t>Rajak</w:t>
      </w:r>
      <w:proofErr w:type="spellEnd"/>
      <w:r w:rsidRPr="00934626">
        <w:rPr>
          <w:smallCaps/>
        </w:rPr>
        <w:t xml:space="preserve"> K.K., </w:t>
      </w:r>
      <w:proofErr w:type="spellStart"/>
      <w:r w:rsidRPr="00934626">
        <w:rPr>
          <w:smallCaps/>
        </w:rPr>
        <w:t>Bhanuprakash</w:t>
      </w:r>
      <w:proofErr w:type="spellEnd"/>
      <w:r w:rsidRPr="00934626">
        <w:rPr>
          <w:smallCaps/>
        </w:rPr>
        <w:t xml:space="preserve"> V., </w:t>
      </w:r>
      <w:proofErr w:type="spellStart"/>
      <w:r w:rsidRPr="00934626">
        <w:rPr>
          <w:smallCaps/>
        </w:rPr>
        <w:t>Palaniswami</w:t>
      </w:r>
      <w:proofErr w:type="spellEnd"/>
      <w:r w:rsidRPr="00934626">
        <w:rPr>
          <w:smallCaps/>
        </w:rPr>
        <w:t xml:space="preserve"> K.S., </w:t>
      </w:r>
      <w:proofErr w:type="spellStart"/>
      <w:r w:rsidRPr="00934626">
        <w:rPr>
          <w:smallCaps/>
        </w:rPr>
        <w:t>Nachimuthu</w:t>
      </w:r>
      <w:proofErr w:type="spellEnd"/>
      <w:r w:rsidRPr="00934626">
        <w:rPr>
          <w:smallCaps/>
        </w:rPr>
        <w:t xml:space="preserve"> K., </w:t>
      </w:r>
      <w:proofErr w:type="spellStart"/>
      <w:r w:rsidRPr="00934626">
        <w:rPr>
          <w:smallCaps/>
        </w:rPr>
        <w:t>Thangavelu</w:t>
      </w:r>
      <w:proofErr w:type="spellEnd"/>
      <w:r w:rsidRPr="00934626">
        <w:rPr>
          <w:smallCaps/>
        </w:rPr>
        <w:t xml:space="preserve"> A., </w:t>
      </w:r>
      <w:proofErr w:type="spellStart"/>
      <w:r w:rsidRPr="00934626">
        <w:rPr>
          <w:smallCaps/>
        </w:rPr>
        <w:t>Dhinakarraj</w:t>
      </w:r>
      <w:proofErr w:type="spellEnd"/>
      <w:r w:rsidRPr="00934626">
        <w:rPr>
          <w:smallCaps/>
        </w:rPr>
        <w:t xml:space="preserve"> G., Hegde R. &amp; Singh R.K. </w:t>
      </w:r>
      <w:r w:rsidRPr="00934626">
        <w:t>(2010</w:t>
      </w:r>
      <w:r w:rsidR="00191FD9" w:rsidRPr="00934626">
        <w:t>a</w:t>
      </w:r>
      <w:r w:rsidRPr="00934626">
        <w:t xml:space="preserve">). Comparative efficacy of </w:t>
      </w:r>
      <w:proofErr w:type="spellStart"/>
      <w:r w:rsidRPr="00934626">
        <w:t>peste</w:t>
      </w:r>
      <w:proofErr w:type="spellEnd"/>
      <w:r w:rsidRPr="00934626">
        <w:t xml:space="preserve"> des petits ruminants (PPR) vaccines</w:t>
      </w:r>
      <w:r w:rsidRPr="00934626">
        <w:rPr>
          <w:smallCaps/>
        </w:rPr>
        <w:t>.</w:t>
      </w:r>
      <w:r w:rsidR="006F067D" w:rsidRPr="00934626">
        <w:rPr>
          <w:smallCaps/>
        </w:rPr>
        <w:t xml:space="preserve"> </w:t>
      </w:r>
      <w:r w:rsidRPr="00934626">
        <w:rPr>
          <w:i/>
        </w:rPr>
        <w:t>Biologicals</w:t>
      </w:r>
      <w:r w:rsidRPr="00934626">
        <w:rPr>
          <w:smallCaps/>
        </w:rPr>
        <w:t xml:space="preserve">, </w:t>
      </w:r>
      <w:r w:rsidRPr="00934626">
        <w:rPr>
          <w:b/>
          <w:smallCaps/>
        </w:rPr>
        <w:t>38</w:t>
      </w:r>
      <w:r w:rsidRPr="00934626">
        <w:rPr>
          <w:smallCaps/>
        </w:rPr>
        <w:t>, 479–485.</w:t>
      </w:r>
    </w:p>
    <w:p w14:paraId="6953F02F" w14:textId="1B82FC16" w:rsidR="00642906" w:rsidRPr="00934626" w:rsidRDefault="00191FD9" w:rsidP="00EC0CC1">
      <w:pPr>
        <w:pStyle w:val="Ref"/>
        <w:rPr>
          <w:lang w:val="en-US"/>
        </w:rPr>
      </w:pPr>
      <w:r w:rsidRPr="00934626">
        <w:rPr>
          <w:smallCaps/>
          <w:lang w:val="en-US"/>
        </w:rPr>
        <w:t xml:space="preserve">Saravanan P., Balamurugan V., Sen A., </w:t>
      </w:r>
      <w:proofErr w:type="spellStart"/>
      <w:r w:rsidRPr="00934626">
        <w:rPr>
          <w:smallCaps/>
          <w:lang w:val="en-US"/>
        </w:rPr>
        <w:t>Sreenivasa</w:t>
      </w:r>
      <w:proofErr w:type="spellEnd"/>
      <w:r w:rsidRPr="00934626">
        <w:rPr>
          <w:smallCaps/>
          <w:lang w:val="en-US"/>
        </w:rPr>
        <w:t xml:space="preserve"> B.P., Singh</w:t>
      </w:r>
      <w:r w:rsidR="00642906" w:rsidRPr="00934626">
        <w:rPr>
          <w:smallCaps/>
          <w:lang w:val="en-US"/>
        </w:rPr>
        <w:t xml:space="preserve"> R.P., Bandyopadhyay S.K.</w:t>
      </w:r>
      <w:r w:rsidRPr="00934626">
        <w:rPr>
          <w:smallCaps/>
          <w:lang w:val="en-US"/>
        </w:rPr>
        <w:t xml:space="preserve"> &amp;</w:t>
      </w:r>
      <w:r w:rsidR="00642906" w:rsidRPr="00934626">
        <w:rPr>
          <w:smallCaps/>
          <w:lang w:val="en-US"/>
        </w:rPr>
        <w:t xml:space="preserve"> Singh, R.K</w:t>
      </w:r>
      <w:r w:rsidR="00642906" w:rsidRPr="00934626">
        <w:rPr>
          <w:lang w:val="en-US"/>
        </w:rPr>
        <w:t>. (2010</w:t>
      </w:r>
      <w:r w:rsidRPr="00934626">
        <w:rPr>
          <w:lang w:val="en-US"/>
        </w:rPr>
        <w:t>b</w:t>
      </w:r>
      <w:r w:rsidR="00642906" w:rsidRPr="00934626">
        <w:rPr>
          <w:lang w:val="en-US"/>
        </w:rPr>
        <w:t xml:space="preserve">). Immune response of goats to a </w:t>
      </w:r>
      <w:r w:rsidRPr="00934626">
        <w:rPr>
          <w:lang w:val="en-US"/>
        </w:rPr>
        <w:t>Vero</w:t>
      </w:r>
      <w:r w:rsidR="00642906" w:rsidRPr="00934626">
        <w:rPr>
          <w:lang w:val="en-US"/>
        </w:rPr>
        <w:t xml:space="preserve"> cell adapted live attenuated homologous PPR vaccine. </w:t>
      </w:r>
      <w:r w:rsidR="00642906" w:rsidRPr="00934626">
        <w:rPr>
          <w:i/>
          <w:lang w:val="en-US"/>
        </w:rPr>
        <w:t xml:space="preserve">Indian Vet. J. </w:t>
      </w:r>
      <w:r w:rsidR="00642906" w:rsidRPr="00934626">
        <w:rPr>
          <w:b/>
          <w:lang w:val="en-US"/>
        </w:rPr>
        <w:t>87</w:t>
      </w:r>
      <w:r w:rsidR="00642906" w:rsidRPr="00934626">
        <w:rPr>
          <w:lang w:val="en-US"/>
        </w:rPr>
        <w:t>, 1</w:t>
      </w:r>
      <w:r w:rsidRPr="00934626">
        <w:rPr>
          <w:lang w:val="en-US"/>
        </w:rPr>
        <w:t>–</w:t>
      </w:r>
      <w:r w:rsidR="00642906" w:rsidRPr="00934626">
        <w:rPr>
          <w:lang w:val="en-US"/>
        </w:rPr>
        <w:t>3.</w:t>
      </w:r>
    </w:p>
    <w:p w14:paraId="4AFAB066" w14:textId="5A71444D" w:rsidR="00C87073" w:rsidRPr="00934626" w:rsidRDefault="00C87073" w:rsidP="00EC0CC1">
      <w:pPr>
        <w:pStyle w:val="Ref"/>
      </w:pPr>
      <w:r w:rsidRPr="00934626">
        <w:rPr>
          <w:smallCaps/>
        </w:rPr>
        <w:t>Saravanan P</w:t>
      </w:r>
      <w:r w:rsidR="001D1F32" w:rsidRPr="00934626">
        <w:rPr>
          <w:smallCaps/>
        </w:rPr>
        <w:t>.</w:t>
      </w:r>
      <w:r w:rsidRPr="00934626">
        <w:rPr>
          <w:smallCaps/>
        </w:rPr>
        <w:t>, Singh R</w:t>
      </w:r>
      <w:r w:rsidR="001D1F32" w:rsidRPr="00934626">
        <w:rPr>
          <w:smallCaps/>
        </w:rPr>
        <w:t>.</w:t>
      </w:r>
      <w:r w:rsidRPr="00934626">
        <w:rPr>
          <w:smallCaps/>
        </w:rPr>
        <w:t>P</w:t>
      </w:r>
      <w:r w:rsidR="001D1F32" w:rsidRPr="00934626">
        <w:rPr>
          <w:smallCaps/>
        </w:rPr>
        <w:t>.</w:t>
      </w:r>
      <w:r w:rsidRPr="00934626">
        <w:rPr>
          <w:smallCaps/>
        </w:rPr>
        <w:t>, Balamurugan V</w:t>
      </w:r>
      <w:r w:rsidR="001D1F32" w:rsidRPr="00934626">
        <w:rPr>
          <w:smallCaps/>
        </w:rPr>
        <w:t>.</w:t>
      </w:r>
      <w:r w:rsidRPr="00934626">
        <w:rPr>
          <w:smallCaps/>
        </w:rPr>
        <w:t>, Dhar P</w:t>
      </w:r>
      <w:r w:rsidR="001D1F32" w:rsidRPr="00934626">
        <w:rPr>
          <w:smallCaps/>
        </w:rPr>
        <w:t>.</w:t>
      </w:r>
      <w:r w:rsidRPr="00934626">
        <w:rPr>
          <w:smallCaps/>
        </w:rPr>
        <w:t xml:space="preserve">, </w:t>
      </w:r>
      <w:proofErr w:type="spellStart"/>
      <w:r w:rsidRPr="00934626">
        <w:rPr>
          <w:smallCaps/>
        </w:rPr>
        <w:t>Sreenivasa</w:t>
      </w:r>
      <w:proofErr w:type="spellEnd"/>
      <w:r w:rsidRPr="00934626">
        <w:rPr>
          <w:smallCaps/>
        </w:rPr>
        <w:t xml:space="preserve"> B</w:t>
      </w:r>
      <w:r w:rsidR="001D1F32" w:rsidRPr="00934626">
        <w:rPr>
          <w:smallCaps/>
        </w:rPr>
        <w:t>.</w:t>
      </w:r>
      <w:r w:rsidRPr="00934626">
        <w:rPr>
          <w:smallCaps/>
        </w:rPr>
        <w:t>P</w:t>
      </w:r>
      <w:r w:rsidR="001D1F32" w:rsidRPr="00934626">
        <w:rPr>
          <w:smallCaps/>
        </w:rPr>
        <w:t>.</w:t>
      </w:r>
      <w:r w:rsidRPr="00934626">
        <w:rPr>
          <w:smallCaps/>
        </w:rPr>
        <w:t xml:space="preserve">, </w:t>
      </w:r>
      <w:proofErr w:type="spellStart"/>
      <w:r w:rsidRPr="00934626">
        <w:rPr>
          <w:smallCaps/>
        </w:rPr>
        <w:t>Muthuchelvan</w:t>
      </w:r>
      <w:proofErr w:type="spellEnd"/>
      <w:r w:rsidRPr="00934626">
        <w:rPr>
          <w:smallCaps/>
        </w:rPr>
        <w:t xml:space="preserve"> D</w:t>
      </w:r>
      <w:r w:rsidR="001D1F32" w:rsidRPr="00934626">
        <w:rPr>
          <w:smallCaps/>
        </w:rPr>
        <w:t>.</w:t>
      </w:r>
      <w:r w:rsidRPr="00934626">
        <w:rPr>
          <w:smallCaps/>
        </w:rPr>
        <w:t>, Sen A</w:t>
      </w:r>
      <w:r w:rsidR="001D1F32" w:rsidRPr="00934626">
        <w:rPr>
          <w:smallCaps/>
        </w:rPr>
        <w:t>.</w:t>
      </w:r>
      <w:r w:rsidRPr="00934626">
        <w:rPr>
          <w:smallCaps/>
        </w:rPr>
        <w:t xml:space="preserve">, </w:t>
      </w:r>
      <w:proofErr w:type="spellStart"/>
      <w:r w:rsidRPr="00934626">
        <w:rPr>
          <w:smallCaps/>
        </w:rPr>
        <w:t>Aleyas</w:t>
      </w:r>
      <w:proofErr w:type="spellEnd"/>
      <w:r w:rsidRPr="00934626">
        <w:rPr>
          <w:smallCaps/>
        </w:rPr>
        <w:t xml:space="preserve"> A</w:t>
      </w:r>
      <w:r w:rsidR="001D1F32" w:rsidRPr="00934626">
        <w:rPr>
          <w:smallCaps/>
        </w:rPr>
        <w:t>.</w:t>
      </w:r>
      <w:r w:rsidRPr="00934626">
        <w:rPr>
          <w:smallCaps/>
        </w:rPr>
        <w:t>G</w:t>
      </w:r>
      <w:r w:rsidR="001D1F32" w:rsidRPr="00934626">
        <w:rPr>
          <w:smallCaps/>
        </w:rPr>
        <w:t>.</w:t>
      </w:r>
      <w:r w:rsidRPr="00934626">
        <w:rPr>
          <w:smallCaps/>
        </w:rPr>
        <w:t>, Singh R</w:t>
      </w:r>
      <w:r w:rsidR="001D1F32" w:rsidRPr="00934626">
        <w:rPr>
          <w:smallCaps/>
        </w:rPr>
        <w:t>.</w:t>
      </w:r>
      <w:r w:rsidRPr="00934626">
        <w:rPr>
          <w:smallCaps/>
        </w:rPr>
        <w:t>K</w:t>
      </w:r>
      <w:r w:rsidR="001D1F32" w:rsidRPr="00934626">
        <w:rPr>
          <w:smallCaps/>
        </w:rPr>
        <w:t>. &amp;</w:t>
      </w:r>
      <w:r w:rsidRPr="00934626">
        <w:rPr>
          <w:smallCaps/>
        </w:rPr>
        <w:t xml:space="preserve"> Bandyopadhyay S</w:t>
      </w:r>
      <w:r w:rsidR="001D1F32" w:rsidRPr="00934626">
        <w:rPr>
          <w:smallCaps/>
        </w:rPr>
        <w:t>.</w:t>
      </w:r>
      <w:r w:rsidRPr="00934626">
        <w:rPr>
          <w:smallCaps/>
        </w:rPr>
        <w:t>K. (</w:t>
      </w:r>
      <w:r w:rsidRPr="00934626">
        <w:t>2004). Development of a</w:t>
      </w:r>
      <w:r w:rsidR="00AB2936" w:rsidRPr="00934626">
        <w:t>n</w:t>
      </w:r>
      <w:r w:rsidRPr="00934626">
        <w:t xml:space="preserve"> N gene-based PCR-ELISA for detection of Peste-des-petits-ruminants virus in clinical samples. </w:t>
      </w:r>
      <w:r w:rsidRPr="00934626">
        <w:rPr>
          <w:i/>
          <w:iCs/>
        </w:rPr>
        <w:t xml:space="preserve">Acta </w:t>
      </w:r>
      <w:proofErr w:type="spellStart"/>
      <w:r w:rsidRPr="00934626">
        <w:rPr>
          <w:i/>
          <w:iCs/>
        </w:rPr>
        <w:t>Virol</w:t>
      </w:r>
      <w:proofErr w:type="spellEnd"/>
      <w:r w:rsidRPr="00934626">
        <w:rPr>
          <w:i/>
          <w:iCs/>
        </w:rPr>
        <w:t xml:space="preserve">., </w:t>
      </w:r>
      <w:r w:rsidRPr="00934626">
        <w:rPr>
          <w:b/>
          <w:bCs/>
        </w:rPr>
        <w:t>48</w:t>
      </w:r>
      <w:r w:rsidRPr="00934626">
        <w:t>, 249</w:t>
      </w:r>
      <w:r w:rsidR="001D1F32" w:rsidRPr="00934626">
        <w:t>–</w:t>
      </w:r>
      <w:r w:rsidRPr="00934626">
        <w:t>255.</w:t>
      </w:r>
    </w:p>
    <w:p w14:paraId="0E4E0B1B" w14:textId="247B5774" w:rsidR="00765813" w:rsidRPr="00934626" w:rsidRDefault="00765813" w:rsidP="00EC0CC1">
      <w:pPr>
        <w:pStyle w:val="Ref"/>
      </w:pPr>
      <w:r w:rsidRPr="00934626">
        <w:rPr>
          <w:smallCaps/>
        </w:rPr>
        <w:t xml:space="preserve">Sarkar J., </w:t>
      </w:r>
      <w:proofErr w:type="spellStart"/>
      <w:r w:rsidRPr="00934626">
        <w:rPr>
          <w:smallCaps/>
        </w:rPr>
        <w:t>Sreenivasa</w:t>
      </w:r>
      <w:proofErr w:type="spellEnd"/>
      <w:r w:rsidRPr="00934626">
        <w:rPr>
          <w:smallCaps/>
        </w:rPr>
        <w:t xml:space="preserve"> B.P., Singh R.P., Dhar P. &amp; Bandyopadhyay S.K.</w:t>
      </w:r>
      <w:r w:rsidRPr="00934626">
        <w:t xml:space="preserve"> (2003). Comparative efficacy of various chemical stabilizers on the thermostability of a live-attenuated </w:t>
      </w:r>
      <w:proofErr w:type="spellStart"/>
      <w:r w:rsidRPr="00934626">
        <w:t>peste</w:t>
      </w:r>
      <w:proofErr w:type="spellEnd"/>
      <w:r w:rsidRPr="00934626">
        <w:t xml:space="preserve"> des petits ruminants (PPR) vaccine. </w:t>
      </w:r>
      <w:r w:rsidRPr="00934626">
        <w:rPr>
          <w:i/>
        </w:rPr>
        <w:t>Vaccine,</w:t>
      </w:r>
      <w:r w:rsidRPr="00934626">
        <w:t xml:space="preserve"> </w:t>
      </w:r>
      <w:r w:rsidRPr="00934626">
        <w:rPr>
          <w:b/>
        </w:rPr>
        <w:t>21</w:t>
      </w:r>
      <w:r w:rsidRPr="00934626">
        <w:t>, 4728–4735.</w:t>
      </w:r>
    </w:p>
    <w:p w14:paraId="70A07E2C" w14:textId="3C10D700" w:rsidR="00845EA7" w:rsidRPr="00934626" w:rsidRDefault="006E3BC1" w:rsidP="00EC0CC1">
      <w:pPr>
        <w:pStyle w:val="Ref"/>
      </w:pPr>
      <w:r w:rsidRPr="00934626">
        <w:rPr>
          <w:smallCaps/>
        </w:rPr>
        <w:t xml:space="preserve">Sen A., Saravanan P., Balamurugan V., </w:t>
      </w:r>
      <w:proofErr w:type="spellStart"/>
      <w:r w:rsidRPr="00934626">
        <w:rPr>
          <w:smallCaps/>
        </w:rPr>
        <w:t>Rajak</w:t>
      </w:r>
      <w:proofErr w:type="spellEnd"/>
      <w:r w:rsidRPr="00934626">
        <w:rPr>
          <w:smallCaps/>
        </w:rPr>
        <w:t xml:space="preserve"> K. K., Sudhakar S. B., </w:t>
      </w:r>
      <w:proofErr w:type="spellStart"/>
      <w:r w:rsidRPr="00934626">
        <w:rPr>
          <w:smallCaps/>
        </w:rPr>
        <w:t>Bhanuprakash</w:t>
      </w:r>
      <w:proofErr w:type="spellEnd"/>
      <w:r w:rsidRPr="00934626">
        <w:rPr>
          <w:smallCaps/>
        </w:rPr>
        <w:t xml:space="preserve"> V., </w:t>
      </w:r>
      <w:proofErr w:type="spellStart"/>
      <w:r w:rsidRPr="00934626">
        <w:rPr>
          <w:smallCaps/>
        </w:rPr>
        <w:t>Parida</w:t>
      </w:r>
      <w:proofErr w:type="spellEnd"/>
      <w:r w:rsidRPr="00934626">
        <w:rPr>
          <w:smallCaps/>
        </w:rPr>
        <w:t xml:space="preserve"> S. &amp; Singh R. K. </w:t>
      </w:r>
      <w:r w:rsidRPr="00934626">
        <w:t xml:space="preserve">(2010). Vaccines against </w:t>
      </w:r>
      <w:proofErr w:type="spellStart"/>
      <w:r w:rsidRPr="00934626">
        <w:t>peste</w:t>
      </w:r>
      <w:proofErr w:type="spellEnd"/>
      <w:r w:rsidRPr="00934626">
        <w:t xml:space="preserve"> des petits ruminants virus. </w:t>
      </w:r>
      <w:r w:rsidRPr="00934626">
        <w:rPr>
          <w:i/>
        </w:rPr>
        <w:t>Expert Rev. Vaccines</w:t>
      </w:r>
      <w:r w:rsidRPr="00934626">
        <w:t xml:space="preserve">, </w:t>
      </w:r>
      <w:r w:rsidRPr="00934626">
        <w:rPr>
          <w:b/>
        </w:rPr>
        <w:t>9</w:t>
      </w:r>
      <w:r w:rsidRPr="00934626">
        <w:t>, 785–796.</w:t>
      </w:r>
    </w:p>
    <w:p w14:paraId="6609DD07" w14:textId="753F2E95" w:rsidR="00845EA7" w:rsidRPr="00934626" w:rsidRDefault="007A34CA" w:rsidP="00EC0CC1">
      <w:pPr>
        <w:pStyle w:val="Ref"/>
        <w:rPr>
          <w:smallCaps/>
        </w:rPr>
      </w:pPr>
      <w:r w:rsidRPr="00934626">
        <w:rPr>
          <w:smallCaps/>
          <w:lang w:val="pt-BR"/>
        </w:rPr>
        <w:t>Silva A.C., Carrondo M.J. &amp; Alves</w:t>
      </w:r>
      <w:r w:rsidR="00845EA7" w:rsidRPr="00934626">
        <w:rPr>
          <w:smallCaps/>
          <w:lang w:val="pt-BR"/>
        </w:rPr>
        <w:t xml:space="preserve"> P.M. (2011). </w:t>
      </w:r>
      <w:r w:rsidR="00845EA7" w:rsidRPr="00934626">
        <w:t xml:space="preserve">Strategies for improved stability of </w:t>
      </w:r>
      <w:proofErr w:type="spellStart"/>
      <w:r w:rsidRPr="00934626">
        <w:t>peste</w:t>
      </w:r>
      <w:proofErr w:type="spellEnd"/>
      <w:r w:rsidRPr="00934626">
        <w:t xml:space="preserve"> des petits ruminants vaccine</w:t>
      </w:r>
      <w:r w:rsidR="00845EA7" w:rsidRPr="00934626">
        <w:t xml:space="preserve">. </w:t>
      </w:r>
      <w:r w:rsidR="00845EA7" w:rsidRPr="00934626">
        <w:rPr>
          <w:i/>
        </w:rPr>
        <w:t>Vaccine</w:t>
      </w:r>
      <w:r w:rsidR="00845EA7" w:rsidRPr="00934626">
        <w:t>,</w:t>
      </w:r>
      <w:r w:rsidR="00845EA7" w:rsidRPr="00934626">
        <w:rPr>
          <w:smallCaps/>
        </w:rPr>
        <w:t xml:space="preserve"> </w:t>
      </w:r>
      <w:r w:rsidR="00845EA7" w:rsidRPr="00934626">
        <w:rPr>
          <w:b/>
          <w:smallCaps/>
        </w:rPr>
        <w:t>29</w:t>
      </w:r>
      <w:r w:rsidR="00845EA7" w:rsidRPr="00934626">
        <w:rPr>
          <w:smallCaps/>
        </w:rPr>
        <w:t>, 4983</w:t>
      </w:r>
      <w:r w:rsidRPr="00934626">
        <w:rPr>
          <w:smallCaps/>
        </w:rPr>
        <w:t>–49</w:t>
      </w:r>
      <w:r w:rsidR="00845EA7" w:rsidRPr="00934626">
        <w:rPr>
          <w:smallCaps/>
        </w:rPr>
        <w:t>91.</w:t>
      </w:r>
    </w:p>
    <w:p w14:paraId="7A546F0B" w14:textId="77777777" w:rsidR="00EA0490" w:rsidRPr="00934626" w:rsidRDefault="00EA0490" w:rsidP="00B06BC0">
      <w:pPr>
        <w:pStyle w:val="Ref"/>
      </w:pPr>
      <w:r w:rsidRPr="00934626">
        <w:rPr>
          <w:smallCaps/>
        </w:rPr>
        <w:t>Singh R.P., Sreenivas B.P., Dhar P.</w:t>
      </w:r>
      <w:r w:rsidR="00EC0CC1" w:rsidRPr="00934626">
        <w:rPr>
          <w:smallCaps/>
        </w:rPr>
        <w:t xml:space="preserve"> &amp;</w:t>
      </w:r>
      <w:r w:rsidRPr="00934626">
        <w:rPr>
          <w:smallCaps/>
        </w:rPr>
        <w:t xml:space="preserve"> Bandyopadhyay S.K.</w:t>
      </w:r>
      <w:r w:rsidRPr="00934626">
        <w:t xml:space="preserve"> (2004) .A sandwich-ELISA for the diagnosis of Peste des petits ruminants (PPR) infection in small ruminants using anti-nucleocapsid protein monoclonal antibody. </w:t>
      </w:r>
      <w:r w:rsidRPr="00934626">
        <w:rPr>
          <w:i/>
        </w:rPr>
        <w:t>Arch</w:t>
      </w:r>
      <w:r w:rsidR="00EC0CC1" w:rsidRPr="00934626">
        <w:rPr>
          <w:i/>
        </w:rPr>
        <w:t>.</w:t>
      </w:r>
      <w:r w:rsidRPr="00934626">
        <w:rPr>
          <w:i/>
        </w:rPr>
        <w:t xml:space="preserve"> </w:t>
      </w:r>
      <w:proofErr w:type="spellStart"/>
      <w:r w:rsidRPr="00934626">
        <w:rPr>
          <w:i/>
        </w:rPr>
        <w:t>Virol</w:t>
      </w:r>
      <w:proofErr w:type="spellEnd"/>
      <w:r w:rsidRPr="00934626">
        <w:t>.</w:t>
      </w:r>
      <w:r w:rsidR="00EC0CC1" w:rsidRPr="00934626">
        <w:t>,</w:t>
      </w:r>
      <w:r w:rsidRPr="00934626">
        <w:t xml:space="preserve"> </w:t>
      </w:r>
      <w:r w:rsidRPr="00934626">
        <w:rPr>
          <w:b/>
        </w:rPr>
        <w:t>149</w:t>
      </w:r>
      <w:r w:rsidRPr="00934626">
        <w:t>, 2155</w:t>
      </w:r>
      <w:r w:rsidR="00EC0CC1" w:rsidRPr="00934626">
        <w:t>–21</w:t>
      </w:r>
      <w:r w:rsidRPr="00934626">
        <w:t>70</w:t>
      </w:r>
      <w:r w:rsidR="00884747" w:rsidRPr="00934626">
        <w:t>.</w:t>
      </w:r>
    </w:p>
    <w:p w14:paraId="1434ECFD" w14:textId="374A145D" w:rsidR="009C6B1C" w:rsidRPr="00934626" w:rsidRDefault="007A34CA" w:rsidP="009C6B1C">
      <w:pPr>
        <w:pStyle w:val="Ref"/>
        <w:rPr>
          <w:lang w:val="en-US"/>
        </w:rPr>
      </w:pPr>
      <w:r w:rsidRPr="0092519D">
        <w:rPr>
          <w:smallCaps/>
        </w:rPr>
        <w:t>Wang Y., Liu G., Chen Z., Li C., Shi L., Li W., Huang H., Tao C., Cheng C., Xu B. &amp; Li</w:t>
      </w:r>
      <w:r w:rsidR="009C6B1C" w:rsidRPr="0092519D">
        <w:rPr>
          <w:smallCaps/>
        </w:rPr>
        <w:t xml:space="preserve"> G.</w:t>
      </w:r>
      <w:r w:rsidRPr="0092519D">
        <w:t xml:space="preserve"> (2013). </w:t>
      </w:r>
      <w:r w:rsidR="009C6B1C" w:rsidRPr="00934626">
        <w:rPr>
          <w:lang w:val="en-US"/>
        </w:rPr>
        <w:t xml:space="preserve">Recombinant adenovirus expressing F and H fusion proteins of </w:t>
      </w:r>
      <w:proofErr w:type="spellStart"/>
      <w:r w:rsidR="009C6B1C" w:rsidRPr="00934626">
        <w:rPr>
          <w:lang w:val="en-US"/>
        </w:rPr>
        <w:t>peste</w:t>
      </w:r>
      <w:proofErr w:type="spellEnd"/>
      <w:r w:rsidR="009C6B1C" w:rsidRPr="00934626">
        <w:rPr>
          <w:lang w:val="en-US"/>
        </w:rPr>
        <w:t xml:space="preserve"> des petits ruminants virus induces both humoral and cell-mediated immune responses in goats.</w:t>
      </w:r>
      <w:r w:rsidR="009C6B1C" w:rsidRPr="00934626">
        <w:rPr>
          <w:i/>
          <w:lang w:val="en-US"/>
        </w:rPr>
        <w:t xml:space="preserve"> Vet. Immunol. </w:t>
      </w:r>
      <w:proofErr w:type="spellStart"/>
      <w:r w:rsidR="009C6B1C" w:rsidRPr="00934626">
        <w:rPr>
          <w:i/>
          <w:lang w:val="en-US"/>
        </w:rPr>
        <w:t>Immunopathol</w:t>
      </w:r>
      <w:proofErr w:type="spellEnd"/>
      <w:r w:rsidR="009C6B1C" w:rsidRPr="00934626">
        <w:rPr>
          <w:i/>
          <w:lang w:val="en-US"/>
        </w:rPr>
        <w:t>.</w:t>
      </w:r>
      <w:r w:rsidR="009C6B1C" w:rsidRPr="00934626">
        <w:rPr>
          <w:lang w:val="en-US"/>
        </w:rPr>
        <w:t xml:space="preserve">, </w:t>
      </w:r>
      <w:r w:rsidR="009C6B1C" w:rsidRPr="00934626">
        <w:rPr>
          <w:b/>
          <w:lang w:val="en-US"/>
        </w:rPr>
        <w:t>154</w:t>
      </w:r>
      <w:r w:rsidR="009C6B1C" w:rsidRPr="00934626">
        <w:rPr>
          <w:lang w:val="en-US"/>
        </w:rPr>
        <w:t>, 1</w:t>
      </w:r>
      <w:r w:rsidRPr="00934626">
        <w:rPr>
          <w:lang w:val="en-US"/>
        </w:rPr>
        <w:t>–</w:t>
      </w:r>
      <w:r w:rsidR="009C6B1C" w:rsidRPr="00934626">
        <w:rPr>
          <w:lang w:val="en-US"/>
        </w:rPr>
        <w:t>7.</w:t>
      </w:r>
    </w:p>
    <w:p w14:paraId="2FFBF98B" w14:textId="0FBB3A5B" w:rsidR="005E612F" w:rsidRPr="00934626" w:rsidRDefault="00191FD9" w:rsidP="009C6B1C">
      <w:pPr>
        <w:pStyle w:val="Ref"/>
        <w:rPr>
          <w:lang w:val="en-US"/>
        </w:rPr>
      </w:pPr>
      <w:proofErr w:type="spellStart"/>
      <w:r w:rsidRPr="00934626">
        <w:rPr>
          <w:smallCaps/>
          <w:lang w:val="en-US"/>
        </w:rPr>
        <w:t>Zahur</w:t>
      </w:r>
      <w:proofErr w:type="spellEnd"/>
      <w:r w:rsidRPr="00934626">
        <w:rPr>
          <w:smallCaps/>
          <w:lang w:val="en-US"/>
        </w:rPr>
        <w:t xml:space="preserve"> A.B., Irshad H., Ullah A., Afzal</w:t>
      </w:r>
      <w:r w:rsidR="005E612F" w:rsidRPr="00934626">
        <w:rPr>
          <w:smallCaps/>
          <w:lang w:val="en-US"/>
        </w:rPr>
        <w:t xml:space="preserve"> M., Latif A., Ullah R.W., Farooq</w:t>
      </w:r>
      <w:r w:rsidRPr="00934626">
        <w:rPr>
          <w:smallCaps/>
          <w:lang w:val="en-US"/>
        </w:rPr>
        <w:t xml:space="preserve"> U., </w:t>
      </w:r>
      <w:proofErr w:type="spellStart"/>
      <w:r w:rsidRPr="00934626">
        <w:rPr>
          <w:smallCaps/>
          <w:lang w:val="en-US"/>
        </w:rPr>
        <w:t>Samo</w:t>
      </w:r>
      <w:proofErr w:type="spellEnd"/>
      <w:r w:rsidRPr="00934626">
        <w:rPr>
          <w:smallCaps/>
          <w:lang w:val="en-US"/>
        </w:rPr>
        <w:t xml:space="preserve"> M.H., Ferrari</w:t>
      </w:r>
      <w:r w:rsidR="005E612F" w:rsidRPr="00934626">
        <w:rPr>
          <w:smallCaps/>
          <w:lang w:val="en-US"/>
        </w:rPr>
        <w:t xml:space="preserve"> M.J., Hussain, M.</w:t>
      </w:r>
      <w:r w:rsidRPr="00934626">
        <w:rPr>
          <w:smallCaps/>
          <w:lang w:val="en-US"/>
        </w:rPr>
        <w:t xml:space="preserve"> &amp;</w:t>
      </w:r>
      <w:r w:rsidR="005E612F" w:rsidRPr="00934626">
        <w:rPr>
          <w:smallCaps/>
          <w:lang w:val="en-US"/>
        </w:rPr>
        <w:t xml:space="preserve"> Ahmad M.M.</w:t>
      </w:r>
      <w:r w:rsidR="005E612F" w:rsidRPr="00934626">
        <w:rPr>
          <w:lang w:val="en-US"/>
        </w:rPr>
        <w:t xml:space="preserve"> </w:t>
      </w:r>
      <w:r w:rsidR="00642906" w:rsidRPr="00934626">
        <w:rPr>
          <w:lang w:val="en-US"/>
        </w:rPr>
        <w:t>(</w:t>
      </w:r>
      <w:r w:rsidR="005E612F" w:rsidRPr="00934626">
        <w:rPr>
          <w:lang w:val="en-US"/>
        </w:rPr>
        <w:t>2014</w:t>
      </w:r>
      <w:r w:rsidR="00642906" w:rsidRPr="00934626">
        <w:rPr>
          <w:lang w:val="en-US"/>
        </w:rPr>
        <w:t>).</w:t>
      </w:r>
      <w:r w:rsidR="005E612F" w:rsidRPr="00934626">
        <w:rPr>
          <w:lang w:val="en-US"/>
        </w:rPr>
        <w:t xml:space="preserve"> Peste des Petits Ruminants Vaccine (Nigerian Strain 75/1) Confers Protection for at Least 3 Years in Sheep and Goats. </w:t>
      </w:r>
      <w:r w:rsidR="005E612F" w:rsidRPr="00934626">
        <w:rPr>
          <w:i/>
          <w:lang w:val="en-US"/>
        </w:rPr>
        <w:t>J</w:t>
      </w:r>
      <w:r w:rsidRPr="00934626">
        <w:rPr>
          <w:i/>
          <w:lang w:val="en-US"/>
        </w:rPr>
        <w:t>.</w:t>
      </w:r>
      <w:r w:rsidR="005E612F" w:rsidRPr="00934626">
        <w:rPr>
          <w:i/>
          <w:lang w:val="en-US"/>
        </w:rPr>
        <w:t xml:space="preserve"> </w:t>
      </w:r>
      <w:proofErr w:type="spellStart"/>
      <w:r w:rsidR="005E612F" w:rsidRPr="00934626">
        <w:rPr>
          <w:i/>
          <w:lang w:val="en-US"/>
        </w:rPr>
        <w:t>Biosci</w:t>
      </w:r>
      <w:proofErr w:type="spellEnd"/>
      <w:r w:rsidR="004C1341" w:rsidRPr="00934626">
        <w:rPr>
          <w:i/>
          <w:lang w:val="en-US"/>
        </w:rPr>
        <w:t xml:space="preserve">. </w:t>
      </w:r>
      <w:r w:rsidR="005E612F" w:rsidRPr="00934626">
        <w:rPr>
          <w:i/>
          <w:lang w:val="en-US"/>
        </w:rPr>
        <w:t>Med</w:t>
      </w:r>
      <w:r w:rsidR="004C1341" w:rsidRPr="00934626">
        <w:rPr>
          <w:i/>
          <w:lang w:val="en-US"/>
        </w:rPr>
        <w:t>.,</w:t>
      </w:r>
      <w:r w:rsidR="005E612F" w:rsidRPr="00934626">
        <w:rPr>
          <w:lang w:val="en-US"/>
        </w:rPr>
        <w:t xml:space="preserve"> </w:t>
      </w:r>
      <w:r w:rsidR="005E612F" w:rsidRPr="00934626">
        <w:rPr>
          <w:b/>
          <w:lang w:val="en-US"/>
        </w:rPr>
        <w:t>2</w:t>
      </w:r>
      <w:r w:rsidR="005E612F" w:rsidRPr="00934626">
        <w:rPr>
          <w:lang w:val="en-US"/>
        </w:rPr>
        <w:t>, 27</w:t>
      </w:r>
      <w:r w:rsidRPr="00934626">
        <w:rPr>
          <w:lang w:val="en-US"/>
        </w:rPr>
        <w:t>–</w:t>
      </w:r>
      <w:r w:rsidR="005E612F" w:rsidRPr="00934626">
        <w:rPr>
          <w:lang w:val="en-US"/>
        </w:rPr>
        <w:t>33.</w:t>
      </w:r>
    </w:p>
    <w:p w14:paraId="4D746047" w14:textId="77777777" w:rsidR="00F6140D" w:rsidRPr="00934626" w:rsidRDefault="008B353F" w:rsidP="0041074B">
      <w:pPr>
        <w:pStyle w:val="rtoiles"/>
        <w:rPr>
          <w:lang w:val="en-GB"/>
        </w:rPr>
      </w:pPr>
      <w:r w:rsidRPr="00934626">
        <w:rPr>
          <w:lang w:val="en-GB"/>
        </w:rPr>
        <w:t>*</w:t>
      </w:r>
      <w:r w:rsidRPr="00934626">
        <w:rPr>
          <w:lang w:val="en-GB"/>
        </w:rPr>
        <w:br/>
        <w:t>*   *</w:t>
      </w:r>
    </w:p>
    <w:p w14:paraId="049E70BE" w14:textId="00C27CA6" w:rsidR="00D4097A" w:rsidRPr="00934626" w:rsidRDefault="00D4097A" w:rsidP="000F1125">
      <w:pPr>
        <w:tabs>
          <w:tab w:val="clear" w:pos="-720"/>
        </w:tabs>
        <w:spacing w:before="120" w:after="240" w:line="240" w:lineRule="auto"/>
        <w:jc w:val="center"/>
        <w:rPr>
          <w:rFonts w:ascii="Arial" w:hAnsi="Arial" w:cs="Arial"/>
          <w:sz w:val="18"/>
          <w:szCs w:val="18"/>
        </w:rPr>
      </w:pPr>
      <w:r w:rsidRPr="00934626">
        <w:rPr>
          <w:rFonts w:ascii="Arial" w:hAnsi="Arial" w:cs="Arial"/>
          <w:b/>
          <w:bCs/>
          <w:sz w:val="18"/>
          <w:szCs w:val="18"/>
          <w:lang w:val="en-IE"/>
        </w:rPr>
        <w:t>NB:</w:t>
      </w:r>
      <w:r w:rsidRPr="00934626">
        <w:rPr>
          <w:rFonts w:ascii="Arial" w:hAnsi="Arial" w:cs="Arial"/>
          <w:sz w:val="18"/>
          <w:szCs w:val="18"/>
        </w:rPr>
        <w:t xml:space="preserve"> There are OIE Reference Laboratories for </w:t>
      </w:r>
      <w:r w:rsidR="006B511A" w:rsidRPr="00934626">
        <w:rPr>
          <w:rFonts w:ascii="Arial" w:hAnsi="Arial" w:cs="Arial"/>
          <w:sz w:val="18"/>
          <w:szCs w:val="18"/>
        </w:rPr>
        <w:t>Peste des petits ruminants</w:t>
      </w:r>
      <w:r w:rsidRPr="00934626">
        <w:rPr>
          <w:rFonts w:ascii="Arial" w:hAnsi="Arial" w:cs="Arial"/>
          <w:sz w:val="18"/>
          <w:szCs w:val="18"/>
        </w:rPr>
        <w:br/>
      </w:r>
      <w:r w:rsidRPr="00934626">
        <w:rPr>
          <w:rStyle w:val="ReflabnoteCar"/>
        </w:rPr>
        <w:t xml:space="preserve">(see Table in </w:t>
      </w:r>
      <w:r w:rsidR="0034629A" w:rsidRPr="00934626">
        <w:rPr>
          <w:rStyle w:val="ReflabnoteCar"/>
        </w:rPr>
        <w:t>Part 4</w:t>
      </w:r>
      <w:r w:rsidRPr="00934626">
        <w:rPr>
          <w:rStyle w:val="ReflabnoteCar"/>
        </w:rPr>
        <w:t xml:space="preserve"> of this </w:t>
      </w:r>
      <w:r w:rsidRPr="00934626">
        <w:rPr>
          <w:rFonts w:ascii="Arial" w:hAnsi="Arial" w:cs="Arial"/>
          <w:i/>
          <w:sz w:val="18"/>
          <w:szCs w:val="18"/>
        </w:rPr>
        <w:t xml:space="preserve">Terrestrial Manual </w:t>
      </w:r>
      <w:r w:rsidRPr="00934626">
        <w:rPr>
          <w:rStyle w:val="ReflabnoteCar"/>
        </w:rPr>
        <w:t xml:space="preserve">or consult the OIE Web site for the most up-to-date list: </w:t>
      </w:r>
      <w:hyperlink r:id="rId17" w:history="1">
        <w:r w:rsidR="00B519CC" w:rsidRPr="00934626">
          <w:rPr>
            <w:rStyle w:val="Lienhypertexte"/>
            <w:rFonts w:ascii="Arial" w:hAnsi="Arial" w:cs="Arial"/>
            <w:sz w:val="18"/>
            <w:szCs w:val="18"/>
            <w:u w:val="none"/>
          </w:rPr>
          <w:t>http://www.oie.int/en/scientific-expertise/reference-laboratories/list-of-laboratories/</w:t>
        </w:r>
      </w:hyperlink>
      <w:hyperlink r:id="rId18" w:history="1"/>
      <w:r w:rsidRPr="00934626">
        <w:rPr>
          <w:rStyle w:val="ReflabnoteCar"/>
        </w:rPr>
        <w:t xml:space="preserve">). </w:t>
      </w:r>
      <w:r w:rsidRPr="00934626">
        <w:rPr>
          <w:rStyle w:val="ReflabnoteCar"/>
        </w:rPr>
        <w:br/>
      </w:r>
      <w:r w:rsidRPr="00934626">
        <w:rPr>
          <w:rFonts w:ascii="Arial" w:hAnsi="Arial" w:cs="Arial"/>
          <w:sz w:val="18"/>
          <w:szCs w:val="18"/>
        </w:rPr>
        <w:t xml:space="preserve">Please contact the OIE Reference Laboratories for any further information on </w:t>
      </w:r>
      <w:r w:rsidRPr="00934626">
        <w:rPr>
          <w:rFonts w:ascii="Arial" w:hAnsi="Arial" w:cs="Arial"/>
          <w:sz w:val="18"/>
          <w:szCs w:val="18"/>
        </w:rPr>
        <w:br/>
        <w:t xml:space="preserve">diagnostic tests, reagents and vaccines for </w:t>
      </w:r>
      <w:r w:rsidR="006B511A" w:rsidRPr="00934626">
        <w:rPr>
          <w:rFonts w:ascii="Arial" w:hAnsi="Arial" w:cs="Arial"/>
          <w:sz w:val="18"/>
          <w:szCs w:val="18"/>
        </w:rPr>
        <w:t>Peste des petits ruminants</w:t>
      </w:r>
    </w:p>
    <w:p w14:paraId="4D57E08B" w14:textId="60F9D345" w:rsidR="000F1125" w:rsidRPr="00934626" w:rsidRDefault="000F1125" w:rsidP="000F1125">
      <w:pPr>
        <w:pStyle w:val="Reflabnote"/>
      </w:pPr>
      <w:r w:rsidRPr="00934626">
        <w:rPr>
          <w:b/>
          <w:smallCaps/>
        </w:rPr>
        <w:lastRenderedPageBreak/>
        <w:t>NB:</w:t>
      </w:r>
      <w:r w:rsidRPr="00934626">
        <w:rPr>
          <w:smallCaps/>
        </w:rPr>
        <w:t xml:space="preserve"> First adopted in 1989; Most recent updates adopted in 201</w:t>
      </w:r>
      <w:r w:rsidR="00FE560F" w:rsidRPr="00934626">
        <w:rPr>
          <w:smallCaps/>
        </w:rPr>
        <w:t>9</w:t>
      </w:r>
      <w:r w:rsidR="00900AF3" w:rsidRPr="00934626">
        <w:rPr>
          <w:smallCaps/>
        </w:rPr>
        <w:t>.</w:t>
      </w:r>
    </w:p>
    <w:p w14:paraId="3F4E2530" w14:textId="77777777" w:rsidR="000F1125" w:rsidRPr="00934626" w:rsidRDefault="000F1125" w:rsidP="000F1125">
      <w:pPr>
        <w:tabs>
          <w:tab w:val="clear" w:pos="-720"/>
        </w:tabs>
        <w:spacing w:before="120" w:after="240" w:line="240" w:lineRule="auto"/>
        <w:jc w:val="center"/>
        <w:rPr>
          <w:rFonts w:ascii="Arial" w:hAnsi="Arial" w:cs="Arial"/>
          <w:sz w:val="18"/>
          <w:szCs w:val="18"/>
        </w:rPr>
      </w:pPr>
    </w:p>
    <w:sectPr w:rsidR="000F1125" w:rsidRPr="00934626" w:rsidSect="00B40962">
      <w:headerReference w:type="even" r:id="rId19"/>
      <w:headerReference w:type="default" r:id="rId20"/>
      <w:footerReference w:type="even" r:id="rId21"/>
      <w:footerReference w:type="default" r:id="rId22"/>
      <w:footerReference w:type="first" r:id="rId23"/>
      <w:type w:val="oddPage"/>
      <w:pgSz w:w="11907" w:h="16840" w:code="9"/>
      <w:pgMar w:top="-1418" w:right="1418" w:bottom="1418" w:left="1418" w:header="567" w:footer="567" w:gutter="0"/>
      <w:paperSrc w:first="7" w:other="7"/>
      <w:lnNumType w:countBy="1" w:restart="continuou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3B4FC" w14:textId="77777777" w:rsidR="00EE5CB0" w:rsidRDefault="00EE5CB0">
      <w:r>
        <w:separator/>
      </w:r>
    </w:p>
  </w:endnote>
  <w:endnote w:type="continuationSeparator" w:id="0">
    <w:p w14:paraId="6170DB40" w14:textId="77777777" w:rsidR="00EE5CB0" w:rsidRDefault="00EE5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187A3" w14:textId="0023C171" w:rsidR="00687133" w:rsidRPr="00333374" w:rsidRDefault="00687133" w:rsidP="00333374">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r>
      <w:rPr>
        <w:rFonts w:ascii="Ottawa" w:hAnsi="Ottawa"/>
        <w:sz w:val="22"/>
      </w:rPr>
      <w:tab/>
      <w:t xml:space="preserve">OIE </w:t>
    </w:r>
    <w:r w:rsidRPr="009C540E">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44E2A" w14:textId="1FF399D0" w:rsidR="00687133" w:rsidRPr="00333374" w:rsidRDefault="00687133" w:rsidP="00333374">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9C540E">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31BAA" w14:textId="50F472D7" w:rsidR="00687133" w:rsidRPr="00B40962" w:rsidRDefault="00687133" w:rsidP="00B40962">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9C540E">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26E518" w14:textId="77777777" w:rsidR="00EE5CB0" w:rsidRDefault="00EE5CB0">
      <w:r>
        <w:separator/>
      </w:r>
    </w:p>
  </w:footnote>
  <w:footnote w:type="continuationSeparator" w:id="0">
    <w:p w14:paraId="30133F9E" w14:textId="77777777" w:rsidR="00EE5CB0" w:rsidRDefault="00EE5CB0">
      <w:r>
        <w:continuationSeparator/>
      </w:r>
    </w:p>
  </w:footnote>
  <w:footnote w:id="1">
    <w:p w14:paraId="435DB19F" w14:textId="7D40266B" w:rsidR="00687133" w:rsidRPr="008E2282" w:rsidRDefault="00687133" w:rsidP="00C538E9">
      <w:pPr>
        <w:pStyle w:val="Notedebasdepage"/>
        <w:tabs>
          <w:tab w:val="left" w:pos="-1843"/>
        </w:tabs>
        <w:spacing w:line="240" w:lineRule="auto"/>
        <w:ind w:left="425" w:hanging="425"/>
        <w:rPr>
          <w:rFonts w:ascii="Arial" w:hAnsi="Arial" w:cs="Arial"/>
          <w:sz w:val="16"/>
          <w:szCs w:val="16"/>
        </w:rPr>
      </w:pPr>
      <w:r w:rsidRPr="008E2282">
        <w:rPr>
          <w:rStyle w:val="Appelnotedebasdep"/>
          <w:rFonts w:ascii="Arial" w:hAnsi="Arial" w:cs="Arial"/>
          <w:sz w:val="16"/>
          <w:szCs w:val="16"/>
          <w:vertAlign w:val="baseline"/>
        </w:rPr>
        <w:footnoteRef/>
      </w:r>
      <w:r w:rsidRPr="008E2282">
        <w:rPr>
          <w:rFonts w:ascii="Arial" w:hAnsi="Arial" w:cs="Arial"/>
          <w:sz w:val="16"/>
          <w:szCs w:val="16"/>
        </w:rPr>
        <w:t xml:space="preserve"> </w:t>
      </w:r>
      <w:r w:rsidRPr="008E2282">
        <w:rPr>
          <w:rFonts w:ascii="Arial" w:hAnsi="Arial" w:cs="Arial"/>
          <w:sz w:val="16"/>
          <w:szCs w:val="16"/>
        </w:rPr>
        <w:tab/>
        <w:t>A combination of agent identification methods applied to the same clinical sample is recommended.</w:t>
      </w:r>
    </w:p>
  </w:footnote>
  <w:footnote w:id="2">
    <w:p w14:paraId="7C74028A" w14:textId="77777777" w:rsidR="00687133" w:rsidRDefault="00687133" w:rsidP="00C61289">
      <w:pPr>
        <w:pStyle w:val="Notedebasdepage"/>
        <w:spacing w:line="240" w:lineRule="auto"/>
        <w:ind w:left="425" w:hanging="425"/>
        <w:rPr>
          <w:rFonts w:ascii="Arial" w:hAnsi="Arial"/>
          <w:sz w:val="16"/>
        </w:rPr>
      </w:pPr>
      <w:r>
        <w:rPr>
          <w:rStyle w:val="Appelnotedebasdep"/>
          <w:rFonts w:ascii="Arial" w:hAnsi="Arial"/>
          <w:sz w:val="16"/>
          <w:vertAlign w:val="baseline"/>
        </w:rPr>
        <w:footnoteRef/>
      </w:r>
      <w:r>
        <w:rPr>
          <w:rFonts w:ascii="Arial" w:hAnsi="Arial"/>
          <w:sz w:val="16"/>
        </w:rPr>
        <w:t xml:space="preserve"> </w:t>
      </w:r>
      <w:r>
        <w:rPr>
          <w:rFonts w:ascii="Arial" w:hAnsi="Arial"/>
          <w:sz w:val="16"/>
        </w:rPr>
        <w:tab/>
        <w:t>Food and Agriculture Organization of the United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96C6D" w14:textId="5CD02170" w:rsidR="00687133" w:rsidRPr="00333374" w:rsidRDefault="00687133" w:rsidP="00333374">
    <w:pPr>
      <w:pBdr>
        <w:bottom w:val="single" w:sz="6" w:space="1" w:color="auto"/>
      </w:pBdr>
      <w:spacing w:line="240" w:lineRule="auto"/>
      <w:ind w:right="-1"/>
      <w:jc w:val="center"/>
      <w:rPr>
        <w:rFonts w:ascii="Ottawa" w:hAnsi="Ottawa"/>
        <w:i/>
        <w:sz w:val="20"/>
        <w:szCs w:val="20"/>
        <w:lang w:val="fr-FR"/>
      </w:rPr>
    </w:pPr>
    <w:proofErr w:type="spellStart"/>
    <w:r w:rsidRPr="008E2282">
      <w:rPr>
        <w:rFonts w:ascii="Ottawa" w:hAnsi="Ottawa"/>
        <w:i/>
        <w:sz w:val="20"/>
        <w:szCs w:val="20"/>
        <w:lang w:val="fr-FR"/>
      </w:rPr>
      <w:t>Chapter</w:t>
    </w:r>
    <w:proofErr w:type="spellEnd"/>
    <w:r w:rsidRPr="008E2282">
      <w:rPr>
        <w:rFonts w:ascii="Ottawa" w:hAnsi="Ottawa"/>
        <w:i/>
        <w:sz w:val="20"/>
        <w:szCs w:val="20"/>
        <w:lang w:val="fr-FR"/>
      </w:rPr>
      <w:t xml:space="preserve"> </w:t>
    </w:r>
    <w:r>
      <w:rPr>
        <w:rFonts w:ascii="Ottawa" w:hAnsi="Ottawa"/>
        <w:i/>
        <w:sz w:val="20"/>
        <w:szCs w:val="20"/>
        <w:lang w:val="fr-FR"/>
      </w:rPr>
      <w:t>3</w:t>
    </w:r>
    <w:r w:rsidRPr="008E2282">
      <w:rPr>
        <w:rFonts w:ascii="Ottawa" w:hAnsi="Ottawa"/>
        <w:i/>
        <w:sz w:val="20"/>
        <w:szCs w:val="20"/>
        <w:lang w:val="fr-FR"/>
      </w:rPr>
      <w:t>.7.</w:t>
    </w:r>
    <w:r>
      <w:rPr>
        <w:rFonts w:ascii="Ottawa" w:hAnsi="Ottawa"/>
        <w:i/>
        <w:sz w:val="20"/>
        <w:szCs w:val="20"/>
        <w:lang w:val="fr-FR"/>
      </w:rPr>
      <w:t>9</w:t>
    </w:r>
    <w:r w:rsidRPr="008E2282">
      <w:rPr>
        <w:rFonts w:ascii="Ottawa" w:hAnsi="Ottawa"/>
        <w:i/>
        <w:sz w:val="20"/>
        <w:szCs w:val="20"/>
        <w:lang w:val="fr-FR"/>
      </w:rPr>
      <w:t xml:space="preserve">. – Peste des petits ruminants </w:t>
    </w:r>
    <w:r w:rsidRPr="008E2282">
      <w:rPr>
        <w:rFonts w:ascii="Ottawa" w:hAnsi="Ottawa"/>
        <w:sz w:val="20"/>
        <w:szCs w:val="20"/>
        <w:lang w:val="fr-FR"/>
      </w:rPr>
      <w:t>(</w:t>
    </w:r>
    <w:r w:rsidRPr="008E2282">
      <w:rPr>
        <w:rFonts w:ascii="Ottawa" w:hAnsi="Ottawa" w:cs="Arial"/>
        <w:i/>
        <w:sz w:val="20"/>
        <w:szCs w:val="20"/>
        <w:lang w:val="fr-FR" w:eastAsia="en-IE"/>
      </w:rPr>
      <w:t xml:space="preserve">infection </w:t>
    </w:r>
    <w:proofErr w:type="spellStart"/>
    <w:r w:rsidRPr="008E2282">
      <w:rPr>
        <w:rFonts w:ascii="Ottawa" w:hAnsi="Ottawa" w:cs="Arial"/>
        <w:i/>
        <w:sz w:val="20"/>
        <w:szCs w:val="20"/>
        <w:lang w:val="fr-FR" w:eastAsia="en-IE"/>
      </w:rPr>
      <w:t>with</w:t>
    </w:r>
    <w:proofErr w:type="spellEnd"/>
    <w:r w:rsidRPr="008E2282">
      <w:rPr>
        <w:rFonts w:ascii="Ottawa" w:hAnsi="Ottawa" w:cs="Arial"/>
        <w:i/>
        <w:sz w:val="20"/>
        <w:szCs w:val="20"/>
        <w:lang w:val="fr-FR" w:eastAsia="en-IE"/>
      </w:rPr>
      <w:t xml:space="preserve"> peste des petits ruminants virus</w:t>
    </w:r>
    <w:r w:rsidRPr="008E2282">
      <w:rPr>
        <w:rFonts w:ascii="Ottawa" w:hAnsi="Ottawa" w:cs="Arial"/>
        <w:sz w:val="20"/>
        <w:szCs w:val="20"/>
        <w:lang w:val="fr-FR" w:eastAsia="en-IE"/>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1F4F" w14:textId="6870D491" w:rsidR="00687133" w:rsidRPr="00333374" w:rsidRDefault="00687133" w:rsidP="00333374">
    <w:pPr>
      <w:pBdr>
        <w:bottom w:val="single" w:sz="6" w:space="1" w:color="auto"/>
      </w:pBdr>
      <w:spacing w:line="240" w:lineRule="auto"/>
      <w:ind w:right="-1"/>
      <w:jc w:val="center"/>
      <w:rPr>
        <w:rFonts w:ascii="Ottawa" w:hAnsi="Ottawa"/>
        <w:i/>
        <w:sz w:val="20"/>
        <w:szCs w:val="20"/>
        <w:lang w:val="fr-FR"/>
      </w:rPr>
    </w:pPr>
    <w:proofErr w:type="spellStart"/>
    <w:r w:rsidRPr="008E2282">
      <w:rPr>
        <w:rFonts w:ascii="Ottawa" w:hAnsi="Ottawa"/>
        <w:i/>
        <w:sz w:val="20"/>
        <w:szCs w:val="20"/>
        <w:lang w:val="fr-FR"/>
      </w:rPr>
      <w:t>Chapter</w:t>
    </w:r>
    <w:proofErr w:type="spellEnd"/>
    <w:r w:rsidRPr="008E2282">
      <w:rPr>
        <w:rFonts w:ascii="Ottawa" w:hAnsi="Ottawa"/>
        <w:i/>
        <w:sz w:val="20"/>
        <w:szCs w:val="20"/>
        <w:lang w:val="fr-FR"/>
      </w:rPr>
      <w:t xml:space="preserve"> </w:t>
    </w:r>
    <w:r>
      <w:rPr>
        <w:rFonts w:ascii="Ottawa" w:hAnsi="Ottawa"/>
        <w:i/>
        <w:sz w:val="20"/>
        <w:szCs w:val="20"/>
        <w:lang w:val="fr-FR"/>
      </w:rPr>
      <w:t>3</w:t>
    </w:r>
    <w:r w:rsidRPr="008E2282">
      <w:rPr>
        <w:rFonts w:ascii="Ottawa" w:hAnsi="Ottawa"/>
        <w:i/>
        <w:sz w:val="20"/>
        <w:szCs w:val="20"/>
        <w:lang w:val="fr-FR"/>
      </w:rPr>
      <w:t>.7.</w:t>
    </w:r>
    <w:r>
      <w:rPr>
        <w:rFonts w:ascii="Ottawa" w:hAnsi="Ottawa"/>
        <w:i/>
        <w:sz w:val="20"/>
        <w:szCs w:val="20"/>
        <w:lang w:val="fr-FR"/>
      </w:rPr>
      <w:t>9</w:t>
    </w:r>
    <w:r w:rsidRPr="008E2282">
      <w:rPr>
        <w:rFonts w:ascii="Ottawa" w:hAnsi="Ottawa"/>
        <w:i/>
        <w:sz w:val="20"/>
        <w:szCs w:val="20"/>
        <w:lang w:val="fr-FR"/>
      </w:rPr>
      <w:t xml:space="preserve">. – Peste des petits ruminants </w:t>
    </w:r>
    <w:r w:rsidRPr="008E2282">
      <w:rPr>
        <w:rFonts w:ascii="Ottawa" w:hAnsi="Ottawa"/>
        <w:sz w:val="20"/>
        <w:szCs w:val="20"/>
        <w:lang w:val="fr-FR"/>
      </w:rPr>
      <w:t>(</w:t>
    </w:r>
    <w:r w:rsidRPr="008E2282">
      <w:rPr>
        <w:rFonts w:ascii="Ottawa" w:hAnsi="Ottawa" w:cs="Arial"/>
        <w:i/>
        <w:sz w:val="20"/>
        <w:szCs w:val="20"/>
        <w:lang w:val="fr-FR" w:eastAsia="en-IE"/>
      </w:rPr>
      <w:t xml:space="preserve">infection </w:t>
    </w:r>
    <w:proofErr w:type="spellStart"/>
    <w:r w:rsidRPr="008E2282">
      <w:rPr>
        <w:rFonts w:ascii="Ottawa" w:hAnsi="Ottawa" w:cs="Arial"/>
        <w:i/>
        <w:sz w:val="20"/>
        <w:szCs w:val="20"/>
        <w:lang w:val="fr-FR" w:eastAsia="en-IE"/>
      </w:rPr>
      <w:t>with</w:t>
    </w:r>
    <w:proofErr w:type="spellEnd"/>
    <w:r w:rsidRPr="008E2282">
      <w:rPr>
        <w:rFonts w:ascii="Ottawa" w:hAnsi="Ottawa" w:cs="Arial"/>
        <w:i/>
        <w:sz w:val="20"/>
        <w:szCs w:val="20"/>
        <w:lang w:val="fr-FR" w:eastAsia="en-IE"/>
      </w:rPr>
      <w:t xml:space="preserve"> peste des petits ruminants virus</w:t>
    </w:r>
    <w:r w:rsidRPr="008E2282">
      <w:rPr>
        <w:rFonts w:ascii="Ottawa" w:hAnsi="Ottawa" w:cs="Arial"/>
        <w:sz w:val="20"/>
        <w:szCs w:val="20"/>
        <w:lang w:val="fr-FR" w:eastAsia="en-IE"/>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93060"/>
    <w:multiLevelType w:val="hybridMultilevel"/>
    <w:tmpl w:val="F424CE16"/>
    <w:lvl w:ilvl="0" w:tplc="F000ED16">
      <w:start w:val="1"/>
      <w:numFmt w:val="lowerLetter"/>
      <w:lvlText w:val="%1."/>
      <w:lvlJc w:val="left"/>
      <w:pPr>
        <w:ind w:left="1636" w:hanging="36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 w15:restartNumberingAfterBreak="0">
    <w:nsid w:val="10536E7F"/>
    <w:multiLevelType w:val="hybridMultilevel"/>
    <w:tmpl w:val="7138E2E2"/>
    <w:lvl w:ilvl="0" w:tplc="7C8CA01A">
      <w:start w:val="1"/>
      <w:numFmt w:val="lowerRoman"/>
      <w:lvlText w:val="%1)"/>
      <w:lvlJc w:val="left"/>
      <w:pPr>
        <w:ind w:left="1145" w:hanging="72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 w15:restartNumberingAfterBreak="0">
    <w:nsid w:val="13CD4115"/>
    <w:multiLevelType w:val="hybridMultilevel"/>
    <w:tmpl w:val="FCFA9C5C"/>
    <w:lvl w:ilvl="0" w:tplc="E062D21C">
      <w:start w:val="1"/>
      <w:numFmt w:val="lowerLetter"/>
      <w:lvlText w:val="%1."/>
      <w:lvlJc w:val="left"/>
      <w:pPr>
        <w:ind w:left="1920" w:hanging="360"/>
      </w:pPr>
      <w:rPr>
        <w:rFonts w:hint="default"/>
        <w:i w:val="0"/>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3" w15:restartNumberingAfterBreak="0">
    <w:nsid w:val="13E019CF"/>
    <w:multiLevelType w:val="hybridMultilevel"/>
    <w:tmpl w:val="F56CC4B0"/>
    <w:lvl w:ilvl="0" w:tplc="CFE28D94">
      <w:start w:val="1"/>
      <w:numFmt w:val="lowerLetter"/>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4" w15:restartNumberingAfterBreak="0">
    <w:nsid w:val="179E4FF8"/>
    <w:multiLevelType w:val="hybridMultilevel"/>
    <w:tmpl w:val="7B96ACFA"/>
    <w:lvl w:ilvl="0" w:tplc="DA72FABA">
      <w:start w:val="1"/>
      <w:numFmt w:val="lowerLetter"/>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5" w15:restartNumberingAfterBreak="0">
    <w:nsid w:val="2C544121"/>
    <w:multiLevelType w:val="hybridMultilevel"/>
    <w:tmpl w:val="81900D8E"/>
    <w:lvl w:ilvl="0" w:tplc="FFFFFFFF">
      <w:start w:val="5"/>
      <w:numFmt w:val="lowerLetter"/>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C921721"/>
    <w:multiLevelType w:val="hybridMultilevel"/>
    <w:tmpl w:val="FC5617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E580297"/>
    <w:multiLevelType w:val="hybridMultilevel"/>
    <w:tmpl w:val="12EC3A80"/>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41E40D8A"/>
    <w:multiLevelType w:val="hybridMultilevel"/>
    <w:tmpl w:val="A2C84266"/>
    <w:lvl w:ilvl="0" w:tplc="422C10E6">
      <w:start w:val="1"/>
      <w:numFmt w:val="lowerRoman"/>
      <w:lvlText w:val="%1)"/>
      <w:lvlJc w:val="left"/>
      <w:pPr>
        <w:ind w:left="2138" w:hanging="720"/>
      </w:pPr>
      <w:rPr>
        <w:rFonts w:hint="default"/>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9" w15:restartNumberingAfterBreak="0">
    <w:nsid w:val="46823FA2"/>
    <w:multiLevelType w:val="hybridMultilevel"/>
    <w:tmpl w:val="D81675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444F78"/>
    <w:multiLevelType w:val="hybridMultilevel"/>
    <w:tmpl w:val="051A0CCE"/>
    <w:lvl w:ilvl="0" w:tplc="E61073F6">
      <w:start w:val="2"/>
      <w:numFmt w:val="bullet"/>
      <w:lvlText w:val="-"/>
      <w:lvlJc w:val="left"/>
      <w:pPr>
        <w:ind w:left="1211" w:hanging="360"/>
      </w:pPr>
      <w:rPr>
        <w:rFonts w:ascii="Arial" w:eastAsia="Times New Roman" w:hAnsi="Arial" w:cs="Aria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1" w15:restartNumberingAfterBreak="0">
    <w:nsid w:val="48D318E2"/>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586C7538"/>
    <w:multiLevelType w:val="hybridMultilevel"/>
    <w:tmpl w:val="6E80A89C"/>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3" w15:restartNumberingAfterBreak="0">
    <w:nsid w:val="74AF4166"/>
    <w:multiLevelType w:val="hybridMultilevel"/>
    <w:tmpl w:val="EEA4BD7C"/>
    <w:lvl w:ilvl="0" w:tplc="B80AED4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4"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15" w15:restartNumberingAfterBreak="0">
    <w:nsid w:val="7A2A7743"/>
    <w:multiLevelType w:val="hybridMultilevel"/>
    <w:tmpl w:val="C44C2882"/>
    <w:lvl w:ilvl="0" w:tplc="2914570C">
      <w:start w:val="1"/>
      <w:numFmt w:val="low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14"/>
  </w:num>
  <w:num w:numId="2">
    <w:abstractNumId w:val="16"/>
  </w:num>
  <w:num w:numId="3">
    <w:abstractNumId w:val="16"/>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5"/>
  </w:num>
  <w:num w:numId="5">
    <w:abstractNumId w:val="11"/>
  </w:num>
  <w:num w:numId="6">
    <w:abstractNumId w:val="6"/>
  </w:num>
  <w:num w:numId="7">
    <w:abstractNumId w:val="9"/>
  </w:num>
  <w:num w:numId="8">
    <w:abstractNumId w:val="7"/>
  </w:num>
  <w:num w:numId="9">
    <w:abstractNumId w:val="15"/>
  </w:num>
  <w:num w:numId="10">
    <w:abstractNumId w:val="10"/>
  </w:num>
  <w:num w:numId="11">
    <w:abstractNumId w:val="13"/>
  </w:num>
  <w:num w:numId="12">
    <w:abstractNumId w:val="1"/>
  </w:num>
  <w:num w:numId="13">
    <w:abstractNumId w:val="4"/>
  </w:num>
  <w:num w:numId="14">
    <w:abstractNumId w:val="0"/>
  </w:num>
  <w:num w:numId="15">
    <w:abstractNumId w:val="2"/>
  </w:num>
  <w:num w:numId="16">
    <w:abstractNumId w:val="3"/>
  </w:num>
  <w:num w:numId="17">
    <w:abstractNumId w:val="1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embedSystemFonts/>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n-US" w:vendorID="64" w:dllVersion="6" w:nlCheck="1" w:checkStyle="1"/>
  <w:activeWritingStyle w:appName="MSWord" w:lang="es-E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activeWritingStyle w:appName="MSWord" w:lang="en-IE" w:vendorID="64" w:dllVersion="0" w:nlCheck="1" w:checkStyle="0"/>
  <w:activeWritingStyle w:appName="MSWord" w:lang="de-DE" w:vendorID="64" w:dllVersion="0" w:nlCheck="1" w:checkStyle="0"/>
  <w:activeWritingStyle w:appName="MSWord" w:lang="en-GB" w:vendorID="8" w:dllVersion="513" w:checkStyle="1"/>
  <w:activeWritingStyle w:appName="MSWord" w:lang="en-US" w:vendorID="8" w:dllVersion="513" w:checkStyle="1"/>
  <w:activeWritingStyle w:appName="MSWord" w:lang="it-IT" w:vendorID="3" w:dllVersion="517"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BB5"/>
    <w:rsid w:val="00000683"/>
    <w:rsid w:val="00000CAE"/>
    <w:rsid w:val="00002FA9"/>
    <w:rsid w:val="00007F5F"/>
    <w:rsid w:val="00014C0F"/>
    <w:rsid w:val="00023CA5"/>
    <w:rsid w:val="0002775E"/>
    <w:rsid w:val="00030472"/>
    <w:rsid w:val="000331E1"/>
    <w:rsid w:val="00035AD4"/>
    <w:rsid w:val="0004491F"/>
    <w:rsid w:val="00051E54"/>
    <w:rsid w:val="00055F85"/>
    <w:rsid w:val="0005683E"/>
    <w:rsid w:val="00060297"/>
    <w:rsid w:val="0006054C"/>
    <w:rsid w:val="00060F97"/>
    <w:rsid w:val="000615F1"/>
    <w:rsid w:val="00063022"/>
    <w:rsid w:val="000641D0"/>
    <w:rsid w:val="00064530"/>
    <w:rsid w:val="00064F46"/>
    <w:rsid w:val="00075EE9"/>
    <w:rsid w:val="000766C3"/>
    <w:rsid w:val="00080381"/>
    <w:rsid w:val="0008277A"/>
    <w:rsid w:val="000828EF"/>
    <w:rsid w:val="000833DC"/>
    <w:rsid w:val="00086114"/>
    <w:rsid w:val="00086608"/>
    <w:rsid w:val="00090DBB"/>
    <w:rsid w:val="000914E4"/>
    <w:rsid w:val="000922F0"/>
    <w:rsid w:val="0009396C"/>
    <w:rsid w:val="000958B0"/>
    <w:rsid w:val="000B03B1"/>
    <w:rsid w:val="000B1D9A"/>
    <w:rsid w:val="000B23E8"/>
    <w:rsid w:val="000B39BF"/>
    <w:rsid w:val="000B5F67"/>
    <w:rsid w:val="000B6F9D"/>
    <w:rsid w:val="000B744E"/>
    <w:rsid w:val="000C0642"/>
    <w:rsid w:val="000C1E18"/>
    <w:rsid w:val="000C29D4"/>
    <w:rsid w:val="000C3D3E"/>
    <w:rsid w:val="000C4878"/>
    <w:rsid w:val="000C52A7"/>
    <w:rsid w:val="000C60A2"/>
    <w:rsid w:val="000C6D8F"/>
    <w:rsid w:val="000D3CCC"/>
    <w:rsid w:val="000D3DC9"/>
    <w:rsid w:val="000E2842"/>
    <w:rsid w:val="000E7FBD"/>
    <w:rsid w:val="000F07D4"/>
    <w:rsid w:val="000F1125"/>
    <w:rsid w:val="000F5031"/>
    <w:rsid w:val="000F70E3"/>
    <w:rsid w:val="000F7BDD"/>
    <w:rsid w:val="00100ED7"/>
    <w:rsid w:val="00102581"/>
    <w:rsid w:val="0010423C"/>
    <w:rsid w:val="001044F8"/>
    <w:rsid w:val="001077EA"/>
    <w:rsid w:val="00110B5A"/>
    <w:rsid w:val="00111445"/>
    <w:rsid w:val="00112164"/>
    <w:rsid w:val="00113356"/>
    <w:rsid w:val="00115335"/>
    <w:rsid w:val="00117F7E"/>
    <w:rsid w:val="00121B26"/>
    <w:rsid w:val="001230AD"/>
    <w:rsid w:val="001252F9"/>
    <w:rsid w:val="00144F29"/>
    <w:rsid w:val="001517B6"/>
    <w:rsid w:val="00154866"/>
    <w:rsid w:val="00156746"/>
    <w:rsid w:val="001643CE"/>
    <w:rsid w:val="0016712F"/>
    <w:rsid w:val="00167AF6"/>
    <w:rsid w:val="00171EB1"/>
    <w:rsid w:val="00172485"/>
    <w:rsid w:val="0017584B"/>
    <w:rsid w:val="001766BD"/>
    <w:rsid w:val="00191FD9"/>
    <w:rsid w:val="00194968"/>
    <w:rsid w:val="00194AF5"/>
    <w:rsid w:val="001A032C"/>
    <w:rsid w:val="001A184C"/>
    <w:rsid w:val="001A50B7"/>
    <w:rsid w:val="001A7000"/>
    <w:rsid w:val="001B1186"/>
    <w:rsid w:val="001B45A1"/>
    <w:rsid w:val="001B60D6"/>
    <w:rsid w:val="001C1DCD"/>
    <w:rsid w:val="001C2F1B"/>
    <w:rsid w:val="001C5CC0"/>
    <w:rsid w:val="001D1292"/>
    <w:rsid w:val="001D156A"/>
    <w:rsid w:val="001D1F32"/>
    <w:rsid w:val="001D2149"/>
    <w:rsid w:val="001D353E"/>
    <w:rsid w:val="001E055B"/>
    <w:rsid w:val="001E2A7F"/>
    <w:rsid w:val="001E52EF"/>
    <w:rsid w:val="001F1283"/>
    <w:rsid w:val="001F27D6"/>
    <w:rsid w:val="001F4588"/>
    <w:rsid w:val="001F657F"/>
    <w:rsid w:val="00200510"/>
    <w:rsid w:val="00201F62"/>
    <w:rsid w:val="00203E13"/>
    <w:rsid w:val="002058B0"/>
    <w:rsid w:val="00211089"/>
    <w:rsid w:val="002118EC"/>
    <w:rsid w:val="00212C7B"/>
    <w:rsid w:val="00213B74"/>
    <w:rsid w:val="00214F67"/>
    <w:rsid w:val="002172EC"/>
    <w:rsid w:val="00225BB5"/>
    <w:rsid w:val="00227F23"/>
    <w:rsid w:val="00230BE2"/>
    <w:rsid w:val="00232075"/>
    <w:rsid w:val="00233CB6"/>
    <w:rsid w:val="00242A97"/>
    <w:rsid w:val="002464B1"/>
    <w:rsid w:val="00253A32"/>
    <w:rsid w:val="0025540B"/>
    <w:rsid w:val="00255E0F"/>
    <w:rsid w:val="002561B7"/>
    <w:rsid w:val="0025661D"/>
    <w:rsid w:val="00261E6F"/>
    <w:rsid w:val="00262D06"/>
    <w:rsid w:val="00272290"/>
    <w:rsid w:val="00273B2B"/>
    <w:rsid w:val="00275E63"/>
    <w:rsid w:val="00275FF9"/>
    <w:rsid w:val="0027774B"/>
    <w:rsid w:val="002777B7"/>
    <w:rsid w:val="00290D03"/>
    <w:rsid w:val="00295D46"/>
    <w:rsid w:val="002A4C90"/>
    <w:rsid w:val="002A5A66"/>
    <w:rsid w:val="002B2AB8"/>
    <w:rsid w:val="002C1389"/>
    <w:rsid w:val="002C1AC8"/>
    <w:rsid w:val="002C5407"/>
    <w:rsid w:val="002C5B1C"/>
    <w:rsid w:val="002C62D8"/>
    <w:rsid w:val="002C6942"/>
    <w:rsid w:val="002C7F84"/>
    <w:rsid w:val="002D1334"/>
    <w:rsid w:val="002D301F"/>
    <w:rsid w:val="002D5062"/>
    <w:rsid w:val="002E33FD"/>
    <w:rsid w:val="002E4F72"/>
    <w:rsid w:val="002E5632"/>
    <w:rsid w:val="002E5E67"/>
    <w:rsid w:val="002E6047"/>
    <w:rsid w:val="00302192"/>
    <w:rsid w:val="00307DF8"/>
    <w:rsid w:val="00312937"/>
    <w:rsid w:val="0031353F"/>
    <w:rsid w:val="00317C99"/>
    <w:rsid w:val="0032018E"/>
    <w:rsid w:val="0032101D"/>
    <w:rsid w:val="003229AF"/>
    <w:rsid w:val="00323AA1"/>
    <w:rsid w:val="00324A87"/>
    <w:rsid w:val="00326180"/>
    <w:rsid w:val="003270C5"/>
    <w:rsid w:val="003277D3"/>
    <w:rsid w:val="00330D15"/>
    <w:rsid w:val="00333374"/>
    <w:rsid w:val="0033351E"/>
    <w:rsid w:val="003340CF"/>
    <w:rsid w:val="00340FD4"/>
    <w:rsid w:val="003414AB"/>
    <w:rsid w:val="0034629A"/>
    <w:rsid w:val="0034667F"/>
    <w:rsid w:val="00346D2E"/>
    <w:rsid w:val="00351538"/>
    <w:rsid w:val="00352E08"/>
    <w:rsid w:val="00361C79"/>
    <w:rsid w:val="003620E3"/>
    <w:rsid w:val="00365499"/>
    <w:rsid w:val="00367BAD"/>
    <w:rsid w:val="00370A49"/>
    <w:rsid w:val="0037223F"/>
    <w:rsid w:val="003772E2"/>
    <w:rsid w:val="00380A01"/>
    <w:rsid w:val="00382011"/>
    <w:rsid w:val="0038322E"/>
    <w:rsid w:val="003842BC"/>
    <w:rsid w:val="00386DE8"/>
    <w:rsid w:val="003870B1"/>
    <w:rsid w:val="003876F5"/>
    <w:rsid w:val="00390959"/>
    <w:rsid w:val="00390B26"/>
    <w:rsid w:val="00391C86"/>
    <w:rsid w:val="00392491"/>
    <w:rsid w:val="00393122"/>
    <w:rsid w:val="00393CCA"/>
    <w:rsid w:val="00395F0E"/>
    <w:rsid w:val="00396333"/>
    <w:rsid w:val="00396411"/>
    <w:rsid w:val="003975F9"/>
    <w:rsid w:val="003A055E"/>
    <w:rsid w:val="003A126E"/>
    <w:rsid w:val="003A48E5"/>
    <w:rsid w:val="003A49D0"/>
    <w:rsid w:val="003A51EF"/>
    <w:rsid w:val="003B00B0"/>
    <w:rsid w:val="003B17D2"/>
    <w:rsid w:val="003B5031"/>
    <w:rsid w:val="003B5EAB"/>
    <w:rsid w:val="003B6733"/>
    <w:rsid w:val="003C6A9B"/>
    <w:rsid w:val="003C73C0"/>
    <w:rsid w:val="003C77B6"/>
    <w:rsid w:val="003D552A"/>
    <w:rsid w:val="003D7D7D"/>
    <w:rsid w:val="003E0188"/>
    <w:rsid w:val="003E12A1"/>
    <w:rsid w:val="003E1D11"/>
    <w:rsid w:val="003E2AFC"/>
    <w:rsid w:val="003E3E56"/>
    <w:rsid w:val="003E7E74"/>
    <w:rsid w:val="00403B14"/>
    <w:rsid w:val="004045E2"/>
    <w:rsid w:val="0041074B"/>
    <w:rsid w:val="00413CDF"/>
    <w:rsid w:val="00417621"/>
    <w:rsid w:val="00417947"/>
    <w:rsid w:val="004202C6"/>
    <w:rsid w:val="004257EE"/>
    <w:rsid w:val="00430E32"/>
    <w:rsid w:val="00431B81"/>
    <w:rsid w:val="0043556F"/>
    <w:rsid w:val="00437C15"/>
    <w:rsid w:val="00443C3D"/>
    <w:rsid w:val="004516BD"/>
    <w:rsid w:val="004576C9"/>
    <w:rsid w:val="0046212A"/>
    <w:rsid w:val="00462CC2"/>
    <w:rsid w:val="00462DE9"/>
    <w:rsid w:val="00465FF2"/>
    <w:rsid w:val="00470E77"/>
    <w:rsid w:val="004730E9"/>
    <w:rsid w:val="00473E2E"/>
    <w:rsid w:val="004756F0"/>
    <w:rsid w:val="0047582A"/>
    <w:rsid w:val="0048169D"/>
    <w:rsid w:val="00483778"/>
    <w:rsid w:val="00484FB6"/>
    <w:rsid w:val="00493455"/>
    <w:rsid w:val="004A0FDA"/>
    <w:rsid w:val="004A48CE"/>
    <w:rsid w:val="004B0ECC"/>
    <w:rsid w:val="004B23E7"/>
    <w:rsid w:val="004C0FED"/>
    <w:rsid w:val="004C1248"/>
    <w:rsid w:val="004C1341"/>
    <w:rsid w:val="004C2282"/>
    <w:rsid w:val="004C37F3"/>
    <w:rsid w:val="004C570B"/>
    <w:rsid w:val="004D2A26"/>
    <w:rsid w:val="004D3152"/>
    <w:rsid w:val="004D3A1B"/>
    <w:rsid w:val="004E27C9"/>
    <w:rsid w:val="004E3C7E"/>
    <w:rsid w:val="004E3D75"/>
    <w:rsid w:val="004E46ED"/>
    <w:rsid w:val="004E4E87"/>
    <w:rsid w:val="004E5E9A"/>
    <w:rsid w:val="004F03D2"/>
    <w:rsid w:val="004F25F1"/>
    <w:rsid w:val="004F7628"/>
    <w:rsid w:val="005004B0"/>
    <w:rsid w:val="00505084"/>
    <w:rsid w:val="00510620"/>
    <w:rsid w:val="00510BC3"/>
    <w:rsid w:val="0051264A"/>
    <w:rsid w:val="00513040"/>
    <w:rsid w:val="0051385F"/>
    <w:rsid w:val="00523620"/>
    <w:rsid w:val="00524B74"/>
    <w:rsid w:val="00525AAE"/>
    <w:rsid w:val="00525F67"/>
    <w:rsid w:val="005263E4"/>
    <w:rsid w:val="00531407"/>
    <w:rsid w:val="00535E12"/>
    <w:rsid w:val="00535EC0"/>
    <w:rsid w:val="00544CBE"/>
    <w:rsid w:val="005459DC"/>
    <w:rsid w:val="0054626D"/>
    <w:rsid w:val="005474BA"/>
    <w:rsid w:val="005474FB"/>
    <w:rsid w:val="00551E6C"/>
    <w:rsid w:val="00553554"/>
    <w:rsid w:val="00553C8E"/>
    <w:rsid w:val="005542DE"/>
    <w:rsid w:val="0056382E"/>
    <w:rsid w:val="00564EBC"/>
    <w:rsid w:val="00567E09"/>
    <w:rsid w:val="0057076A"/>
    <w:rsid w:val="0057105D"/>
    <w:rsid w:val="00580D9F"/>
    <w:rsid w:val="00585785"/>
    <w:rsid w:val="005904D5"/>
    <w:rsid w:val="005921DC"/>
    <w:rsid w:val="00594C17"/>
    <w:rsid w:val="005A0D74"/>
    <w:rsid w:val="005A1116"/>
    <w:rsid w:val="005A2304"/>
    <w:rsid w:val="005A48B7"/>
    <w:rsid w:val="005B16A7"/>
    <w:rsid w:val="005B2FA9"/>
    <w:rsid w:val="005B3934"/>
    <w:rsid w:val="005C085F"/>
    <w:rsid w:val="005C5080"/>
    <w:rsid w:val="005C530C"/>
    <w:rsid w:val="005C6320"/>
    <w:rsid w:val="005D1D95"/>
    <w:rsid w:val="005D1DF8"/>
    <w:rsid w:val="005D2691"/>
    <w:rsid w:val="005D2B95"/>
    <w:rsid w:val="005D6B0B"/>
    <w:rsid w:val="005E17ED"/>
    <w:rsid w:val="005E188B"/>
    <w:rsid w:val="005E4E33"/>
    <w:rsid w:val="005E5185"/>
    <w:rsid w:val="005E5FC3"/>
    <w:rsid w:val="005E612F"/>
    <w:rsid w:val="005E624C"/>
    <w:rsid w:val="005E666D"/>
    <w:rsid w:val="005E79BC"/>
    <w:rsid w:val="005E7EAB"/>
    <w:rsid w:val="005F0A04"/>
    <w:rsid w:val="005F65B8"/>
    <w:rsid w:val="00601547"/>
    <w:rsid w:val="00604759"/>
    <w:rsid w:val="00605E23"/>
    <w:rsid w:val="006104A5"/>
    <w:rsid w:val="00610988"/>
    <w:rsid w:val="006174D6"/>
    <w:rsid w:val="00621DDD"/>
    <w:rsid w:val="006275F8"/>
    <w:rsid w:val="00632AD2"/>
    <w:rsid w:val="00640180"/>
    <w:rsid w:val="00640ADF"/>
    <w:rsid w:val="00642906"/>
    <w:rsid w:val="006434C1"/>
    <w:rsid w:val="00644459"/>
    <w:rsid w:val="00644513"/>
    <w:rsid w:val="0064677A"/>
    <w:rsid w:val="00666342"/>
    <w:rsid w:val="0067139F"/>
    <w:rsid w:val="0067224D"/>
    <w:rsid w:val="00676A7C"/>
    <w:rsid w:val="00676FB3"/>
    <w:rsid w:val="006802B0"/>
    <w:rsid w:val="00683183"/>
    <w:rsid w:val="00685D41"/>
    <w:rsid w:val="00686560"/>
    <w:rsid w:val="00687133"/>
    <w:rsid w:val="00687343"/>
    <w:rsid w:val="00690146"/>
    <w:rsid w:val="00691961"/>
    <w:rsid w:val="00692166"/>
    <w:rsid w:val="00695A2E"/>
    <w:rsid w:val="006A0B79"/>
    <w:rsid w:val="006A2B4A"/>
    <w:rsid w:val="006A4289"/>
    <w:rsid w:val="006A4AA4"/>
    <w:rsid w:val="006A6542"/>
    <w:rsid w:val="006B0727"/>
    <w:rsid w:val="006B3397"/>
    <w:rsid w:val="006B4B8F"/>
    <w:rsid w:val="006B511A"/>
    <w:rsid w:val="006C0C6F"/>
    <w:rsid w:val="006C258C"/>
    <w:rsid w:val="006C4CBE"/>
    <w:rsid w:val="006C58BB"/>
    <w:rsid w:val="006C70A3"/>
    <w:rsid w:val="006D20EF"/>
    <w:rsid w:val="006D44BE"/>
    <w:rsid w:val="006E3BC1"/>
    <w:rsid w:val="006E4003"/>
    <w:rsid w:val="006F067D"/>
    <w:rsid w:val="006F0EFC"/>
    <w:rsid w:val="006F1CC2"/>
    <w:rsid w:val="006F1CC8"/>
    <w:rsid w:val="00704A9C"/>
    <w:rsid w:val="00706C1B"/>
    <w:rsid w:val="0070720E"/>
    <w:rsid w:val="0071400B"/>
    <w:rsid w:val="00714D26"/>
    <w:rsid w:val="00717432"/>
    <w:rsid w:val="0072601A"/>
    <w:rsid w:val="00726393"/>
    <w:rsid w:val="00732D73"/>
    <w:rsid w:val="00741D9A"/>
    <w:rsid w:val="007421FA"/>
    <w:rsid w:val="007510B1"/>
    <w:rsid w:val="00754D8A"/>
    <w:rsid w:val="00765813"/>
    <w:rsid w:val="00766276"/>
    <w:rsid w:val="00771A34"/>
    <w:rsid w:val="007724FD"/>
    <w:rsid w:val="00782E0D"/>
    <w:rsid w:val="00783DAF"/>
    <w:rsid w:val="00786C4B"/>
    <w:rsid w:val="00792D95"/>
    <w:rsid w:val="007A1A20"/>
    <w:rsid w:val="007A34CA"/>
    <w:rsid w:val="007A7F4D"/>
    <w:rsid w:val="007B1ED3"/>
    <w:rsid w:val="007B30C3"/>
    <w:rsid w:val="007B3927"/>
    <w:rsid w:val="007C0F92"/>
    <w:rsid w:val="007C1EEC"/>
    <w:rsid w:val="007C545F"/>
    <w:rsid w:val="007C64A1"/>
    <w:rsid w:val="007D26C1"/>
    <w:rsid w:val="007D513E"/>
    <w:rsid w:val="007E3198"/>
    <w:rsid w:val="007E4BD5"/>
    <w:rsid w:val="007E4BD9"/>
    <w:rsid w:val="007E567C"/>
    <w:rsid w:val="007F0104"/>
    <w:rsid w:val="007F1771"/>
    <w:rsid w:val="007F47EF"/>
    <w:rsid w:val="00800337"/>
    <w:rsid w:val="00803BF4"/>
    <w:rsid w:val="008075CF"/>
    <w:rsid w:val="00807D61"/>
    <w:rsid w:val="008115DA"/>
    <w:rsid w:val="0081285C"/>
    <w:rsid w:val="00821EBF"/>
    <w:rsid w:val="0082393C"/>
    <w:rsid w:val="00827201"/>
    <w:rsid w:val="008317F2"/>
    <w:rsid w:val="00833A4B"/>
    <w:rsid w:val="00835C13"/>
    <w:rsid w:val="00845CB8"/>
    <w:rsid w:val="00845EA7"/>
    <w:rsid w:val="008516B8"/>
    <w:rsid w:val="00851C33"/>
    <w:rsid w:val="00853E4A"/>
    <w:rsid w:val="008667DD"/>
    <w:rsid w:val="00871833"/>
    <w:rsid w:val="00874A4C"/>
    <w:rsid w:val="00877074"/>
    <w:rsid w:val="00882B5F"/>
    <w:rsid w:val="00883938"/>
    <w:rsid w:val="00884747"/>
    <w:rsid w:val="0089158D"/>
    <w:rsid w:val="008A0A9D"/>
    <w:rsid w:val="008A1234"/>
    <w:rsid w:val="008A217A"/>
    <w:rsid w:val="008A2DAD"/>
    <w:rsid w:val="008A4B5A"/>
    <w:rsid w:val="008A5A76"/>
    <w:rsid w:val="008A6E01"/>
    <w:rsid w:val="008A75CA"/>
    <w:rsid w:val="008A7C96"/>
    <w:rsid w:val="008B353F"/>
    <w:rsid w:val="008B4A0C"/>
    <w:rsid w:val="008B4EA6"/>
    <w:rsid w:val="008C060E"/>
    <w:rsid w:val="008C36B8"/>
    <w:rsid w:val="008C5F7B"/>
    <w:rsid w:val="008C7431"/>
    <w:rsid w:val="008D407F"/>
    <w:rsid w:val="008D4B5A"/>
    <w:rsid w:val="008D5506"/>
    <w:rsid w:val="008D758A"/>
    <w:rsid w:val="008E2282"/>
    <w:rsid w:val="008E48B2"/>
    <w:rsid w:val="008E4E9D"/>
    <w:rsid w:val="008E565D"/>
    <w:rsid w:val="008E6239"/>
    <w:rsid w:val="008F149F"/>
    <w:rsid w:val="008F1FDB"/>
    <w:rsid w:val="008F273A"/>
    <w:rsid w:val="008F3F0E"/>
    <w:rsid w:val="008F551C"/>
    <w:rsid w:val="00900AF3"/>
    <w:rsid w:val="00900ED7"/>
    <w:rsid w:val="00903CD1"/>
    <w:rsid w:val="0090477B"/>
    <w:rsid w:val="00906F4E"/>
    <w:rsid w:val="009113C9"/>
    <w:rsid w:val="0091391D"/>
    <w:rsid w:val="00913B1F"/>
    <w:rsid w:val="00915358"/>
    <w:rsid w:val="009156A0"/>
    <w:rsid w:val="00916110"/>
    <w:rsid w:val="009212D9"/>
    <w:rsid w:val="009238E8"/>
    <w:rsid w:val="00923ABB"/>
    <w:rsid w:val="0092519D"/>
    <w:rsid w:val="00926695"/>
    <w:rsid w:val="009267C0"/>
    <w:rsid w:val="00934626"/>
    <w:rsid w:val="00940C5E"/>
    <w:rsid w:val="009415D8"/>
    <w:rsid w:val="00945164"/>
    <w:rsid w:val="00945178"/>
    <w:rsid w:val="00945E6D"/>
    <w:rsid w:val="00946AEB"/>
    <w:rsid w:val="0095350D"/>
    <w:rsid w:val="009549C0"/>
    <w:rsid w:val="00954E5B"/>
    <w:rsid w:val="0096244F"/>
    <w:rsid w:val="00965421"/>
    <w:rsid w:val="0097245E"/>
    <w:rsid w:val="00975F29"/>
    <w:rsid w:val="00977B39"/>
    <w:rsid w:val="00982B3D"/>
    <w:rsid w:val="00986437"/>
    <w:rsid w:val="00990C3F"/>
    <w:rsid w:val="009957B7"/>
    <w:rsid w:val="009A07E7"/>
    <w:rsid w:val="009A232D"/>
    <w:rsid w:val="009A423F"/>
    <w:rsid w:val="009A4438"/>
    <w:rsid w:val="009A5A9D"/>
    <w:rsid w:val="009B6622"/>
    <w:rsid w:val="009B6CD9"/>
    <w:rsid w:val="009C48D8"/>
    <w:rsid w:val="009C540E"/>
    <w:rsid w:val="009C6B1C"/>
    <w:rsid w:val="009C700A"/>
    <w:rsid w:val="009D4597"/>
    <w:rsid w:val="009D4B87"/>
    <w:rsid w:val="009D5345"/>
    <w:rsid w:val="009E0783"/>
    <w:rsid w:val="009E4B2D"/>
    <w:rsid w:val="009E5DDE"/>
    <w:rsid w:val="009F680B"/>
    <w:rsid w:val="00A10375"/>
    <w:rsid w:val="00A10DA8"/>
    <w:rsid w:val="00A13867"/>
    <w:rsid w:val="00A20953"/>
    <w:rsid w:val="00A214D7"/>
    <w:rsid w:val="00A21B3B"/>
    <w:rsid w:val="00A233D4"/>
    <w:rsid w:val="00A24542"/>
    <w:rsid w:val="00A251C4"/>
    <w:rsid w:val="00A25546"/>
    <w:rsid w:val="00A32857"/>
    <w:rsid w:val="00A3618F"/>
    <w:rsid w:val="00A40C77"/>
    <w:rsid w:val="00A46AEA"/>
    <w:rsid w:val="00A51A4E"/>
    <w:rsid w:val="00A52D98"/>
    <w:rsid w:val="00A609B7"/>
    <w:rsid w:val="00A61D6B"/>
    <w:rsid w:val="00A62931"/>
    <w:rsid w:val="00A6340C"/>
    <w:rsid w:val="00A63942"/>
    <w:rsid w:val="00A66670"/>
    <w:rsid w:val="00A66851"/>
    <w:rsid w:val="00A66B49"/>
    <w:rsid w:val="00A66D3C"/>
    <w:rsid w:val="00A7081D"/>
    <w:rsid w:val="00A7196D"/>
    <w:rsid w:val="00A73151"/>
    <w:rsid w:val="00A82833"/>
    <w:rsid w:val="00A8677A"/>
    <w:rsid w:val="00A9160B"/>
    <w:rsid w:val="00A9543D"/>
    <w:rsid w:val="00A96C6B"/>
    <w:rsid w:val="00AA026E"/>
    <w:rsid w:val="00AA3730"/>
    <w:rsid w:val="00AA71C7"/>
    <w:rsid w:val="00AB2936"/>
    <w:rsid w:val="00AB613C"/>
    <w:rsid w:val="00AB7119"/>
    <w:rsid w:val="00AD0AEB"/>
    <w:rsid w:val="00AD68CA"/>
    <w:rsid w:val="00AD78CD"/>
    <w:rsid w:val="00AE3AA2"/>
    <w:rsid w:val="00AE4707"/>
    <w:rsid w:val="00AE5192"/>
    <w:rsid w:val="00AE5626"/>
    <w:rsid w:val="00AF13DB"/>
    <w:rsid w:val="00AF22D9"/>
    <w:rsid w:val="00AF2AC3"/>
    <w:rsid w:val="00AF2C6E"/>
    <w:rsid w:val="00AF4124"/>
    <w:rsid w:val="00AF4ACD"/>
    <w:rsid w:val="00AF6F80"/>
    <w:rsid w:val="00B030CB"/>
    <w:rsid w:val="00B06BC0"/>
    <w:rsid w:val="00B07BDB"/>
    <w:rsid w:val="00B117BC"/>
    <w:rsid w:val="00B15A97"/>
    <w:rsid w:val="00B17378"/>
    <w:rsid w:val="00B179F3"/>
    <w:rsid w:val="00B203FB"/>
    <w:rsid w:val="00B2308B"/>
    <w:rsid w:val="00B25C26"/>
    <w:rsid w:val="00B364EF"/>
    <w:rsid w:val="00B40962"/>
    <w:rsid w:val="00B4535F"/>
    <w:rsid w:val="00B519CC"/>
    <w:rsid w:val="00B52E42"/>
    <w:rsid w:val="00B54495"/>
    <w:rsid w:val="00B575D0"/>
    <w:rsid w:val="00B619B2"/>
    <w:rsid w:val="00B6539F"/>
    <w:rsid w:val="00B66BCD"/>
    <w:rsid w:val="00B66C95"/>
    <w:rsid w:val="00B76CB5"/>
    <w:rsid w:val="00B77983"/>
    <w:rsid w:val="00B95D49"/>
    <w:rsid w:val="00BA0D3E"/>
    <w:rsid w:val="00BA1D53"/>
    <w:rsid w:val="00BB2278"/>
    <w:rsid w:val="00BB2FE4"/>
    <w:rsid w:val="00BB3926"/>
    <w:rsid w:val="00BB3E51"/>
    <w:rsid w:val="00BB3FA3"/>
    <w:rsid w:val="00BC3A5D"/>
    <w:rsid w:val="00BC404F"/>
    <w:rsid w:val="00BC5265"/>
    <w:rsid w:val="00BD61B4"/>
    <w:rsid w:val="00BD7BEC"/>
    <w:rsid w:val="00BF126A"/>
    <w:rsid w:val="00BF4047"/>
    <w:rsid w:val="00BF4CD6"/>
    <w:rsid w:val="00C02AA4"/>
    <w:rsid w:val="00C06A54"/>
    <w:rsid w:val="00C07C27"/>
    <w:rsid w:val="00C10383"/>
    <w:rsid w:val="00C15730"/>
    <w:rsid w:val="00C17476"/>
    <w:rsid w:val="00C2003D"/>
    <w:rsid w:val="00C21C23"/>
    <w:rsid w:val="00C21F73"/>
    <w:rsid w:val="00C26C8E"/>
    <w:rsid w:val="00C27544"/>
    <w:rsid w:val="00C302CB"/>
    <w:rsid w:val="00C316BE"/>
    <w:rsid w:val="00C328C8"/>
    <w:rsid w:val="00C3312C"/>
    <w:rsid w:val="00C33C53"/>
    <w:rsid w:val="00C40A98"/>
    <w:rsid w:val="00C40B83"/>
    <w:rsid w:val="00C44912"/>
    <w:rsid w:val="00C44D23"/>
    <w:rsid w:val="00C44FAF"/>
    <w:rsid w:val="00C4610F"/>
    <w:rsid w:val="00C51AB1"/>
    <w:rsid w:val="00C538E9"/>
    <w:rsid w:val="00C563CD"/>
    <w:rsid w:val="00C56B59"/>
    <w:rsid w:val="00C56C0F"/>
    <w:rsid w:val="00C61289"/>
    <w:rsid w:val="00C70293"/>
    <w:rsid w:val="00C7057F"/>
    <w:rsid w:val="00C70EA8"/>
    <w:rsid w:val="00C71156"/>
    <w:rsid w:val="00C7163E"/>
    <w:rsid w:val="00C716F0"/>
    <w:rsid w:val="00C740F4"/>
    <w:rsid w:val="00C7459F"/>
    <w:rsid w:val="00C74F77"/>
    <w:rsid w:val="00C82046"/>
    <w:rsid w:val="00C82B50"/>
    <w:rsid w:val="00C834EB"/>
    <w:rsid w:val="00C836CA"/>
    <w:rsid w:val="00C85099"/>
    <w:rsid w:val="00C87073"/>
    <w:rsid w:val="00C91A83"/>
    <w:rsid w:val="00C94A91"/>
    <w:rsid w:val="00CA1FA2"/>
    <w:rsid w:val="00CA750E"/>
    <w:rsid w:val="00CB2201"/>
    <w:rsid w:val="00CB71E7"/>
    <w:rsid w:val="00CC1CFE"/>
    <w:rsid w:val="00CC3311"/>
    <w:rsid w:val="00CC4DC7"/>
    <w:rsid w:val="00CD59B0"/>
    <w:rsid w:val="00CD74A7"/>
    <w:rsid w:val="00CE03D1"/>
    <w:rsid w:val="00CE3FEF"/>
    <w:rsid w:val="00CE5CD2"/>
    <w:rsid w:val="00CE60FB"/>
    <w:rsid w:val="00CE7AE9"/>
    <w:rsid w:val="00CF5C48"/>
    <w:rsid w:val="00D00B32"/>
    <w:rsid w:val="00D02617"/>
    <w:rsid w:val="00D02BDA"/>
    <w:rsid w:val="00D02CEF"/>
    <w:rsid w:val="00D06247"/>
    <w:rsid w:val="00D16EB2"/>
    <w:rsid w:val="00D17FCA"/>
    <w:rsid w:val="00D206CF"/>
    <w:rsid w:val="00D2119A"/>
    <w:rsid w:val="00D2190D"/>
    <w:rsid w:val="00D26048"/>
    <w:rsid w:val="00D27553"/>
    <w:rsid w:val="00D33D21"/>
    <w:rsid w:val="00D3508C"/>
    <w:rsid w:val="00D35665"/>
    <w:rsid w:val="00D356D5"/>
    <w:rsid w:val="00D35C91"/>
    <w:rsid w:val="00D36357"/>
    <w:rsid w:val="00D36CAA"/>
    <w:rsid w:val="00D4097A"/>
    <w:rsid w:val="00D45FD5"/>
    <w:rsid w:val="00D47E5A"/>
    <w:rsid w:val="00D50631"/>
    <w:rsid w:val="00D512F0"/>
    <w:rsid w:val="00D625C9"/>
    <w:rsid w:val="00D6426B"/>
    <w:rsid w:val="00D6493C"/>
    <w:rsid w:val="00D64CE6"/>
    <w:rsid w:val="00D652B3"/>
    <w:rsid w:val="00D65921"/>
    <w:rsid w:val="00D65CF0"/>
    <w:rsid w:val="00D7645C"/>
    <w:rsid w:val="00D811B8"/>
    <w:rsid w:val="00D81CDE"/>
    <w:rsid w:val="00D8544D"/>
    <w:rsid w:val="00D91AEA"/>
    <w:rsid w:val="00D928F6"/>
    <w:rsid w:val="00DA0058"/>
    <w:rsid w:val="00DA14ED"/>
    <w:rsid w:val="00DA76AF"/>
    <w:rsid w:val="00DB1C1F"/>
    <w:rsid w:val="00DB26F9"/>
    <w:rsid w:val="00DB456B"/>
    <w:rsid w:val="00DB4EEA"/>
    <w:rsid w:val="00DB76F4"/>
    <w:rsid w:val="00DC3346"/>
    <w:rsid w:val="00DC3392"/>
    <w:rsid w:val="00DC3E97"/>
    <w:rsid w:val="00DC73A6"/>
    <w:rsid w:val="00DD3257"/>
    <w:rsid w:val="00DD604C"/>
    <w:rsid w:val="00DD6569"/>
    <w:rsid w:val="00DE41EC"/>
    <w:rsid w:val="00DE4997"/>
    <w:rsid w:val="00DF08BE"/>
    <w:rsid w:val="00DF37B3"/>
    <w:rsid w:val="00DF4333"/>
    <w:rsid w:val="00DF6B04"/>
    <w:rsid w:val="00E01CC3"/>
    <w:rsid w:val="00E032BF"/>
    <w:rsid w:val="00E05CDE"/>
    <w:rsid w:val="00E110F3"/>
    <w:rsid w:val="00E13B8E"/>
    <w:rsid w:val="00E17791"/>
    <w:rsid w:val="00E213AD"/>
    <w:rsid w:val="00E21667"/>
    <w:rsid w:val="00E25792"/>
    <w:rsid w:val="00E300BE"/>
    <w:rsid w:val="00E30197"/>
    <w:rsid w:val="00E323CE"/>
    <w:rsid w:val="00E33C93"/>
    <w:rsid w:val="00E34614"/>
    <w:rsid w:val="00E34977"/>
    <w:rsid w:val="00E41C29"/>
    <w:rsid w:val="00E427E9"/>
    <w:rsid w:val="00E43280"/>
    <w:rsid w:val="00E505C5"/>
    <w:rsid w:val="00E50EF0"/>
    <w:rsid w:val="00E52646"/>
    <w:rsid w:val="00E54939"/>
    <w:rsid w:val="00E5504B"/>
    <w:rsid w:val="00E55E5E"/>
    <w:rsid w:val="00E569B6"/>
    <w:rsid w:val="00E62E2C"/>
    <w:rsid w:val="00E6372D"/>
    <w:rsid w:val="00E6641D"/>
    <w:rsid w:val="00E7382B"/>
    <w:rsid w:val="00E74209"/>
    <w:rsid w:val="00E74254"/>
    <w:rsid w:val="00E746F5"/>
    <w:rsid w:val="00E77BEF"/>
    <w:rsid w:val="00E81F50"/>
    <w:rsid w:val="00E93E2A"/>
    <w:rsid w:val="00E95B58"/>
    <w:rsid w:val="00E96F2A"/>
    <w:rsid w:val="00E973C5"/>
    <w:rsid w:val="00E97A8A"/>
    <w:rsid w:val="00EA0490"/>
    <w:rsid w:val="00EA06D9"/>
    <w:rsid w:val="00EA10C1"/>
    <w:rsid w:val="00EA1AD9"/>
    <w:rsid w:val="00EA3FE0"/>
    <w:rsid w:val="00EA617F"/>
    <w:rsid w:val="00EB10FF"/>
    <w:rsid w:val="00EB3BEE"/>
    <w:rsid w:val="00EB3DD9"/>
    <w:rsid w:val="00EB7011"/>
    <w:rsid w:val="00EB775D"/>
    <w:rsid w:val="00EC0CC1"/>
    <w:rsid w:val="00EC1B11"/>
    <w:rsid w:val="00EC2BDA"/>
    <w:rsid w:val="00EC6CF6"/>
    <w:rsid w:val="00ED37E3"/>
    <w:rsid w:val="00ED47BC"/>
    <w:rsid w:val="00ED4966"/>
    <w:rsid w:val="00ED601C"/>
    <w:rsid w:val="00ED7582"/>
    <w:rsid w:val="00ED775C"/>
    <w:rsid w:val="00ED7D76"/>
    <w:rsid w:val="00EE0F7F"/>
    <w:rsid w:val="00EE2378"/>
    <w:rsid w:val="00EE2745"/>
    <w:rsid w:val="00EE4B61"/>
    <w:rsid w:val="00EE53EA"/>
    <w:rsid w:val="00EE5CB0"/>
    <w:rsid w:val="00EE76E3"/>
    <w:rsid w:val="00EE7FFD"/>
    <w:rsid w:val="00EF49D1"/>
    <w:rsid w:val="00EF4C67"/>
    <w:rsid w:val="00EF5C5F"/>
    <w:rsid w:val="00EF63D1"/>
    <w:rsid w:val="00EF7CA8"/>
    <w:rsid w:val="00F0431F"/>
    <w:rsid w:val="00F11FA3"/>
    <w:rsid w:val="00F14037"/>
    <w:rsid w:val="00F165F4"/>
    <w:rsid w:val="00F20E80"/>
    <w:rsid w:val="00F21890"/>
    <w:rsid w:val="00F23F21"/>
    <w:rsid w:val="00F2549C"/>
    <w:rsid w:val="00F263D8"/>
    <w:rsid w:val="00F27789"/>
    <w:rsid w:val="00F306DA"/>
    <w:rsid w:val="00F323B0"/>
    <w:rsid w:val="00F34398"/>
    <w:rsid w:val="00F36973"/>
    <w:rsid w:val="00F37EAD"/>
    <w:rsid w:val="00F40090"/>
    <w:rsid w:val="00F42BC5"/>
    <w:rsid w:val="00F44367"/>
    <w:rsid w:val="00F50E7E"/>
    <w:rsid w:val="00F51105"/>
    <w:rsid w:val="00F57884"/>
    <w:rsid w:val="00F610B0"/>
    <w:rsid w:val="00F6140D"/>
    <w:rsid w:val="00F66A86"/>
    <w:rsid w:val="00F710DC"/>
    <w:rsid w:val="00F7123F"/>
    <w:rsid w:val="00F744E4"/>
    <w:rsid w:val="00F747EE"/>
    <w:rsid w:val="00F777FD"/>
    <w:rsid w:val="00F87FD7"/>
    <w:rsid w:val="00F9052E"/>
    <w:rsid w:val="00F92617"/>
    <w:rsid w:val="00F93347"/>
    <w:rsid w:val="00FB08B7"/>
    <w:rsid w:val="00FB16CC"/>
    <w:rsid w:val="00FB2D49"/>
    <w:rsid w:val="00FB35FC"/>
    <w:rsid w:val="00FB3E79"/>
    <w:rsid w:val="00FB405C"/>
    <w:rsid w:val="00FB4119"/>
    <w:rsid w:val="00FB4A4B"/>
    <w:rsid w:val="00FC29C1"/>
    <w:rsid w:val="00FC5C7C"/>
    <w:rsid w:val="00FC657D"/>
    <w:rsid w:val="00FD0397"/>
    <w:rsid w:val="00FD397B"/>
    <w:rsid w:val="00FE3A70"/>
    <w:rsid w:val="00FE5043"/>
    <w:rsid w:val="00FE560F"/>
    <w:rsid w:val="00FE6C3B"/>
    <w:rsid w:val="00FF1307"/>
    <w:rsid w:val="00FF3302"/>
    <w:rsid w:val="00FF6F45"/>
    <w:rsid w:val="00FF7390"/>
    <w:rsid w:val="00FF739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0A29B98"/>
  <w15:docId w15:val="{FD906DB2-274F-C440-B80B-DEEEEDED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7">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tabs>
        <w:tab w:val="left" w:pos="-720"/>
      </w:tabs>
      <w:spacing w:line="360" w:lineRule="atLeast"/>
      <w:jc w:val="both"/>
    </w:pPr>
    <w:rPr>
      <w:lang w:eastAsia="fr-FR"/>
    </w:rPr>
  </w:style>
  <w:style w:type="paragraph" w:styleId="Titre1">
    <w:name w:val="heading 1"/>
    <w:basedOn w:val="Normal"/>
    <w:next w:val="Normal"/>
    <w:link w:val="Titre1Car"/>
    <w:uiPriority w:val="99"/>
    <w:qFormat/>
    <w:pPr>
      <w:spacing w:before="240"/>
      <w:outlineLvl w:val="0"/>
    </w:pPr>
    <w:rPr>
      <w:rFonts w:ascii="Arial" w:hAnsi="Arial" w:cs="Arial"/>
      <w:b/>
      <w:bCs/>
      <w:u w:val="single"/>
    </w:rPr>
  </w:style>
  <w:style w:type="paragraph" w:styleId="Titre2">
    <w:name w:val="heading 2"/>
    <w:basedOn w:val="Normal"/>
    <w:next w:val="Normal"/>
    <w:qFormat/>
    <w:pPr>
      <w:spacing w:before="120"/>
      <w:outlineLvl w:val="1"/>
    </w:pPr>
    <w:rPr>
      <w:rFonts w:ascii="Arial" w:hAnsi="Arial" w:cs="Arial"/>
      <w:b/>
      <w:bCs/>
    </w:rPr>
  </w:style>
  <w:style w:type="paragraph" w:styleId="Titre3">
    <w:name w:val="heading 3"/>
    <w:basedOn w:val="Normal"/>
    <w:next w:val="Normal"/>
    <w:qFormat/>
    <w:pPr>
      <w:ind w:left="360"/>
      <w:outlineLvl w:val="2"/>
    </w:pPr>
    <w:rPr>
      <w:b/>
      <w:bCs/>
    </w:rPr>
  </w:style>
  <w:style w:type="paragraph" w:styleId="Titre4">
    <w:name w:val="heading 4"/>
    <w:basedOn w:val="Normal"/>
    <w:next w:val="Normal"/>
    <w:qFormat/>
    <w:pPr>
      <w:ind w:left="360"/>
      <w:outlineLvl w:val="3"/>
    </w:pPr>
    <w:rPr>
      <w:u w:val="single"/>
    </w:rPr>
  </w:style>
  <w:style w:type="paragraph" w:styleId="Titre5">
    <w:name w:val="heading 5"/>
    <w:basedOn w:val="Normal"/>
    <w:next w:val="Normal"/>
    <w:qFormat/>
    <w:pPr>
      <w:ind w:left="720"/>
      <w:outlineLvl w:val="4"/>
    </w:pPr>
    <w:rPr>
      <w:b/>
      <w:bCs/>
    </w:rPr>
  </w:style>
  <w:style w:type="paragraph" w:styleId="Titre6">
    <w:name w:val="heading 6"/>
    <w:basedOn w:val="Normal"/>
    <w:next w:val="Normal"/>
    <w:qFormat/>
    <w:pPr>
      <w:ind w:left="720"/>
      <w:outlineLvl w:val="5"/>
    </w:pPr>
    <w:rPr>
      <w:u w:val="single"/>
    </w:rPr>
  </w:style>
  <w:style w:type="paragraph" w:styleId="Titre7">
    <w:name w:val="heading 7"/>
    <w:basedOn w:val="Normal"/>
    <w:next w:val="Normal"/>
    <w:qFormat/>
    <w:pPr>
      <w:ind w:left="720"/>
      <w:outlineLvl w:val="6"/>
    </w:pPr>
    <w:rPr>
      <w:i/>
      <w:iCs/>
    </w:rPr>
  </w:style>
  <w:style w:type="paragraph" w:styleId="Titre8">
    <w:name w:val="heading 8"/>
    <w:basedOn w:val="Normal"/>
    <w:next w:val="Normal"/>
    <w:qFormat/>
    <w:pPr>
      <w:ind w:left="720"/>
      <w:outlineLvl w:val="7"/>
    </w:pPr>
    <w:rPr>
      <w:i/>
      <w:iCs/>
    </w:rPr>
  </w:style>
  <w:style w:type="paragraph" w:styleId="Titre9">
    <w:name w:val="heading 9"/>
    <w:basedOn w:val="Normal"/>
    <w:next w:val="Normal"/>
    <w:qFormat/>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rsid w:val="00417621"/>
    <w:rPr>
      <w:rFonts w:ascii="Arial" w:hAnsi="Arial"/>
      <w:sz w:val="16"/>
    </w:rPr>
  </w:style>
  <w:style w:type="paragraph" w:styleId="En-tte">
    <w:name w:val="header"/>
    <w:basedOn w:val="Normal"/>
    <w:link w:val="En-tteCar"/>
    <w:uiPriority w:val="99"/>
    <w:pPr>
      <w:tabs>
        <w:tab w:val="clear" w:pos="-720"/>
        <w:tab w:val="center" w:pos="4536"/>
        <w:tab w:val="right" w:pos="9072"/>
      </w:tabs>
    </w:pPr>
  </w:style>
  <w:style w:type="paragraph" w:customStyle="1" w:styleId="notedebas">
    <w:name w:val="note de bas"/>
    <w:basedOn w:val="Normal"/>
    <w:rsid w:val="00242A97"/>
    <w:pPr>
      <w:widowControl w:val="0"/>
      <w:spacing w:line="240" w:lineRule="auto"/>
      <w:ind w:left="425" w:hanging="425"/>
    </w:pPr>
    <w:rPr>
      <w:rFonts w:ascii="Arial" w:hAnsi="Arial" w:cs="Arial"/>
      <w:sz w:val="16"/>
      <w:szCs w:val="16"/>
      <w:lang w:val="en-US"/>
    </w:rPr>
  </w:style>
  <w:style w:type="paragraph" w:customStyle="1" w:styleId="a">
    <w:name w:val="a)"/>
    <w:basedOn w:val="Normal"/>
    <w:pPr>
      <w:tabs>
        <w:tab w:val="clear" w:pos="-720"/>
      </w:tabs>
      <w:spacing w:after="120" w:line="240" w:lineRule="auto"/>
      <w:ind w:left="425" w:hanging="425"/>
    </w:pPr>
    <w:rPr>
      <w:rFonts w:ascii="Ottawa" w:hAnsi="Ottawa"/>
      <w:b/>
      <w:bCs/>
    </w:rPr>
  </w:style>
  <w:style w:type="paragraph" w:customStyle="1" w:styleId="paraa">
    <w:name w:val="paraa)"/>
    <w:basedOn w:val="Normal"/>
    <w:pPr>
      <w:spacing w:after="240" w:line="240" w:lineRule="auto"/>
      <w:ind w:left="425"/>
    </w:pPr>
    <w:rPr>
      <w:rFonts w:ascii="Arial" w:hAnsi="Arial" w:cs="Arial"/>
      <w:sz w:val="18"/>
      <w:szCs w:val="18"/>
    </w:rPr>
  </w:style>
  <w:style w:type="paragraph" w:customStyle="1" w:styleId="1">
    <w:name w:val="1"/>
    <w:basedOn w:val="para1"/>
    <w:qFormat/>
    <w:pPr>
      <w:tabs>
        <w:tab w:val="clear" w:pos="-720"/>
      </w:tabs>
      <w:ind w:left="426" w:hanging="426"/>
    </w:pPr>
    <w:rPr>
      <w:rFonts w:ascii="Ottawa" w:hAnsi="Ottawa"/>
      <w:b/>
      <w:bCs/>
      <w:sz w:val="22"/>
      <w:szCs w:val="22"/>
    </w:rPr>
  </w:style>
  <w:style w:type="paragraph" w:customStyle="1" w:styleId="para1">
    <w:name w:val="para1"/>
    <w:basedOn w:val="Normal"/>
    <w:pPr>
      <w:spacing w:after="240" w:line="240" w:lineRule="auto"/>
    </w:pPr>
    <w:rPr>
      <w:rFonts w:ascii="Arial" w:hAnsi="Arial" w:cs="Arial"/>
      <w:sz w:val="18"/>
      <w:szCs w:val="18"/>
    </w:rPr>
  </w:style>
  <w:style w:type="paragraph" w:customStyle="1" w:styleId="i">
    <w:name w:val="i)"/>
    <w:basedOn w:val="Normal"/>
    <w:link w:val="iCar"/>
    <w:qFormat/>
    <w:rsid w:val="00DA14ED"/>
    <w:pPr>
      <w:spacing w:after="120" w:line="240" w:lineRule="auto"/>
      <w:ind w:left="1843" w:hanging="425"/>
    </w:pPr>
    <w:rPr>
      <w:rFonts w:ascii="Arial" w:hAnsi="Arial" w:cs="Arial"/>
      <w:sz w:val="18"/>
      <w:szCs w:val="18"/>
    </w:rPr>
  </w:style>
  <w:style w:type="paragraph" w:customStyle="1" w:styleId="A0">
    <w:name w:val="A"/>
    <w:basedOn w:val="Normal"/>
    <w:uiPriority w:val="99"/>
    <w:rsid w:val="00230BE2"/>
    <w:pPr>
      <w:spacing w:after="240" w:line="240" w:lineRule="auto"/>
      <w:jc w:val="center"/>
    </w:pPr>
    <w:rPr>
      <w:rFonts w:ascii="Ottawa" w:hAnsi="Ottawa"/>
      <w:b/>
      <w:bCs/>
      <w:caps/>
    </w:rPr>
  </w:style>
  <w:style w:type="paragraph" w:customStyle="1" w:styleId="Ref">
    <w:name w:val="Ref."/>
    <w:basedOn w:val="Normal"/>
    <w:rsid w:val="00C3312C"/>
    <w:pPr>
      <w:spacing w:after="240" w:line="240" w:lineRule="auto"/>
    </w:pPr>
    <w:rPr>
      <w:rFonts w:ascii="Arial" w:hAnsi="Arial" w:cs="Arial"/>
      <w:sz w:val="18"/>
      <w:szCs w:val="18"/>
    </w:rPr>
  </w:style>
  <w:style w:type="paragraph" w:customStyle="1" w:styleId="sumtexte">
    <w:name w:val="sumtexte"/>
    <w:basedOn w:val="Normal"/>
    <w:pPr>
      <w:spacing w:after="120" w:line="240" w:lineRule="exact"/>
      <w:ind w:left="567" w:right="567"/>
    </w:pPr>
    <w:rPr>
      <w:rFonts w:ascii="Arial" w:hAnsi="Arial" w:cs="Arial"/>
      <w:i/>
      <w:iCs/>
      <w:sz w:val="18"/>
      <w:szCs w:val="18"/>
    </w:rPr>
  </w:style>
  <w:style w:type="paragraph" w:customStyle="1" w:styleId="paraA0">
    <w:name w:val="paraA"/>
    <w:basedOn w:val="Normal"/>
    <w:pPr>
      <w:spacing w:after="240" w:line="240" w:lineRule="auto"/>
    </w:pPr>
    <w:rPr>
      <w:rFonts w:ascii="Arial" w:hAnsi="Arial" w:cs="Arial"/>
      <w:sz w:val="18"/>
      <w:szCs w:val="18"/>
    </w:rPr>
  </w:style>
  <w:style w:type="paragraph" w:customStyle="1" w:styleId="TITRE">
    <w:name w:val="TITRE"/>
    <w:basedOn w:val="Normal"/>
    <w:pPr>
      <w:spacing w:after="240"/>
      <w:jc w:val="center"/>
    </w:pPr>
    <w:rPr>
      <w:b/>
      <w:bCs/>
      <w:caps/>
    </w:rPr>
  </w:style>
  <w:style w:type="paragraph" w:styleId="Pieddepage">
    <w:name w:val="footer"/>
    <w:basedOn w:val="Normal"/>
    <w:pPr>
      <w:tabs>
        <w:tab w:val="clear" w:pos="-720"/>
        <w:tab w:val="center" w:pos="4536"/>
        <w:tab w:val="right" w:pos="9072"/>
      </w:tabs>
    </w:pPr>
  </w:style>
  <w:style w:type="paragraph" w:styleId="Notedebasdepage">
    <w:name w:val="footnote text"/>
    <w:basedOn w:val="Normal"/>
    <w:link w:val="NotedebasdepageCar"/>
    <w:uiPriority w:val="99"/>
    <w:semiHidden/>
  </w:style>
  <w:style w:type="character" w:styleId="Appelnotedebasdep">
    <w:name w:val="footnote reference"/>
    <w:uiPriority w:val="99"/>
    <w:semiHidden/>
    <w:rPr>
      <w:vertAlign w:val="superscript"/>
    </w:rPr>
  </w:style>
  <w:style w:type="paragraph" w:customStyle="1" w:styleId="sumtextelastpara">
    <w:name w:val="sumtexte last para"/>
    <w:basedOn w:val="sumtexte"/>
    <w:rsid w:val="00242A97"/>
    <w:pPr>
      <w:spacing w:after="480"/>
    </w:pPr>
  </w:style>
  <w:style w:type="paragraph" w:customStyle="1" w:styleId="b">
    <w:name w:val="b)"/>
    <w:basedOn w:val="Normal"/>
    <w:rsid w:val="00242A97"/>
    <w:pPr>
      <w:spacing w:after="120" w:line="240" w:lineRule="auto"/>
      <w:ind w:left="850" w:hanging="425"/>
    </w:pPr>
    <w:rPr>
      <w:rFonts w:ascii="Ottawa" w:hAnsi="Ottawa"/>
      <w:b/>
      <w:sz w:val="18"/>
    </w:rPr>
  </w:style>
  <w:style w:type="paragraph" w:customStyle="1" w:styleId="ipara">
    <w:name w:val="i_para"/>
    <w:basedOn w:val="i"/>
    <w:link w:val="iparaCar"/>
    <w:rsid w:val="00242A97"/>
    <w:pPr>
      <w:spacing w:line="200" w:lineRule="exact"/>
      <w:ind w:left="851" w:firstLine="0"/>
    </w:pPr>
  </w:style>
  <w:style w:type="paragraph" w:customStyle="1" w:styleId="iparalast">
    <w:name w:val="i_para_last"/>
    <w:basedOn w:val="i"/>
    <w:link w:val="iparalastCar"/>
    <w:rsid w:val="00242A97"/>
    <w:pPr>
      <w:spacing w:after="240" w:line="200" w:lineRule="exact"/>
    </w:pPr>
  </w:style>
  <w:style w:type="paragraph" w:customStyle="1" w:styleId="Referencetitle">
    <w:name w:val="Reference_title"/>
    <w:basedOn w:val="Normal"/>
    <w:rsid w:val="005F0A04"/>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B15A97"/>
    <w:pPr>
      <w:spacing w:after="240" w:line="240" w:lineRule="auto"/>
      <w:jc w:val="center"/>
    </w:pPr>
    <w:rPr>
      <w:rFonts w:ascii="Ottawa" w:hAnsi="Ottawa"/>
      <w:caps/>
      <w:spacing w:val="60"/>
    </w:rPr>
  </w:style>
  <w:style w:type="paragraph" w:customStyle="1" w:styleId="Chaptertitle">
    <w:name w:val="Chapter_title"/>
    <w:basedOn w:val="Normal"/>
    <w:rsid w:val="00EA1AD9"/>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B15A97"/>
    <w:pPr>
      <w:spacing w:before="1200"/>
    </w:pPr>
  </w:style>
  <w:style w:type="paragraph" w:customStyle="1" w:styleId="rtoiles">
    <w:name w:val="r_étoiles"/>
    <w:basedOn w:val="Normal"/>
    <w:next w:val="Normal"/>
    <w:rsid w:val="008B353F"/>
    <w:pPr>
      <w:keepLines/>
      <w:tabs>
        <w:tab w:val="clear" w:pos="-720"/>
      </w:tabs>
      <w:spacing w:before="240" w:after="240" w:line="240" w:lineRule="atLeast"/>
      <w:jc w:val="center"/>
    </w:pPr>
    <w:rPr>
      <w:lang w:val="fr-FR"/>
    </w:rPr>
  </w:style>
  <w:style w:type="paragraph" w:styleId="Textedebulles">
    <w:name w:val="Balloon Text"/>
    <w:basedOn w:val="Normal"/>
    <w:semiHidden/>
    <w:rsid w:val="00CE03D1"/>
    <w:rPr>
      <w:rFonts w:ascii="Tahoma" w:hAnsi="Tahoma" w:cs="Tahoma"/>
      <w:sz w:val="16"/>
      <w:szCs w:val="16"/>
    </w:rPr>
  </w:style>
  <w:style w:type="character" w:customStyle="1" w:styleId="iCar">
    <w:name w:val="i) Car"/>
    <w:link w:val="i"/>
    <w:rsid w:val="00DA14ED"/>
    <w:rPr>
      <w:rFonts w:ascii="Arial" w:hAnsi="Arial" w:cs="Arial"/>
      <w:sz w:val="18"/>
      <w:szCs w:val="18"/>
      <w:lang w:eastAsia="fr-FR"/>
    </w:rPr>
  </w:style>
  <w:style w:type="character" w:customStyle="1" w:styleId="iparalastCar">
    <w:name w:val="i_para_last Car"/>
    <w:basedOn w:val="iCar"/>
    <w:link w:val="iparalast"/>
    <w:rsid w:val="00431B81"/>
    <w:rPr>
      <w:rFonts w:ascii="Arial" w:hAnsi="Arial" w:cs="Arial"/>
      <w:sz w:val="18"/>
      <w:szCs w:val="18"/>
      <w:lang w:val="en-GB" w:eastAsia="fr-FR" w:bidi="ar-SA"/>
    </w:rPr>
  </w:style>
  <w:style w:type="character" w:styleId="Lienhypertexte">
    <w:name w:val="Hyperlink"/>
    <w:uiPriority w:val="99"/>
    <w:rsid w:val="009C48D8"/>
    <w:rPr>
      <w:color w:val="0000FF"/>
      <w:u w:val="single"/>
    </w:rPr>
  </w:style>
  <w:style w:type="paragraph" w:styleId="PrformatHTML">
    <w:name w:val="HTML Preformatted"/>
    <w:basedOn w:val="Normal"/>
    <w:rsid w:val="00380A01"/>
    <w:p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lang w:val="fr-FR"/>
    </w:rPr>
  </w:style>
  <w:style w:type="character" w:styleId="Marquedecommentaire">
    <w:name w:val="annotation reference"/>
    <w:uiPriority w:val="99"/>
    <w:semiHidden/>
    <w:rsid w:val="00D02617"/>
    <w:rPr>
      <w:sz w:val="16"/>
      <w:szCs w:val="16"/>
    </w:rPr>
  </w:style>
  <w:style w:type="paragraph" w:styleId="Commentaire">
    <w:name w:val="annotation text"/>
    <w:basedOn w:val="Normal"/>
    <w:link w:val="CommentaireCar"/>
    <w:uiPriority w:val="99"/>
    <w:semiHidden/>
    <w:rsid w:val="00D02617"/>
  </w:style>
  <w:style w:type="paragraph" w:styleId="Objetducommentaire">
    <w:name w:val="annotation subject"/>
    <w:basedOn w:val="Commentaire"/>
    <w:next w:val="Commentaire"/>
    <w:semiHidden/>
    <w:rsid w:val="00D02617"/>
    <w:rPr>
      <w:b/>
      <w:bCs/>
    </w:rPr>
  </w:style>
  <w:style w:type="paragraph" w:styleId="Explorateurdedocuments">
    <w:name w:val="Document Map"/>
    <w:basedOn w:val="Normal"/>
    <w:semiHidden/>
    <w:rsid w:val="00E77BEF"/>
    <w:pPr>
      <w:shd w:val="clear" w:color="auto" w:fill="000080"/>
    </w:pPr>
    <w:rPr>
      <w:rFonts w:ascii="Tahoma" w:hAnsi="Tahoma" w:cs="Tahoma"/>
    </w:rPr>
  </w:style>
  <w:style w:type="character" w:customStyle="1" w:styleId="CommentaireCar">
    <w:name w:val="Commentaire Car"/>
    <w:link w:val="Commentaire"/>
    <w:uiPriority w:val="99"/>
    <w:semiHidden/>
    <w:rsid w:val="00391C86"/>
    <w:rPr>
      <w:lang w:val="en-GB"/>
    </w:rPr>
  </w:style>
  <w:style w:type="character" w:customStyle="1" w:styleId="iCar1">
    <w:name w:val="i) Car1"/>
    <w:rsid w:val="00A52D98"/>
    <w:rPr>
      <w:rFonts w:ascii="Arial" w:hAnsi="Arial" w:cs="Arial"/>
      <w:sz w:val="18"/>
      <w:szCs w:val="18"/>
      <w:lang w:val="en-GB" w:eastAsia="fr-FR" w:bidi="ar-SA"/>
    </w:rPr>
  </w:style>
  <w:style w:type="character" w:customStyle="1" w:styleId="iparaCar">
    <w:name w:val="i_para Car"/>
    <w:basedOn w:val="iCar1"/>
    <w:link w:val="ipara"/>
    <w:rsid w:val="00A52D98"/>
    <w:rPr>
      <w:rFonts w:ascii="Arial" w:hAnsi="Arial" w:cs="Arial"/>
      <w:sz w:val="18"/>
      <w:szCs w:val="18"/>
      <w:lang w:val="en-GB" w:eastAsia="fr-FR" w:bidi="ar-SA"/>
    </w:rPr>
  </w:style>
  <w:style w:type="paragraph" w:styleId="NormalWeb">
    <w:name w:val="Normal (Web)"/>
    <w:basedOn w:val="Normal"/>
    <w:uiPriority w:val="99"/>
    <w:semiHidden/>
    <w:unhideWhenUsed/>
    <w:rsid w:val="008F1FDB"/>
  </w:style>
  <w:style w:type="paragraph" w:styleId="Paragraphedeliste">
    <w:name w:val="List Paragraph"/>
    <w:basedOn w:val="Normal"/>
    <w:uiPriority w:val="34"/>
    <w:qFormat/>
    <w:rsid w:val="00E54939"/>
    <w:pPr>
      <w:ind w:left="720"/>
      <w:contextualSpacing/>
    </w:pPr>
  </w:style>
  <w:style w:type="paragraph" w:customStyle="1" w:styleId="Reflabnote">
    <w:name w:val="Ref_lab_note"/>
    <w:basedOn w:val="Normal"/>
    <w:link w:val="ReflabnoteCar"/>
    <w:rsid w:val="00D4097A"/>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basedOn w:val="Policepardfaut"/>
    <w:link w:val="Reflabnote"/>
    <w:rsid w:val="00D4097A"/>
    <w:rPr>
      <w:rFonts w:ascii="Arial" w:hAnsi="Arial" w:cs="Arial"/>
      <w:sz w:val="18"/>
      <w:szCs w:val="18"/>
      <w:lang w:eastAsia="fr-FR"/>
    </w:rPr>
  </w:style>
  <w:style w:type="character" w:customStyle="1" w:styleId="En-tteCar">
    <w:name w:val="En-tête Car"/>
    <w:basedOn w:val="Policepardfaut"/>
    <w:link w:val="En-tte"/>
    <w:uiPriority w:val="99"/>
    <w:rsid w:val="00BB3FA3"/>
    <w:rPr>
      <w:lang w:eastAsia="fr-FR"/>
    </w:rPr>
  </w:style>
  <w:style w:type="paragraph" w:customStyle="1" w:styleId="3">
    <w:name w:val="3"/>
    <w:basedOn w:val="Normal"/>
    <w:rsid w:val="00ED775C"/>
    <w:pPr>
      <w:tabs>
        <w:tab w:val="clear" w:pos="-720"/>
      </w:tabs>
      <w:spacing w:after="240" w:line="240" w:lineRule="exact"/>
      <w:ind w:left="1276" w:hanging="426"/>
    </w:pPr>
    <w:rPr>
      <w:rFonts w:ascii="Verdana" w:hAnsi="Verdana"/>
      <w:b/>
      <w:bCs/>
      <w:sz w:val="18"/>
    </w:rPr>
  </w:style>
  <w:style w:type="paragraph" w:customStyle="1" w:styleId="TableHead">
    <w:name w:val="Table Head"/>
    <w:basedOn w:val="Normal"/>
    <w:uiPriority w:val="99"/>
    <w:rsid w:val="00262D06"/>
    <w:pPr>
      <w:tabs>
        <w:tab w:val="clear" w:pos="-720"/>
      </w:tabs>
      <w:spacing w:before="120" w:after="120" w:line="240" w:lineRule="auto"/>
      <w:jc w:val="center"/>
    </w:pPr>
    <w:rPr>
      <w:rFonts w:ascii="Ottawa" w:hAnsi="Ottawa"/>
      <w:b/>
      <w:bCs/>
      <w:sz w:val="18"/>
      <w:szCs w:val="22"/>
      <w:lang w:val="en-IE" w:eastAsia="en-US" w:bidi="en-US"/>
    </w:rPr>
  </w:style>
  <w:style w:type="paragraph" w:customStyle="1" w:styleId="Tabletext">
    <w:name w:val="Table text"/>
    <w:basedOn w:val="Normal"/>
    <w:uiPriority w:val="99"/>
    <w:rsid w:val="00262D06"/>
    <w:pPr>
      <w:tabs>
        <w:tab w:val="clear" w:pos="-720"/>
      </w:tabs>
      <w:spacing w:before="120" w:after="120" w:line="240" w:lineRule="auto"/>
      <w:jc w:val="center"/>
    </w:pPr>
    <w:rPr>
      <w:rFonts w:ascii="Arial" w:hAnsi="Arial" w:cs="Arial"/>
      <w:bCs/>
      <w:sz w:val="18"/>
      <w:szCs w:val="22"/>
      <w:lang w:val="en-IE" w:eastAsia="en-US" w:bidi="en-US"/>
    </w:rPr>
  </w:style>
  <w:style w:type="paragraph" w:styleId="Retraitcorpsdetexte2">
    <w:name w:val="Body Text Indent 2"/>
    <w:basedOn w:val="Normal"/>
    <w:link w:val="Retraitcorpsdetexte2Car"/>
    <w:rsid w:val="00262D06"/>
    <w:pPr>
      <w:tabs>
        <w:tab w:val="clear" w:pos="-720"/>
      </w:tabs>
      <w:spacing w:after="240" w:line="240" w:lineRule="auto"/>
      <w:ind w:left="1701" w:hanging="708"/>
    </w:pPr>
  </w:style>
  <w:style w:type="character" w:customStyle="1" w:styleId="Retraitcorpsdetexte2Car">
    <w:name w:val="Retrait corps de texte 2 Car"/>
    <w:basedOn w:val="Policepardfaut"/>
    <w:link w:val="Retraitcorpsdetexte2"/>
    <w:rsid w:val="00262D06"/>
    <w:rPr>
      <w:lang w:eastAsia="fr-FR"/>
    </w:rPr>
  </w:style>
  <w:style w:type="paragraph" w:customStyle="1" w:styleId="Tabletitle">
    <w:name w:val="Table title"/>
    <w:basedOn w:val="Normal"/>
    <w:autoRedefine/>
    <w:uiPriority w:val="99"/>
    <w:rsid w:val="00D65CF0"/>
    <w:pPr>
      <w:tabs>
        <w:tab w:val="clear" w:pos="-720"/>
      </w:tabs>
      <w:spacing w:after="120" w:line="240" w:lineRule="auto"/>
      <w:jc w:val="center"/>
    </w:pPr>
    <w:rPr>
      <w:rFonts w:ascii="Ottawa" w:hAnsi="Ottawa" w:cs="Calibri"/>
      <w:b/>
      <w:bCs/>
      <w:i/>
      <w:sz w:val="18"/>
      <w:szCs w:val="22"/>
      <w:lang w:eastAsia="en-US"/>
    </w:rPr>
  </w:style>
  <w:style w:type="paragraph" w:styleId="Textebrut">
    <w:name w:val="Plain Text"/>
    <w:basedOn w:val="Normal"/>
    <w:link w:val="TextebrutCar"/>
    <w:uiPriority w:val="99"/>
    <w:unhideWhenUsed/>
    <w:rsid w:val="00D65CF0"/>
    <w:pPr>
      <w:tabs>
        <w:tab w:val="clear" w:pos="-720"/>
      </w:tabs>
      <w:spacing w:line="240" w:lineRule="auto"/>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D65CF0"/>
    <w:rPr>
      <w:rFonts w:ascii="Calibri" w:eastAsiaTheme="minorHAnsi" w:hAnsi="Calibri" w:cstheme="minorBidi"/>
      <w:sz w:val="22"/>
      <w:szCs w:val="21"/>
      <w:lang w:eastAsia="en-US"/>
    </w:rPr>
  </w:style>
  <w:style w:type="paragraph" w:styleId="Corpsdetexte">
    <w:name w:val="Body Text"/>
    <w:basedOn w:val="Normal"/>
    <w:link w:val="CorpsdetexteCar"/>
    <w:uiPriority w:val="99"/>
    <w:semiHidden/>
    <w:unhideWhenUsed/>
    <w:rsid w:val="00A10375"/>
    <w:pPr>
      <w:spacing w:after="120"/>
    </w:pPr>
  </w:style>
  <w:style w:type="character" w:customStyle="1" w:styleId="CorpsdetexteCar">
    <w:name w:val="Corps de texte Car"/>
    <w:basedOn w:val="Policepardfaut"/>
    <w:link w:val="Corpsdetexte"/>
    <w:uiPriority w:val="99"/>
    <w:semiHidden/>
    <w:rsid w:val="00A10375"/>
    <w:rPr>
      <w:lang w:eastAsia="fr-FR"/>
    </w:rPr>
  </w:style>
  <w:style w:type="table" w:styleId="Grilledutableau">
    <w:name w:val="Table Grid"/>
    <w:basedOn w:val="TableauNormal"/>
    <w:uiPriority w:val="59"/>
    <w:rsid w:val="008115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A1"/>
    <w:basedOn w:val="Titre1"/>
    <w:qFormat/>
    <w:rsid w:val="00ED47BC"/>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ED47BC"/>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qFormat/>
    <w:rsid w:val="008E2282"/>
    <w:pPr>
      <w:tabs>
        <w:tab w:val="clear" w:pos="-720"/>
      </w:tabs>
      <w:spacing w:after="240" w:line="240" w:lineRule="auto"/>
      <w:ind w:left="850" w:hanging="425"/>
      <w:jc w:val="left"/>
    </w:pPr>
    <w:rPr>
      <w:rFonts w:ascii="Ottawa" w:eastAsiaTheme="minorHAnsi" w:hAnsi="Ottawa" w:cs="Arial"/>
      <w:b/>
      <w:sz w:val="20"/>
      <w:szCs w:val="22"/>
      <w:lang w:eastAsia="en-US"/>
    </w:rPr>
  </w:style>
  <w:style w:type="paragraph" w:customStyle="1" w:styleId="11Para">
    <w:name w:val="1.1_Para"/>
    <w:basedOn w:val="Normal"/>
    <w:qFormat/>
    <w:rsid w:val="00ED47BC"/>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ED47BC"/>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ED47BC"/>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ED47BC"/>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ED47BC"/>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ED47BC"/>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ED47BC"/>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ED47BC"/>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ED47BC"/>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ED47BC"/>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ED47BC"/>
    <w:pPr>
      <w:spacing w:after="120"/>
      <w:ind w:hanging="425"/>
    </w:pPr>
  </w:style>
  <w:style w:type="paragraph" w:customStyle="1" w:styleId="11ilist">
    <w:name w:val="1.1.i_list"/>
    <w:basedOn w:val="i"/>
    <w:qFormat/>
    <w:rsid w:val="00ED47BC"/>
    <w:pPr>
      <w:tabs>
        <w:tab w:val="clear" w:pos="-720"/>
      </w:tabs>
      <w:ind w:left="1276"/>
    </w:pPr>
    <w:rPr>
      <w:rFonts w:eastAsiaTheme="minorHAnsi"/>
      <w:lang w:eastAsia="en-US"/>
    </w:rPr>
  </w:style>
  <w:style w:type="character" w:customStyle="1" w:styleId="NotedebasdepageCar">
    <w:name w:val="Note de bas de page Car"/>
    <w:basedOn w:val="Policepardfaut"/>
    <w:link w:val="Notedebasdepage"/>
    <w:uiPriority w:val="99"/>
    <w:rsid w:val="00ED47BC"/>
    <w:rPr>
      <w:lang w:eastAsia="fr-FR"/>
    </w:rPr>
  </w:style>
  <w:style w:type="paragraph" w:customStyle="1" w:styleId="p1">
    <w:name w:val="p1"/>
    <w:basedOn w:val="Normal"/>
    <w:rsid w:val="00390B26"/>
    <w:pPr>
      <w:tabs>
        <w:tab w:val="clear" w:pos="-720"/>
      </w:tabs>
      <w:spacing w:line="240" w:lineRule="auto"/>
      <w:jc w:val="left"/>
    </w:pPr>
    <w:rPr>
      <w:rFonts w:ascii="Helvetica" w:hAnsi="Helvetica"/>
      <w:sz w:val="18"/>
      <w:szCs w:val="18"/>
      <w:lang w:val="en-US" w:eastAsia="en-US"/>
    </w:rPr>
  </w:style>
  <w:style w:type="paragraph" w:customStyle="1" w:styleId="10">
    <w:name w:val="列出段落1"/>
    <w:basedOn w:val="Normal"/>
    <w:uiPriority w:val="34"/>
    <w:qFormat/>
    <w:rsid w:val="005B16A7"/>
    <w:pPr>
      <w:widowControl w:val="0"/>
      <w:tabs>
        <w:tab w:val="clear" w:pos="-720"/>
      </w:tabs>
      <w:spacing w:line="240" w:lineRule="auto"/>
      <w:ind w:firstLineChars="200" w:firstLine="420"/>
    </w:pPr>
    <w:rPr>
      <w:rFonts w:eastAsiaTheme="minorEastAsia"/>
      <w:kern w:val="2"/>
      <w:sz w:val="21"/>
      <w:szCs w:val="22"/>
      <w:lang w:val="en-US" w:eastAsia="zh-CN"/>
    </w:rPr>
  </w:style>
  <w:style w:type="paragraph" w:styleId="Rvision">
    <w:name w:val="Revision"/>
    <w:hidden/>
    <w:uiPriority w:val="99"/>
    <w:semiHidden/>
    <w:rsid w:val="00CE60FB"/>
    <w:rPr>
      <w:lang w:eastAsia="fr-FR"/>
    </w:rPr>
  </w:style>
  <w:style w:type="character" w:customStyle="1" w:styleId="Titre1Car">
    <w:name w:val="Titre 1 Car"/>
    <w:basedOn w:val="Policepardfaut"/>
    <w:link w:val="Titre1"/>
    <w:uiPriority w:val="99"/>
    <w:rsid w:val="00B40962"/>
    <w:rPr>
      <w:rFonts w:ascii="Arial" w:hAnsi="Arial" w:cs="Arial"/>
      <w:b/>
      <w:bCs/>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636203">
      <w:bodyDiv w:val="1"/>
      <w:marLeft w:val="0"/>
      <w:marRight w:val="0"/>
      <w:marTop w:val="0"/>
      <w:marBottom w:val="0"/>
      <w:divBdr>
        <w:top w:val="none" w:sz="0" w:space="0" w:color="auto"/>
        <w:left w:val="none" w:sz="0" w:space="0" w:color="auto"/>
        <w:bottom w:val="none" w:sz="0" w:space="0" w:color="auto"/>
        <w:right w:val="none" w:sz="0" w:space="0" w:color="auto"/>
      </w:divBdr>
    </w:div>
    <w:div w:id="450369342">
      <w:bodyDiv w:val="1"/>
      <w:marLeft w:val="0"/>
      <w:marRight w:val="0"/>
      <w:marTop w:val="0"/>
      <w:marBottom w:val="0"/>
      <w:divBdr>
        <w:top w:val="none" w:sz="0" w:space="0" w:color="auto"/>
        <w:left w:val="none" w:sz="0" w:space="0" w:color="auto"/>
        <w:bottom w:val="none" w:sz="0" w:space="0" w:color="auto"/>
        <w:right w:val="none" w:sz="0" w:space="0" w:color="auto"/>
      </w:divBdr>
    </w:div>
    <w:div w:id="452988269">
      <w:bodyDiv w:val="1"/>
      <w:marLeft w:val="0"/>
      <w:marRight w:val="0"/>
      <w:marTop w:val="0"/>
      <w:marBottom w:val="0"/>
      <w:divBdr>
        <w:top w:val="none" w:sz="0" w:space="0" w:color="auto"/>
        <w:left w:val="none" w:sz="0" w:space="0" w:color="auto"/>
        <w:bottom w:val="none" w:sz="0" w:space="0" w:color="auto"/>
        <w:right w:val="none" w:sz="0" w:space="0" w:color="auto"/>
      </w:divBdr>
    </w:div>
    <w:div w:id="479733222">
      <w:bodyDiv w:val="1"/>
      <w:marLeft w:val="0"/>
      <w:marRight w:val="0"/>
      <w:marTop w:val="0"/>
      <w:marBottom w:val="0"/>
      <w:divBdr>
        <w:top w:val="none" w:sz="0" w:space="0" w:color="auto"/>
        <w:left w:val="none" w:sz="0" w:space="0" w:color="auto"/>
        <w:bottom w:val="none" w:sz="0" w:space="0" w:color="auto"/>
        <w:right w:val="none" w:sz="0" w:space="0" w:color="auto"/>
      </w:divBdr>
    </w:div>
    <w:div w:id="614290825">
      <w:bodyDiv w:val="1"/>
      <w:marLeft w:val="0"/>
      <w:marRight w:val="0"/>
      <w:marTop w:val="0"/>
      <w:marBottom w:val="0"/>
      <w:divBdr>
        <w:top w:val="none" w:sz="0" w:space="0" w:color="auto"/>
        <w:left w:val="none" w:sz="0" w:space="0" w:color="auto"/>
        <w:bottom w:val="none" w:sz="0" w:space="0" w:color="auto"/>
        <w:right w:val="none" w:sz="0" w:space="0" w:color="auto"/>
      </w:divBdr>
    </w:div>
    <w:div w:id="1441950522">
      <w:bodyDiv w:val="1"/>
      <w:marLeft w:val="0"/>
      <w:marRight w:val="0"/>
      <w:marTop w:val="0"/>
      <w:marBottom w:val="0"/>
      <w:divBdr>
        <w:top w:val="none" w:sz="0" w:space="0" w:color="auto"/>
        <w:left w:val="none" w:sz="0" w:space="0" w:color="auto"/>
        <w:bottom w:val="none" w:sz="0" w:space="0" w:color="auto"/>
        <w:right w:val="none" w:sz="0" w:space="0" w:color="auto"/>
      </w:divBdr>
      <w:divsChild>
        <w:div w:id="856579551">
          <w:marLeft w:val="0"/>
          <w:marRight w:val="0"/>
          <w:marTop w:val="0"/>
          <w:marBottom w:val="0"/>
          <w:divBdr>
            <w:top w:val="none" w:sz="0" w:space="0" w:color="auto"/>
            <w:left w:val="none" w:sz="0" w:space="0" w:color="auto"/>
            <w:bottom w:val="none" w:sz="0" w:space="0" w:color="auto"/>
            <w:right w:val="none" w:sz="0" w:space="0" w:color="auto"/>
          </w:divBdr>
          <w:divsChild>
            <w:div w:id="871188887">
              <w:marLeft w:val="0"/>
              <w:marRight w:val="0"/>
              <w:marTop w:val="0"/>
              <w:marBottom w:val="0"/>
              <w:divBdr>
                <w:top w:val="none" w:sz="0" w:space="0" w:color="auto"/>
                <w:left w:val="none" w:sz="0" w:space="0" w:color="auto"/>
                <w:bottom w:val="none" w:sz="0" w:space="0" w:color="auto"/>
                <w:right w:val="none" w:sz="0" w:space="0" w:color="auto"/>
              </w:divBdr>
              <w:divsChild>
                <w:div w:id="1938899023">
                  <w:marLeft w:val="0"/>
                  <w:marRight w:val="0"/>
                  <w:marTop w:val="0"/>
                  <w:marBottom w:val="0"/>
                  <w:divBdr>
                    <w:top w:val="none" w:sz="0" w:space="0" w:color="auto"/>
                    <w:left w:val="none" w:sz="0" w:space="0" w:color="auto"/>
                    <w:bottom w:val="none" w:sz="0" w:space="0" w:color="auto"/>
                    <w:right w:val="none" w:sz="0" w:space="0" w:color="auto"/>
                  </w:divBdr>
                  <w:divsChild>
                    <w:div w:id="485127416">
                      <w:marLeft w:val="0"/>
                      <w:marRight w:val="0"/>
                      <w:marTop w:val="0"/>
                      <w:marBottom w:val="0"/>
                      <w:divBdr>
                        <w:top w:val="none" w:sz="0" w:space="0" w:color="auto"/>
                        <w:left w:val="none" w:sz="0" w:space="0" w:color="auto"/>
                        <w:bottom w:val="none" w:sz="0" w:space="0" w:color="auto"/>
                        <w:right w:val="none" w:sz="0" w:space="0" w:color="auto"/>
                      </w:divBdr>
                      <w:divsChild>
                        <w:div w:id="2090809529">
                          <w:marLeft w:val="0"/>
                          <w:marRight w:val="0"/>
                          <w:marTop w:val="0"/>
                          <w:marBottom w:val="0"/>
                          <w:divBdr>
                            <w:top w:val="none" w:sz="0" w:space="0" w:color="auto"/>
                            <w:left w:val="none" w:sz="0" w:space="0" w:color="auto"/>
                            <w:bottom w:val="none" w:sz="0" w:space="0" w:color="auto"/>
                            <w:right w:val="none" w:sz="0" w:space="0" w:color="auto"/>
                          </w:divBdr>
                          <w:divsChild>
                            <w:div w:id="605620601">
                              <w:marLeft w:val="0"/>
                              <w:marRight w:val="0"/>
                              <w:marTop w:val="0"/>
                              <w:marBottom w:val="0"/>
                              <w:divBdr>
                                <w:top w:val="none" w:sz="0" w:space="0" w:color="auto"/>
                                <w:left w:val="none" w:sz="0" w:space="0" w:color="auto"/>
                                <w:bottom w:val="none" w:sz="0" w:space="0" w:color="auto"/>
                                <w:right w:val="none" w:sz="0" w:space="0" w:color="auto"/>
                              </w:divBdr>
                              <w:divsChild>
                                <w:div w:id="1023559262">
                                  <w:marLeft w:val="0"/>
                                  <w:marRight w:val="0"/>
                                  <w:marTop w:val="0"/>
                                  <w:marBottom w:val="0"/>
                                  <w:divBdr>
                                    <w:top w:val="none" w:sz="0" w:space="0" w:color="auto"/>
                                    <w:left w:val="none" w:sz="0" w:space="0" w:color="auto"/>
                                    <w:bottom w:val="none" w:sz="0" w:space="0" w:color="auto"/>
                                    <w:right w:val="none" w:sz="0" w:space="0" w:color="auto"/>
                                  </w:divBdr>
                                  <w:divsChild>
                                    <w:div w:id="7405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4564204">
      <w:bodyDiv w:val="1"/>
      <w:marLeft w:val="0"/>
      <w:marRight w:val="0"/>
      <w:marTop w:val="0"/>
      <w:marBottom w:val="0"/>
      <w:divBdr>
        <w:top w:val="none" w:sz="0" w:space="0" w:color="auto"/>
        <w:left w:val="none" w:sz="0" w:space="0" w:color="auto"/>
        <w:bottom w:val="none" w:sz="0" w:space="0" w:color="auto"/>
        <w:right w:val="none" w:sz="0" w:space="0" w:color="auto"/>
      </w:divBdr>
    </w:div>
    <w:div w:id="1609003917">
      <w:bodyDiv w:val="1"/>
      <w:marLeft w:val="0"/>
      <w:marRight w:val="0"/>
      <w:marTop w:val="0"/>
      <w:marBottom w:val="0"/>
      <w:divBdr>
        <w:top w:val="none" w:sz="0" w:space="0" w:color="auto"/>
        <w:left w:val="none" w:sz="0" w:space="0" w:color="auto"/>
        <w:bottom w:val="none" w:sz="0" w:space="0" w:color="auto"/>
        <w:right w:val="none" w:sz="0" w:space="0" w:color="auto"/>
      </w:divBdr>
      <w:divsChild>
        <w:div w:id="1402750246">
          <w:marLeft w:val="0"/>
          <w:marRight w:val="0"/>
          <w:marTop w:val="0"/>
          <w:marBottom w:val="0"/>
          <w:divBdr>
            <w:top w:val="none" w:sz="0" w:space="0" w:color="auto"/>
            <w:left w:val="none" w:sz="0" w:space="0" w:color="auto"/>
            <w:bottom w:val="none" w:sz="0" w:space="0" w:color="auto"/>
            <w:right w:val="none" w:sz="0" w:space="0" w:color="auto"/>
          </w:divBdr>
          <w:divsChild>
            <w:div w:id="1160655527">
              <w:marLeft w:val="0"/>
              <w:marRight w:val="0"/>
              <w:marTop w:val="0"/>
              <w:marBottom w:val="0"/>
              <w:divBdr>
                <w:top w:val="none" w:sz="0" w:space="0" w:color="auto"/>
                <w:left w:val="none" w:sz="0" w:space="0" w:color="auto"/>
                <w:bottom w:val="none" w:sz="0" w:space="0" w:color="auto"/>
                <w:right w:val="none" w:sz="0" w:space="0" w:color="auto"/>
              </w:divBdr>
              <w:divsChild>
                <w:div w:id="2061782730">
                  <w:marLeft w:val="0"/>
                  <w:marRight w:val="-6084"/>
                  <w:marTop w:val="0"/>
                  <w:marBottom w:val="0"/>
                  <w:divBdr>
                    <w:top w:val="none" w:sz="0" w:space="0" w:color="auto"/>
                    <w:left w:val="none" w:sz="0" w:space="0" w:color="auto"/>
                    <w:bottom w:val="none" w:sz="0" w:space="0" w:color="auto"/>
                    <w:right w:val="none" w:sz="0" w:space="0" w:color="auto"/>
                  </w:divBdr>
                  <w:divsChild>
                    <w:div w:id="1762407577">
                      <w:marLeft w:val="0"/>
                      <w:marRight w:val="5844"/>
                      <w:marTop w:val="0"/>
                      <w:marBottom w:val="0"/>
                      <w:divBdr>
                        <w:top w:val="none" w:sz="0" w:space="0" w:color="auto"/>
                        <w:left w:val="none" w:sz="0" w:space="0" w:color="auto"/>
                        <w:bottom w:val="none" w:sz="0" w:space="0" w:color="auto"/>
                        <w:right w:val="none" w:sz="0" w:space="0" w:color="auto"/>
                      </w:divBdr>
                      <w:divsChild>
                        <w:div w:id="722824416">
                          <w:marLeft w:val="0"/>
                          <w:marRight w:val="0"/>
                          <w:marTop w:val="0"/>
                          <w:marBottom w:val="0"/>
                          <w:divBdr>
                            <w:top w:val="none" w:sz="0" w:space="0" w:color="auto"/>
                            <w:left w:val="none" w:sz="0" w:space="0" w:color="auto"/>
                            <w:bottom w:val="none" w:sz="0" w:space="0" w:color="auto"/>
                            <w:right w:val="none" w:sz="0" w:space="0" w:color="auto"/>
                          </w:divBdr>
                          <w:divsChild>
                            <w:div w:id="1257059199">
                              <w:marLeft w:val="0"/>
                              <w:marRight w:val="0"/>
                              <w:marTop w:val="120"/>
                              <w:marBottom w:val="360"/>
                              <w:divBdr>
                                <w:top w:val="none" w:sz="0" w:space="0" w:color="auto"/>
                                <w:left w:val="none" w:sz="0" w:space="0" w:color="auto"/>
                                <w:bottom w:val="none" w:sz="0" w:space="0" w:color="auto"/>
                                <w:right w:val="none" w:sz="0" w:space="0" w:color="auto"/>
                              </w:divBdr>
                              <w:divsChild>
                                <w:div w:id="958609741">
                                  <w:marLeft w:val="0"/>
                                  <w:marRight w:val="0"/>
                                  <w:marTop w:val="0"/>
                                  <w:marBottom w:val="0"/>
                                  <w:divBdr>
                                    <w:top w:val="none" w:sz="0" w:space="0" w:color="auto"/>
                                    <w:left w:val="none" w:sz="0" w:space="0" w:color="auto"/>
                                    <w:bottom w:val="none" w:sz="0" w:space="0" w:color="auto"/>
                                    <w:right w:val="none" w:sz="0" w:space="0" w:color="auto"/>
                                  </w:divBdr>
                                </w:div>
                                <w:div w:id="147648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648450">
      <w:bodyDiv w:val="1"/>
      <w:marLeft w:val="0"/>
      <w:marRight w:val="0"/>
      <w:marTop w:val="0"/>
      <w:marBottom w:val="0"/>
      <w:divBdr>
        <w:top w:val="none" w:sz="0" w:space="0" w:color="auto"/>
        <w:left w:val="none" w:sz="0" w:space="0" w:color="auto"/>
        <w:bottom w:val="none" w:sz="0" w:space="0" w:color="auto"/>
        <w:right w:val="none" w:sz="0" w:space="0" w:color="auto"/>
      </w:divBdr>
    </w:div>
    <w:div w:id="1716078286">
      <w:bodyDiv w:val="1"/>
      <w:marLeft w:val="0"/>
      <w:marRight w:val="0"/>
      <w:marTop w:val="0"/>
      <w:marBottom w:val="0"/>
      <w:divBdr>
        <w:top w:val="none" w:sz="0" w:space="0" w:color="auto"/>
        <w:left w:val="none" w:sz="0" w:space="0" w:color="auto"/>
        <w:bottom w:val="none" w:sz="0" w:space="0" w:color="auto"/>
        <w:right w:val="none" w:sz="0" w:space="0" w:color="auto"/>
      </w:divBdr>
    </w:div>
    <w:div w:id="1805199113">
      <w:bodyDiv w:val="1"/>
      <w:marLeft w:val="0"/>
      <w:marRight w:val="0"/>
      <w:marTop w:val="0"/>
      <w:marBottom w:val="0"/>
      <w:divBdr>
        <w:top w:val="none" w:sz="0" w:space="0" w:color="auto"/>
        <w:left w:val="none" w:sz="0" w:space="0" w:color="auto"/>
        <w:bottom w:val="none" w:sz="0" w:space="0" w:color="auto"/>
        <w:right w:val="none" w:sz="0" w:space="0" w:color="auto"/>
      </w:divBdr>
    </w:div>
    <w:div w:id="2107339232">
      <w:bodyDiv w:val="1"/>
      <w:marLeft w:val="0"/>
      <w:marRight w:val="0"/>
      <w:marTop w:val="0"/>
      <w:marBottom w:val="0"/>
      <w:divBdr>
        <w:top w:val="none" w:sz="0" w:space="0" w:color="auto"/>
        <w:left w:val="none" w:sz="0" w:space="0" w:color="auto"/>
        <w:bottom w:val="none" w:sz="0" w:space="0" w:color="auto"/>
        <w:right w:val="none" w:sz="0" w:space="0" w:color="auto"/>
      </w:divBdr>
    </w:div>
    <w:div w:id="211073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term=%22Li%20L%22%5BAuthor%5D" TargetMode="External"/><Relationship Id="rId13" Type="http://schemas.openxmlformats.org/officeDocument/2006/relationships/hyperlink" Target="http://www.ncbi.nlm.nih.gov/pubmed?term=%22Gong%20M%22%5BAuthor%5D" TargetMode="External"/><Relationship Id="rId18" Type="http://schemas.openxmlformats.org/officeDocument/2006/relationships/hyperlink" Target="http://www.oie.in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ncbi.nlm.nih.gov/pubmed?term=%22Wang%20J%22%5BAuthor%5D" TargetMode="External"/><Relationship Id="rId17" Type="http://schemas.openxmlformats.org/officeDocument/2006/relationships/hyperlink" Target="http://www.oie.int/en/scientific-expertise/reference-laboratories/list-of-laboratori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cbi.nlm.nih.gov/pubmed/20813134"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bi.nlm.nih.gov/pubmed?term=%22Wang%20Z%22%5BAuthor%5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cbi.nlm.nih.gov/pubmed?term=%22Li%20J%22%5BAuthor%5D" TargetMode="External"/><Relationship Id="rId23" Type="http://schemas.openxmlformats.org/officeDocument/2006/relationships/footer" Target="footer3.xml"/><Relationship Id="rId10" Type="http://schemas.openxmlformats.org/officeDocument/2006/relationships/hyperlink" Target="http://www.ncbi.nlm.nih.gov/pubmed?term=%22Wu%20X%22%5BAuthor%5D"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cbi.nlm.nih.gov/pubmed?term=%22Bao%20J%22%5BAuthor%5D" TargetMode="External"/><Relationship Id="rId14" Type="http://schemas.openxmlformats.org/officeDocument/2006/relationships/hyperlink" Target="http://www.ncbi.nlm.nih.gov/pubmed?term=%22Liu%20C%22%5BAuthor%5D"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19813-4FC1-4D39-8A92-35217E316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MANUAL96.DOT</Template>
  <TotalTime>5</TotalTime>
  <Pages>19</Pages>
  <Words>10900</Words>
  <Characters>57515</Characters>
  <Application>Microsoft Office Word</Application>
  <DocSecurity>0</DocSecurity>
  <Lines>479</Lines>
  <Paragraphs>136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fmd with viaa test incl.</vt:lpstr>
      <vt:lpstr>fmd with viaa test incl.</vt:lpstr>
    </vt:vector>
  </TitlesOfParts>
  <Company>IAEA</Company>
  <LinksUpToDate>false</LinksUpToDate>
  <CharactersWithSpaces>68279</CharactersWithSpaces>
  <SharedDoc>false</SharedDoc>
  <HLinks>
    <vt:vector size="66" baseType="variant">
      <vt:variant>
        <vt:i4>3932281</vt:i4>
      </vt:variant>
      <vt:variant>
        <vt:i4>30</vt:i4>
      </vt:variant>
      <vt:variant>
        <vt:i4>0</vt:i4>
      </vt:variant>
      <vt:variant>
        <vt:i4>5</vt:i4>
      </vt:variant>
      <vt:variant>
        <vt:lpwstr>http://www.oie.int/</vt:lpwstr>
      </vt:variant>
      <vt:variant>
        <vt:lpwstr/>
      </vt:variant>
      <vt:variant>
        <vt:i4>3997804</vt:i4>
      </vt:variant>
      <vt:variant>
        <vt:i4>27</vt:i4>
      </vt:variant>
      <vt:variant>
        <vt:i4>0</vt:i4>
      </vt:variant>
      <vt:variant>
        <vt:i4>5</vt:i4>
      </vt:variant>
      <vt:variant>
        <vt:lpwstr>http://www.ncbi.nlm.nih.gov/sites/entrez?Db=pubmed&amp;Cmd=ShowDetailView&amp;TermToSearch=2411037&amp;ordinalpos=23&amp;itool=EntrezSystem2.PEntrez.Pubmed.Pubmed_ResultsPanel.Pubmed_RVDocSum</vt:lpwstr>
      </vt:variant>
      <vt:variant>
        <vt:lpwstr/>
      </vt:variant>
      <vt:variant>
        <vt:i4>3801126</vt:i4>
      </vt:variant>
      <vt:variant>
        <vt:i4>24</vt:i4>
      </vt:variant>
      <vt:variant>
        <vt:i4>0</vt:i4>
      </vt:variant>
      <vt:variant>
        <vt:i4>5</vt:i4>
      </vt:variant>
      <vt:variant>
        <vt:lpwstr>http://www.ncbi.nlm.nih.gov/pubmed/20813134</vt:lpwstr>
      </vt:variant>
      <vt:variant>
        <vt:lpwstr/>
      </vt:variant>
      <vt:variant>
        <vt:i4>5832711</vt:i4>
      </vt:variant>
      <vt:variant>
        <vt:i4>21</vt:i4>
      </vt:variant>
      <vt:variant>
        <vt:i4>0</vt:i4>
      </vt:variant>
      <vt:variant>
        <vt:i4>5</vt:i4>
      </vt:variant>
      <vt:variant>
        <vt:lpwstr>http://www.ncbi.nlm.nih.gov/pubmed?term=%22Li%20J%22%5BAuthor%5D</vt:lpwstr>
      </vt:variant>
      <vt:variant>
        <vt:lpwstr/>
      </vt:variant>
      <vt:variant>
        <vt:i4>6160408</vt:i4>
      </vt:variant>
      <vt:variant>
        <vt:i4>18</vt:i4>
      </vt:variant>
      <vt:variant>
        <vt:i4>0</vt:i4>
      </vt:variant>
      <vt:variant>
        <vt:i4>5</vt:i4>
      </vt:variant>
      <vt:variant>
        <vt:lpwstr>http://www.ncbi.nlm.nih.gov/pubmed?term=%22Liu%20C%22%5BAuthor%5D</vt:lpwstr>
      </vt:variant>
      <vt:variant>
        <vt:lpwstr/>
      </vt:variant>
      <vt:variant>
        <vt:i4>3932257</vt:i4>
      </vt:variant>
      <vt:variant>
        <vt:i4>15</vt:i4>
      </vt:variant>
      <vt:variant>
        <vt:i4>0</vt:i4>
      </vt:variant>
      <vt:variant>
        <vt:i4>5</vt:i4>
      </vt:variant>
      <vt:variant>
        <vt:lpwstr>http://www.ncbi.nlm.nih.gov/pubmed?term=%22Gong%20M%22%5BAuthor%5D</vt:lpwstr>
      </vt:variant>
      <vt:variant>
        <vt:lpwstr/>
      </vt:variant>
      <vt:variant>
        <vt:i4>2883688</vt:i4>
      </vt:variant>
      <vt:variant>
        <vt:i4>12</vt:i4>
      </vt:variant>
      <vt:variant>
        <vt:i4>0</vt:i4>
      </vt:variant>
      <vt:variant>
        <vt:i4>5</vt:i4>
      </vt:variant>
      <vt:variant>
        <vt:lpwstr>http://www.ncbi.nlm.nih.gov/pubmed?term=%22Wang%20J%22%5BAuthor%5D</vt:lpwstr>
      </vt:variant>
      <vt:variant>
        <vt:lpwstr/>
      </vt:variant>
      <vt:variant>
        <vt:i4>2883704</vt:i4>
      </vt:variant>
      <vt:variant>
        <vt:i4>9</vt:i4>
      </vt:variant>
      <vt:variant>
        <vt:i4>0</vt:i4>
      </vt:variant>
      <vt:variant>
        <vt:i4>5</vt:i4>
      </vt:variant>
      <vt:variant>
        <vt:lpwstr>http://www.ncbi.nlm.nih.gov/pubmed?term=%22Wang%20Z%22%5BAuthor%5D</vt:lpwstr>
      </vt:variant>
      <vt:variant>
        <vt:lpwstr/>
      </vt:variant>
      <vt:variant>
        <vt:i4>4325385</vt:i4>
      </vt:variant>
      <vt:variant>
        <vt:i4>6</vt:i4>
      </vt:variant>
      <vt:variant>
        <vt:i4>0</vt:i4>
      </vt:variant>
      <vt:variant>
        <vt:i4>5</vt:i4>
      </vt:variant>
      <vt:variant>
        <vt:lpwstr>http://www.ncbi.nlm.nih.gov/pubmed?term=%22Wu%20X%22%5BAuthor%5D</vt:lpwstr>
      </vt:variant>
      <vt:variant>
        <vt:lpwstr/>
      </vt:variant>
      <vt:variant>
        <vt:i4>4390928</vt:i4>
      </vt:variant>
      <vt:variant>
        <vt:i4>3</vt:i4>
      </vt:variant>
      <vt:variant>
        <vt:i4>0</vt:i4>
      </vt:variant>
      <vt:variant>
        <vt:i4>5</vt:i4>
      </vt:variant>
      <vt:variant>
        <vt:lpwstr>http://www.ncbi.nlm.nih.gov/pubmed?term=%22Bao%20J%22%5BAuthor%5D</vt:lpwstr>
      </vt:variant>
      <vt:variant>
        <vt:lpwstr/>
      </vt:variant>
      <vt:variant>
        <vt:i4>5832705</vt:i4>
      </vt:variant>
      <vt:variant>
        <vt:i4>0</vt:i4>
      </vt:variant>
      <vt:variant>
        <vt:i4>0</vt:i4>
      </vt:variant>
      <vt:variant>
        <vt:i4>5</vt:i4>
      </vt:variant>
      <vt:variant>
        <vt:lpwstr>http://www.ncbi.nlm.nih.gov/pubmed?term=%22Li%20L%22%5BAuthor%5D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3</cp:revision>
  <cp:lastPrinted>2018-08-16T08:41:00Z</cp:lastPrinted>
  <dcterms:created xsi:type="dcterms:W3CDTF">2020-03-13T11:19:00Z</dcterms:created>
  <dcterms:modified xsi:type="dcterms:W3CDTF">2020-03-13T11:24:00Z</dcterms:modified>
</cp:coreProperties>
</file>