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32206" w14:textId="4677EA14" w:rsidR="00186891" w:rsidRPr="007A2047" w:rsidRDefault="001F06C9" w:rsidP="001F06C9">
      <w:pPr>
        <w:pStyle w:val="Chatperno"/>
        <w:rPr>
          <w:lang w:val="fr-FR"/>
        </w:rPr>
      </w:pPr>
      <w:r w:rsidRPr="007A2047">
        <w:rPr>
          <w:lang w:val="fr-FR"/>
        </w:rPr>
        <w:t xml:space="preserve">Chapter </w:t>
      </w:r>
      <w:r w:rsidR="009419E4" w:rsidRPr="007A2047">
        <w:rPr>
          <w:lang w:val="fr-FR"/>
        </w:rPr>
        <w:t>3</w:t>
      </w:r>
      <w:r w:rsidR="00186891" w:rsidRPr="007A2047">
        <w:rPr>
          <w:lang w:val="fr-FR"/>
        </w:rPr>
        <w:t>.</w:t>
      </w:r>
      <w:r w:rsidR="001821DC" w:rsidRPr="007A2047">
        <w:rPr>
          <w:lang w:val="fr-FR"/>
        </w:rPr>
        <w:t>3</w:t>
      </w:r>
      <w:r w:rsidR="009E2FD2" w:rsidRPr="007A2047">
        <w:rPr>
          <w:lang w:val="fr-FR"/>
        </w:rPr>
        <w:t>.5</w:t>
      </w:r>
      <w:r w:rsidR="00186891" w:rsidRPr="007A2047">
        <w:rPr>
          <w:lang w:val="fr-FR"/>
        </w:rPr>
        <w:t>.</w:t>
      </w:r>
    </w:p>
    <w:p w14:paraId="1DCD409C" w14:textId="77777777" w:rsidR="00186891" w:rsidRPr="007A2047" w:rsidRDefault="00186891" w:rsidP="00E163F0">
      <w:pPr>
        <w:pStyle w:val="Chaptertitle"/>
        <w:pBdr>
          <w:bottom w:val="single" w:sz="6" w:space="9" w:color="auto"/>
        </w:pBdr>
        <w:rPr>
          <w:lang w:val="fr-FR"/>
        </w:rPr>
      </w:pPr>
      <w:r w:rsidRPr="007A2047">
        <w:rPr>
          <w:lang w:val="fr-FR"/>
        </w:rPr>
        <w:t xml:space="preserve">avian mycoplasmosis </w:t>
      </w:r>
      <w:r w:rsidRPr="007A2047">
        <w:rPr>
          <w:lang w:val="fr-FR"/>
        </w:rPr>
        <w:br/>
      </w:r>
      <w:r w:rsidRPr="007A2047">
        <w:rPr>
          <w:b w:val="0"/>
          <w:bCs/>
          <w:caps w:val="0"/>
          <w:lang w:val="fr-FR"/>
        </w:rPr>
        <w:t>(</w:t>
      </w:r>
      <w:r w:rsidRPr="007A2047">
        <w:rPr>
          <w:b w:val="0"/>
          <w:bCs/>
          <w:i/>
          <w:iCs/>
          <w:caps w:val="0"/>
          <w:lang w:val="fr-FR"/>
        </w:rPr>
        <w:t>Mycoplasma gallisepticum, M. synoviae</w:t>
      </w:r>
      <w:r w:rsidRPr="007A2047">
        <w:rPr>
          <w:b w:val="0"/>
          <w:bCs/>
          <w:caps w:val="0"/>
          <w:lang w:val="fr-FR"/>
        </w:rPr>
        <w:t>)</w:t>
      </w:r>
    </w:p>
    <w:p w14:paraId="66346109" w14:textId="77777777" w:rsidR="00186891" w:rsidRPr="00E163F0" w:rsidRDefault="00186891" w:rsidP="00E163F0">
      <w:pPr>
        <w:pStyle w:val="Summarytitle"/>
        <w:rPr>
          <w:rStyle w:val="Numrodeligne"/>
          <w:rFonts w:ascii="Ottawa" w:hAnsi="Ottawa"/>
          <w:sz w:val="24"/>
        </w:rPr>
      </w:pPr>
      <w:r w:rsidRPr="00E163F0">
        <w:rPr>
          <w:rStyle w:val="Numrodeligne"/>
          <w:rFonts w:ascii="Ottawa" w:hAnsi="Ottawa"/>
          <w:sz w:val="24"/>
        </w:rPr>
        <w:t>SUMMARY</w:t>
      </w:r>
    </w:p>
    <w:p w14:paraId="027B713D" w14:textId="0B08E181" w:rsidR="00186891" w:rsidRPr="00E163F0" w:rsidRDefault="001900D8" w:rsidP="00E163F0">
      <w:pPr>
        <w:pStyle w:val="sumtexte"/>
        <w:rPr>
          <w:rFonts w:eastAsia="MS Mincho"/>
          <w:strike/>
        </w:rPr>
      </w:pPr>
      <w:r w:rsidRPr="009775CA">
        <w:rPr>
          <w:rFonts w:eastAsia="MS Mincho"/>
          <w:b/>
          <w:bCs/>
          <w:u w:val="double"/>
        </w:rPr>
        <w:t>Description</w:t>
      </w:r>
      <w:r w:rsidRPr="00E163F0">
        <w:rPr>
          <w:rFonts w:eastAsia="MS Mincho"/>
          <w:b/>
          <w:bCs/>
        </w:rPr>
        <w:t xml:space="preserve"> </w:t>
      </w:r>
      <w:r w:rsidR="00186891" w:rsidRPr="009775CA">
        <w:rPr>
          <w:rFonts w:eastAsia="MS Mincho"/>
          <w:b/>
          <w:bCs/>
          <w:strike/>
        </w:rPr>
        <w:t xml:space="preserve">Definition </w:t>
      </w:r>
      <w:r w:rsidR="00186891" w:rsidRPr="00E163F0">
        <w:rPr>
          <w:rFonts w:eastAsia="MS Mincho"/>
          <w:b/>
          <w:bCs/>
        </w:rPr>
        <w:t>of the disease:</w:t>
      </w:r>
      <w:r w:rsidR="00186891" w:rsidRPr="00E163F0">
        <w:rPr>
          <w:rFonts w:eastAsia="MS Mincho"/>
        </w:rPr>
        <w:t xml:space="preserve"> Avian mycoplasmosis is caused by several pathogenic mycoplasmas </w:t>
      </w:r>
      <w:r w:rsidR="00186891" w:rsidRPr="00AB213C">
        <w:rPr>
          <w:rFonts w:eastAsia="MS Mincho"/>
          <w:strike/>
        </w:rPr>
        <w:t xml:space="preserve">of </w:t>
      </w:r>
      <w:r w:rsidR="00AB213C" w:rsidRPr="00AB213C">
        <w:rPr>
          <w:rFonts w:eastAsia="MS Mincho"/>
          <w:u w:val="double"/>
        </w:rPr>
        <w:t>among</w:t>
      </w:r>
      <w:r w:rsidR="00AB213C">
        <w:rPr>
          <w:rFonts w:eastAsia="MS Mincho"/>
        </w:rPr>
        <w:t xml:space="preserve"> </w:t>
      </w:r>
      <w:r w:rsidR="00186891" w:rsidRPr="00E163F0">
        <w:rPr>
          <w:rFonts w:eastAsia="MS Mincho"/>
        </w:rPr>
        <w:t xml:space="preserve">which </w:t>
      </w:r>
      <w:r w:rsidR="00186891" w:rsidRPr="00E163F0">
        <w:rPr>
          <w:rFonts w:eastAsia="MS Mincho"/>
          <w:i w:val="0"/>
          <w:iCs w:val="0"/>
        </w:rPr>
        <w:t>Mycoplasma gallisepticum</w:t>
      </w:r>
      <w:r w:rsidR="00186891" w:rsidRPr="00E163F0">
        <w:rPr>
          <w:rFonts w:eastAsia="MS Mincho"/>
        </w:rPr>
        <w:t xml:space="preserve"> </w:t>
      </w:r>
      <w:r w:rsidR="00186891" w:rsidRPr="00E163F0">
        <w:rPr>
          <w:rFonts w:eastAsia="MS Mincho"/>
          <w:i w:val="0"/>
          <w:iCs w:val="0"/>
        </w:rPr>
        <w:t>(</w:t>
      </w:r>
      <w:r w:rsidR="00186891" w:rsidRPr="00E163F0">
        <w:rPr>
          <w:rFonts w:eastAsia="MS Mincho"/>
        </w:rPr>
        <w:t>MG</w:t>
      </w:r>
      <w:r w:rsidR="00186891" w:rsidRPr="00E163F0">
        <w:rPr>
          <w:rFonts w:eastAsia="MS Mincho"/>
          <w:i w:val="0"/>
          <w:iCs w:val="0"/>
        </w:rPr>
        <w:t xml:space="preserve">) </w:t>
      </w:r>
      <w:r w:rsidR="00186891" w:rsidRPr="00E163F0">
        <w:rPr>
          <w:rFonts w:eastAsia="MS Mincho"/>
        </w:rPr>
        <w:t xml:space="preserve">and </w:t>
      </w:r>
      <w:r w:rsidR="00186891" w:rsidRPr="00E163F0">
        <w:rPr>
          <w:rFonts w:eastAsia="MS Mincho"/>
          <w:i w:val="0"/>
        </w:rPr>
        <w:t>M. synoviae</w:t>
      </w:r>
      <w:r w:rsidR="00186891" w:rsidRPr="00E163F0">
        <w:rPr>
          <w:rFonts w:eastAsia="MS Mincho"/>
        </w:rPr>
        <w:t xml:space="preserve"> </w:t>
      </w:r>
      <w:r w:rsidR="00186891" w:rsidRPr="00E163F0">
        <w:rPr>
          <w:rFonts w:eastAsia="MS Mincho"/>
          <w:i w:val="0"/>
          <w:iCs w:val="0"/>
        </w:rPr>
        <w:t>(</w:t>
      </w:r>
      <w:r w:rsidR="00186891" w:rsidRPr="00E163F0">
        <w:rPr>
          <w:rFonts w:eastAsia="MS Mincho"/>
        </w:rPr>
        <w:t>MS</w:t>
      </w:r>
      <w:r w:rsidR="00186891" w:rsidRPr="00E163F0">
        <w:rPr>
          <w:rFonts w:eastAsia="MS Mincho"/>
          <w:i w:val="0"/>
          <w:iCs w:val="0"/>
        </w:rPr>
        <w:t xml:space="preserve">) </w:t>
      </w:r>
      <w:r w:rsidR="00186891" w:rsidRPr="00E163F0">
        <w:rPr>
          <w:rFonts w:eastAsia="MS Mincho"/>
        </w:rPr>
        <w:t xml:space="preserve">are </w:t>
      </w:r>
      <w:r w:rsidR="00AB213C" w:rsidRPr="00AB213C">
        <w:rPr>
          <w:rFonts w:eastAsia="MS Mincho"/>
          <w:u w:val="double"/>
        </w:rPr>
        <w:t>considered</w:t>
      </w:r>
      <w:r w:rsidR="00AB213C">
        <w:rPr>
          <w:rFonts w:eastAsia="MS Mincho"/>
        </w:rPr>
        <w:t xml:space="preserve"> </w:t>
      </w:r>
      <w:r w:rsidR="00186891" w:rsidRPr="00E163F0">
        <w:rPr>
          <w:rFonts w:eastAsia="MS Mincho"/>
        </w:rPr>
        <w:t>the most important</w:t>
      </w:r>
      <w:r w:rsidR="00186891" w:rsidRPr="009775CA">
        <w:rPr>
          <w:rFonts w:eastAsia="MS Mincho"/>
          <w:strike/>
        </w:rPr>
        <w:t>; they are the only ones listed by the OIE</w:t>
      </w:r>
      <w:r w:rsidR="00186891" w:rsidRPr="00E163F0">
        <w:rPr>
          <w:rFonts w:eastAsia="MS Mincho"/>
        </w:rPr>
        <w:t>.</w:t>
      </w:r>
    </w:p>
    <w:p w14:paraId="54B3D1E7" w14:textId="6929CAA6" w:rsidR="00186891" w:rsidRPr="00E163F0" w:rsidRDefault="00186891" w:rsidP="00E163F0">
      <w:pPr>
        <w:pStyle w:val="sumtexte"/>
        <w:rPr>
          <w:rFonts w:eastAsia="MS Mincho"/>
        </w:rPr>
      </w:pPr>
      <w:r w:rsidRPr="009775CA">
        <w:rPr>
          <w:rFonts w:eastAsia="MS Mincho"/>
          <w:b/>
          <w:bCs/>
          <w:strike/>
        </w:rPr>
        <w:t>Description of the disease:</w:t>
      </w:r>
      <w:r w:rsidRPr="00E163F0">
        <w:rPr>
          <w:rFonts w:eastAsia="MS Mincho"/>
        </w:rPr>
        <w:t xml:space="preserve"> MG causes chronic respiratory disease of domestic poultry, especially </w:t>
      </w:r>
      <w:r w:rsidRPr="006109C4">
        <w:rPr>
          <w:rFonts w:eastAsia="MS Mincho"/>
          <w:strike/>
        </w:rPr>
        <w:t xml:space="preserve">in the presence of management </w:t>
      </w:r>
      <w:r w:rsidR="006109C4" w:rsidRPr="006109C4">
        <w:rPr>
          <w:rFonts w:eastAsia="MS Mincho"/>
          <w:strike/>
        </w:rPr>
        <w:t xml:space="preserve">stresses </w:t>
      </w:r>
      <w:r w:rsidR="006109C4" w:rsidRPr="006109C4">
        <w:rPr>
          <w:rFonts w:eastAsia="MS Mincho"/>
          <w:u w:val="double"/>
        </w:rPr>
        <w:t>when flocks are stressed</w:t>
      </w:r>
      <w:r w:rsidR="006109C4">
        <w:rPr>
          <w:rFonts w:eastAsia="MS Mincho"/>
        </w:rPr>
        <w:t xml:space="preserve"> </w:t>
      </w:r>
      <w:r w:rsidRPr="00E163F0">
        <w:rPr>
          <w:rFonts w:eastAsia="MS Mincho"/>
        </w:rPr>
        <w:t>and/or other respiratory pathogens</w:t>
      </w:r>
      <w:r w:rsidR="006109C4">
        <w:rPr>
          <w:rFonts w:eastAsia="MS Mincho"/>
        </w:rPr>
        <w:t xml:space="preserve"> </w:t>
      </w:r>
      <w:r w:rsidR="006109C4" w:rsidRPr="006109C4">
        <w:rPr>
          <w:rFonts w:eastAsia="MS Mincho"/>
          <w:u w:val="double"/>
        </w:rPr>
        <w:t>are present</w:t>
      </w:r>
      <w:r w:rsidRPr="00E163F0">
        <w:rPr>
          <w:rFonts w:eastAsia="MS Mincho"/>
        </w:rPr>
        <w:t xml:space="preserve">. </w:t>
      </w:r>
      <w:r w:rsidR="006109C4" w:rsidRPr="006109C4">
        <w:rPr>
          <w:rFonts w:eastAsia="MS Mincho"/>
          <w:u w:val="double"/>
        </w:rPr>
        <w:t>The</w:t>
      </w:r>
      <w:r w:rsidR="006109C4">
        <w:rPr>
          <w:rFonts w:eastAsia="MS Mincho"/>
        </w:rPr>
        <w:t xml:space="preserve"> d</w:t>
      </w:r>
      <w:r w:rsidRPr="00E163F0">
        <w:rPr>
          <w:rFonts w:eastAsia="MS Mincho"/>
        </w:rPr>
        <w:t xml:space="preserve">isease is characterised by coryza, conjunctivitis, sneezing, and </w:t>
      </w:r>
      <w:r w:rsidRPr="006109C4">
        <w:rPr>
          <w:rFonts w:eastAsia="MS Mincho"/>
          <w:strike/>
        </w:rPr>
        <w:t xml:space="preserve">by </w:t>
      </w:r>
      <w:r w:rsidRPr="00E163F0">
        <w:rPr>
          <w:rFonts w:eastAsia="MS Mincho"/>
        </w:rPr>
        <w:t xml:space="preserve">sinusitis, particularly in turkeys and game birds. It can result </w:t>
      </w:r>
      <w:r w:rsidRPr="006109C4">
        <w:rPr>
          <w:rFonts w:eastAsia="MS Mincho"/>
        </w:rPr>
        <w:t xml:space="preserve">in </w:t>
      </w:r>
      <w:r w:rsidRPr="006109C4">
        <w:rPr>
          <w:rFonts w:eastAsia="MS Mincho"/>
          <w:strike/>
        </w:rPr>
        <w:t xml:space="preserve">loss of </w:t>
      </w:r>
      <w:r w:rsidR="006109C4" w:rsidRPr="00A91C54">
        <w:rPr>
          <w:rFonts w:eastAsia="MS Mincho"/>
          <w:strike/>
        </w:rPr>
        <w:t xml:space="preserve">important </w:t>
      </w:r>
      <w:r w:rsidR="00044369" w:rsidRPr="00A91C54">
        <w:rPr>
          <w:rFonts w:eastAsia="MS Mincho"/>
          <w:u w:val="double"/>
        </w:rPr>
        <w:t>significant</w:t>
      </w:r>
      <w:r w:rsidR="00044369">
        <w:rPr>
          <w:rFonts w:eastAsia="MS Mincho"/>
        </w:rPr>
        <w:t xml:space="preserve"> </w:t>
      </w:r>
      <w:r w:rsidR="006109C4">
        <w:rPr>
          <w:rFonts w:eastAsia="MS Mincho"/>
        </w:rPr>
        <w:t>p</w:t>
      </w:r>
      <w:r w:rsidRPr="00E163F0">
        <w:rPr>
          <w:rFonts w:eastAsia="MS Mincho"/>
        </w:rPr>
        <w:t>roduction</w:t>
      </w:r>
      <w:r w:rsidR="006109C4">
        <w:rPr>
          <w:rFonts w:eastAsia="MS Mincho"/>
        </w:rPr>
        <w:t xml:space="preserve"> </w:t>
      </w:r>
      <w:r w:rsidR="006109C4" w:rsidRPr="006109C4">
        <w:rPr>
          <w:rFonts w:eastAsia="MS Mincho"/>
          <w:u w:val="double"/>
        </w:rPr>
        <w:t>losses</w:t>
      </w:r>
      <w:r w:rsidRPr="00E163F0">
        <w:rPr>
          <w:rFonts w:eastAsia="MS Mincho"/>
        </w:rPr>
        <w:t xml:space="preserve"> and downgrading of meat-type birds, and loss of egg production. MS may cause respiratory disease, synovitis, </w:t>
      </w:r>
      <w:r w:rsidR="006109C4" w:rsidRPr="006109C4">
        <w:rPr>
          <w:rFonts w:eastAsia="MS Mincho"/>
          <w:u w:val="double"/>
        </w:rPr>
        <w:t>eggshell alteration, loss of egg production and carcass downgrading</w:t>
      </w:r>
      <w:r w:rsidR="006109C4" w:rsidRPr="00E163F0">
        <w:rPr>
          <w:rFonts w:eastAsia="MS Mincho"/>
        </w:rPr>
        <w:t xml:space="preserve"> </w:t>
      </w:r>
      <w:r w:rsidRPr="00E163F0">
        <w:rPr>
          <w:rFonts w:eastAsia="MS Mincho"/>
        </w:rPr>
        <w:t xml:space="preserve">or </w:t>
      </w:r>
      <w:r w:rsidR="006109C4" w:rsidRPr="006109C4">
        <w:rPr>
          <w:rFonts w:eastAsia="MS Mincho"/>
          <w:u w:val="double"/>
        </w:rPr>
        <w:t>it</w:t>
      </w:r>
      <w:r w:rsidR="006109C4">
        <w:rPr>
          <w:rFonts w:eastAsia="MS Mincho"/>
        </w:rPr>
        <w:t xml:space="preserve"> </w:t>
      </w:r>
      <w:r w:rsidRPr="00E163F0">
        <w:rPr>
          <w:rFonts w:eastAsia="MS Mincho"/>
        </w:rPr>
        <w:t xml:space="preserve">may result in a silent infection. MG and MS strains vary in infectivity and virulence, and infections may sometimes be </w:t>
      </w:r>
      <w:r w:rsidR="006109C4" w:rsidRPr="00D10261">
        <w:rPr>
          <w:rFonts w:eastAsia="MS Mincho"/>
        </w:rPr>
        <w:t>in</w:t>
      </w:r>
      <w:r w:rsidRPr="00D10261">
        <w:rPr>
          <w:rFonts w:eastAsia="MS Mincho"/>
        </w:rPr>
        <w:t>apparent</w:t>
      </w:r>
      <w:r w:rsidRPr="00E163F0">
        <w:rPr>
          <w:rFonts w:eastAsia="MS Mincho"/>
        </w:rPr>
        <w:t>.</w:t>
      </w:r>
    </w:p>
    <w:p w14:paraId="11887339" w14:textId="77777777" w:rsidR="00186891" w:rsidRPr="00E163F0" w:rsidRDefault="00186891" w:rsidP="00E163F0">
      <w:pPr>
        <w:pStyle w:val="sumtexte"/>
      </w:pPr>
      <w:r w:rsidRPr="00E163F0">
        <w:rPr>
          <w:b/>
          <w:bCs/>
        </w:rPr>
        <w:t>Identification of the agent:</w:t>
      </w:r>
      <w:r w:rsidRPr="00E163F0">
        <w:t xml:space="preserve"> MG and MS can be identified by immunological methods after isolation in mycoplasma media or by detection of their DNA in field samples or cultures.</w:t>
      </w:r>
    </w:p>
    <w:p w14:paraId="3AB91631" w14:textId="58C9C5E5" w:rsidR="00186891" w:rsidRPr="00E163F0" w:rsidRDefault="00186891" w:rsidP="00E163F0">
      <w:pPr>
        <w:pStyle w:val="sumtexte"/>
      </w:pPr>
      <w:r w:rsidRPr="00E163F0">
        <w:t xml:space="preserve">Samples for isolation can be swabs of organs or tissues, exudates, diluted tissue homogenates, aspirates from the infraorbital sinuses or joint cavities, </w:t>
      </w:r>
      <w:r w:rsidRPr="003D171D">
        <w:rPr>
          <w:strike/>
        </w:rPr>
        <w:t xml:space="preserve">or </w:t>
      </w:r>
      <w:r w:rsidRPr="00E163F0">
        <w:t xml:space="preserve">material from egg yolk or embryos. Clinical signs and lesions will influence the sample selection. Broth and </w:t>
      </w:r>
      <w:r w:rsidRPr="003D171D">
        <w:t>agar</w:t>
      </w:r>
      <w:r w:rsidR="003D171D">
        <w:t xml:space="preserve"> </w:t>
      </w:r>
      <w:r w:rsidR="003D171D" w:rsidRPr="003D171D">
        <w:rPr>
          <w:u w:val="double"/>
        </w:rPr>
        <w:t xml:space="preserve">combined with basic biochemical tests are used for isolation and first recognition of the </w:t>
      </w:r>
      <w:r w:rsidR="00D10261" w:rsidRPr="00D10261">
        <w:rPr>
          <w:i w:val="0"/>
          <w:u w:val="double"/>
        </w:rPr>
        <w:t>Mycoplasma</w:t>
      </w:r>
      <w:r w:rsidR="003D171D" w:rsidRPr="003D171D">
        <w:rPr>
          <w:u w:val="double"/>
        </w:rPr>
        <w:t xml:space="preserve">, but identification of the genus and species </w:t>
      </w:r>
      <w:r w:rsidR="00D10261">
        <w:rPr>
          <w:u w:val="double"/>
        </w:rPr>
        <w:t>is</w:t>
      </w:r>
      <w:r w:rsidR="003D171D" w:rsidRPr="003D171D">
        <w:rPr>
          <w:u w:val="double"/>
        </w:rPr>
        <w:t xml:space="preserve"> made through immunological tests </w:t>
      </w:r>
      <w:r w:rsidR="003D171D" w:rsidRPr="003D171D">
        <w:rPr>
          <w:i w:val="0"/>
          <w:u w:val="double"/>
        </w:rPr>
        <w:t>(</w:t>
      </w:r>
      <w:r w:rsidR="003D171D" w:rsidRPr="003D171D">
        <w:rPr>
          <w:u w:val="double"/>
        </w:rPr>
        <w:t>e.g. fluorescent antibody or immunoperoxidase tests</w:t>
      </w:r>
      <w:r w:rsidR="003D171D" w:rsidRPr="003D171D">
        <w:rPr>
          <w:i w:val="0"/>
          <w:u w:val="double"/>
        </w:rPr>
        <w:t>)</w:t>
      </w:r>
      <w:r w:rsidR="003D171D" w:rsidRPr="003D171D">
        <w:rPr>
          <w:u w:val="double"/>
        </w:rPr>
        <w:t xml:space="preserve"> and/or biomolecular tests</w:t>
      </w:r>
      <w:r w:rsidRPr="003D171D">
        <w:rPr>
          <w:strike/>
        </w:rPr>
        <w:t xml:space="preserve"> are used for isolation, but it is normally necessary to obtain mycoplasma colonies on agar before attempting identification. Basic biochemical tests can be helpful in preliminary classification of isolates but final identification is by immunological tests, the most satisfactory being fluorescent antibody and immunoperoxidase tests</w:t>
      </w:r>
      <w:r w:rsidRPr="00E163F0">
        <w:t>.</w:t>
      </w:r>
    </w:p>
    <w:p w14:paraId="69953063" w14:textId="77777777" w:rsidR="00186891" w:rsidRPr="00E163F0" w:rsidRDefault="00186891" w:rsidP="00247BC4">
      <w:pPr>
        <w:pStyle w:val="sumtexte"/>
      </w:pPr>
      <w:r w:rsidRPr="00E163F0">
        <w:t xml:space="preserve">DNA detection methods based on the polymerase chain reaction are </w:t>
      </w:r>
      <w:r w:rsidR="003D171D" w:rsidRPr="003D171D">
        <w:rPr>
          <w:u w:val="double"/>
        </w:rPr>
        <w:t>commonly</w:t>
      </w:r>
      <w:r w:rsidR="003D171D">
        <w:t xml:space="preserve"> </w:t>
      </w:r>
      <w:r w:rsidRPr="00E163F0">
        <w:t xml:space="preserve">used in </w:t>
      </w:r>
      <w:r w:rsidR="003D171D" w:rsidRPr="003D171D">
        <w:rPr>
          <w:u w:val="double"/>
        </w:rPr>
        <w:t>several</w:t>
      </w:r>
      <w:r w:rsidR="003D171D">
        <w:t xml:space="preserve"> </w:t>
      </w:r>
      <w:r w:rsidRPr="00E163F0">
        <w:t xml:space="preserve">specialised laboratories. </w:t>
      </w:r>
      <w:r w:rsidRPr="003D171D">
        <w:rPr>
          <w:strike/>
        </w:rPr>
        <w:t>Once validated, they can be used on swab material or cultures.</w:t>
      </w:r>
    </w:p>
    <w:p w14:paraId="1B6E36F6" w14:textId="77777777" w:rsidR="00186891" w:rsidRPr="00E163F0" w:rsidRDefault="00186891" w:rsidP="00E163F0">
      <w:pPr>
        <w:pStyle w:val="sumtexte"/>
      </w:pPr>
      <w:r w:rsidRPr="00E163F0">
        <w:rPr>
          <w:b/>
          <w:bCs/>
        </w:rPr>
        <w:t>Serological tests:</w:t>
      </w:r>
      <w:r w:rsidRPr="00E163F0">
        <w:t xml:space="preserve"> Several serological tests are used to detect MG or MS antibodies, but due to variations in </w:t>
      </w:r>
      <w:r w:rsidR="003D171D" w:rsidRPr="003D171D">
        <w:rPr>
          <w:u w:val="double"/>
        </w:rPr>
        <w:t>test</w:t>
      </w:r>
      <w:r w:rsidR="003D171D">
        <w:t xml:space="preserve"> </w:t>
      </w:r>
      <w:r w:rsidRPr="00E163F0">
        <w:t xml:space="preserve">specificity and sensitivity, they are recommended </w:t>
      </w:r>
      <w:r w:rsidR="003D171D" w:rsidRPr="003D171D">
        <w:rPr>
          <w:u w:val="double"/>
        </w:rPr>
        <w:t>only</w:t>
      </w:r>
      <w:r w:rsidR="003D171D">
        <w:t xml:space="preserve"> </w:t>
      </w:r>
      <w:r w:rsidRPr="00E163F0">
        <w:t>for flock screening rather than for testing individuals.</w:t>
      </w:r>
    </w:p>
    <w:p w14:paraId="6E3F2B8B" w14:textId="77777777" w:rsidR="00186891" w:rsidRPr="00E163F0" w:rsidRDefault="00186891" w:rsidP="00E163F0">
      <w:pPr>
        <w:pStyle w:val="sumtexte"/>
      </w:pPr>
      <w:r w:rsidRPr="00E163F0">
        <w:t xml:space="preserve">The most commonly used are the rapid serum agglutination </w:t>
      </w:r>
      <w:r w:rsidRPr="00E163F0">
        <w:rPr>
          <w:i w:val="0"/>
          <w:iCs w:val="0"/>
        </w:rPr>
        <w:t>(</w:t>
      </w:r>
      <w:r w:rsidRPr="00E163F0">
        <w:t>RSA</w:t>
      </w:r>
      <w:r w:rsidRPr="00E163F0">
        <w:rPr>
          <w:i w:val="0"/>
          <w:iCs w:val="0"/>
        </w:rPr>
        <w:t>)</w:t>
      </w:r>
      <w:r w:rsidRPr="00E163F0">
        <w:t xml:space="preserve"> test, the enzyme-linked immunosorbent assay </w:t>
      </w:r>
      <w:r w:rsidRPr="00E163F0">
        <w:rPr>
          <w:i w:val="0"/>
          <w:iCs w:val="0"/>
        </w:rPr>
        <w:t>(</w:t>
      </w:r>
      <w:r w:rsidRPr="00E163F0">
        <w:t>ELISA</w:t>
      </w:r>
      <w:r w:rsidRPr="00E163F0">
        <w:rPr>
          <w:i w:val="0"/>
          <w:iCs w:val="0"/>
        </w:rPr>
        <w:t>)</w:t>
      </w:r>
      <w:r w:rsidRPr="00E163F0">
        <w:t xml:space="preserve"> and the haemagglutination inhibition </w:t>
      </w:r>
      <w:r w:rsidRPr="00E163F0">
        <w:rPr>
          <w:i w:val="0"/>
          <w:iCs w:val="0"/>
        </w:rPr>
        <w:t>(</w:t>
      </w:r>
      <w:r w:rsidRPr="00E163F0">
        <w:t>HI</w:t>
      </w:r>
      <w:r w:rsidRPr="00E163F0">
        <w:rPr>
          <w:i w:val="0"/>
          <w:iCs w:val="0"/>
        </w:rPr>
        <w:t>)</w:t>
      </w:r>
      <w:r w:rsidRPr="00E163F0">
        <w:t xml:space="preserve"> test. In the RSA test, sera are mixed with commercially produced stained antigen and sera that react within 2 minutes are heated at 56°C for 30 minutes and retested. Sera that still react</w:t>
      </w:r>
      <w:r w:rsidR="004C7E82" w:rsidRPr="00E163F0">
        <w:t>, especially when diluted,</w:t>
      </w:r>
      <w:r w:rsidRPr="00E163F0">
        <w:t xml:space="preserve"> are considered positive and are tested by either ELISA or HI for confirmation. Several commercial MG and MS antibody ELISA kits are available.</w:t>
      </w:r>
    </w:p>
    <w:p w14:paraId="08766BD6" w14:textId="65D91FD1" w:rsidR="00186891" w:rsidRPr="00E163F0" w:rsidRDefault="00186891" w:rsidP="00E163F0">
      <w:pPr>
        <w:pStyle w:val="sumtexte"/>
      </w:pPr>
      <w:r w:rsidRPr="00E163F0">
        <w:rPr>
          <w:b/>
          <w:bCs/>
        </w:rPr>
        <w:t>Requirements for vaccines</w:t>
      </w:r>
      <w:r w:rsidRPr="009775CA">
        <w:rPr>
          <w:b/>
          <w:bCs/>
          <w:strike/>
        </w:rPr>
        <w:t xml:space="preserve"> and diagnostic biologicals</w:t>
      </w:r>
      <w:r w:rsidRPr="00E163F0">
        <w:rPr>
          <w:b/>
          <w:bCs/>
        </w:rPr>
        <w:t>:</w:t>
      </w:r>
      <w:r w:rsidRPr="00E163F0">
        <w:t xml:space="preserve"> Although the preferred method of control is maintenance of MG- and MS-free flocks, both live and inactivated vaccines are used in chickens. Vaccination should be considered </w:t>
      </w:r>
      <w:r w:rsidRPr="0006170C">
        <w:t>only</w:t>
      </w:r>
      <w:r w:rsidR="0006170C" w:rsidRPr="0006170C">
        <w:t xml:space="preserve"> </w:t>
      </w:r>
      <w:r w:rsidR="0006170C" w:rsidRPr="0006170C">
        <w:rPr>
          <w:u w:val="double"/>
        </w:rPr>
        <w:t>in specific cases on the basis of the epidemiolog</w:t>
      </w:r>
      <w:r w:rsidR="00D10261">
        <w:rPr>
          <w:u w:val="double"/>
        </w:rPr>
        <w:t>ical situation in</w:t>
      </w:r>
      <w:r w:rsidR="0006170C" w:rsidRPr="0006170C">
        <w:rPr>
          <w:u w:val="double"/>
        </w:rPr>
        <w:t xml:space="preserve"> the area or in farms</w:t>
      </w:r>
      <w:r w:rsidRPr="00E163F0">
        <w:t xml:space="preserve"> </w:t>
      </w:r>
      <w:r w:rsidRPr="0006170C">
        <w:rPr>
          <w:strike/>
        </w:rPr>
        <w:t xml:space="preserve">on multi-age sites </w:t>
      </w:r>
      <w:r w:rsidRPr="00E163F0">
        <w:t>where infection is inevitable. The normal use is to prevent egg-production losses in commercial layers, although vaccines may also be used to reduce egg transmission in breeding stock or to aid MG eradication on multi-age sites. It is important to vaccinate before field challenge occurs.</w:t>
      </w:r>
    </w:p>
    <w:p w14:paraId="4213996E" w14:textId="135F0204" w:rsidR="00186891" w:rsidRPr="00E163F0" w:rsidRDefault="00186891" w:rsidP="00E163F0">
      <w:pPr>
        <w:pStyle w:val="sumtexte"/>
      </w:pPr>
      <w:r w:rsidRPr="00E163F0">
        <w:lastRenderedPageBreak/>
        <w:t xml:space="preserve">Available live vaccines for MG </w:t>
      </w:r>
      <w:r w:rsidR="0006170C" w:rsidRPr="0006170C">
        <w:rPr>
          <w:u w:val="double"/>
        </w:rPr>
        <w:t>for chickens</w:t>
      </w:r>
      <w:r w:rsidR="0006170C">
        <w:t xml:space="preserve"> </w:t>
      </w:r>
      <w:r w:rsidRPr="00E163F0">
        <w:t>are produced from the F strain</w:t>
      </w:r>
      <w:r w:rsidRPr="0006170C">
        <w:rPr>
          <w:strike/>
        </w:rPr>
        <w:t>,</w:t>
      </w:r>
      <w:r w:rsidRPr="00E163F0">
        <w:t xml:space="preserve"> and</w:t>
      </w:r>
      <w:r w:rsidRPr="0006170C">
        <w:rPr>
          <w:strike/>
        </w:rPr>
        <w:t>,</w:t>
      </w:r>
      <w:r w:rsidRPr="00E163F0">
        <w:t xml:space="preserve"> </w:t>
      </w:r>
      <w:r w:rsidRPr="0006170C">
        <w:rPr>
          <w:strike/>
        </w:rPr>
        <w:t>more recently,</w:t>
      </w:r>
      <w:r w:rsidRPr="00E163F0">
        <w:t xml:space="preserve"> strains ts-11 and 6/85, which are apathogenic strains with improved safety characteristics. Administration of the F strain by the intranasal or eyedrop route is preferred, but aerosol or drinking water administration may be used. The eyedrop method is recommended for ts-11, and a fine spray for 6/85. Pullets are generally vaccinated between </w:t>
      </w:r>
      <w:r w:rsidRPr="0006170C">
        <w:rPr>
          <w:strike/>
        </w:rPr>
        <w:t xml:space="preserve">12 </w:t>
      </w:r>
      <w:r w:rsidR="0006170C" w:rsidRPr="0006170C">
        <w:rPr>
          <w:u w:val="double"/>
        </w:rPr>
        <w:t>9</w:t>
      </w:r>
      <w:r w:rsidR="0006170C">
        <w:t xml:space="preserve"> </w:t>
      </w:r>
      <w:r w:rsidRPr="00E163F0">
        <w:t xml:space="preserve">and 16 weeks of age. One dose is sufficient and vaccinated birds remain permanent carriers. Long-term use of the F strain on multi-age sites </w:t>
      </w:r>
      <w:r w:rsidR="0006170C" w:rsidRPr="0006170C">
        <w:rPr>
          <w:u w:val="double"/>
        </w:rPr>
        <w:t>can</w:t>
      </w:r>
      <w:r w:rsidR="0006170C">
        <w:t xml:space="preserve"> </w:t>
      </w:r>
      <w:r w:rsidRPr="00E163F0">
        <w:t>result</w:t>
      </w:r>
      <w:r w:rsidRPr="0006170C">
        <w:rPr>
          <w:strike/>
        </w:rPr>
        <w:t>s</w:t>
      </w:r>
      <w:r w:rsidRPr="00E163F0">
        <w:t xml:space="preserve"> in displacement of field strains. The ts-11 strain has been successfully used to eradicate F strain in multi-age commercial layers. </w:t>
      </w:r>
      <w:r w:rsidR="0006170C" w:rsidRPr="0006170C">
        <w:rPr>
          <w:u w:val="double"/>
        </w:rPr>
        <w:t>In the past few years, two</w:t>
      </w:r>
      <w:r w:rsidR="0006170C">
        <w:t xml:space="preserve"> </w:t>
      </w:r>
      <w:r w:rsidRPr="0006170C">
        <w:rPr>
          <w:strike/>
        </w:rPr>
        <w:t xml:space="preserve">A </w:t>
      </w:r>
      <w:r w:rsidRPr="00E163F0">
        <w:t xml:space="preserve">live MS </w:t>
      </w:r>
      <w:r w:rsidRPr="0006170C">
        <w:rPr>
          <w:u w:val="double"/>
        </w:rPr>
        <w:t>vaccine</w:t>
      </w:r>
      <w:r w:rsidR="0006170C" w:rsidRPr="0006170C">
        <w:rPr>
          <w:u w:val="double"/>
        </w:rPr>
        <w:t>s</w:t>
      </w:r>
      <w:r w:rsidRPr="0006170C">
        <w:rPr>
          <w:u w:val="double"/>
        </w:rPr>
        <w:t xml:space="preserve"> </w:t>
      </w:r>
      <w:r w:rsidR="0006170C" w:rsidRPr="0006170C">
        <w:rPr>
          <w:u w:val="double"/>
        </w:rPr>
        <w:t>produced from the MS-H strain and MS1 have</w:t>
      </w:r>
      <w:r w:rsidR="0006170C" w:rsidRPr="00E163F0">
        <w:t xml:space="preserve"> </w:t>
      </w:r>
      <w:r w:rsidRPr="0006170C">
        <w:rPr>
          <w:strike/>
        </w:rPr>
        <w:t xml:space="preserve">has </w:t>
      </w:r>
      <w:r w:rsidRPr="00E163F0">
        <w:t xml:space="preserve">been </w:t>
      </w:r>
      <w:r w:rsidR="0006170C" w:rsidRPr="0006170C">
        <w:rPr>
          <w:u w:val="double"/>
        </w:rPr>
        <w:t>licensed in several countries. Eyedrop administration is advised for the MS-H strain whereas fine aerosol is recommended for MS1. The birds should be vaccinated by 5 weeks of age. New MG vaccine candidates are under study, some of them are attenuated strains and others are based on vectored</w:t>
      </w:r>
      <w:r w:rsidR="00DC4FEE">
        <w:rPr>
          <w:u w:val="double"/>
        </w:rPr>
        <w:t>-</w:t>
      </w:r>
      <w:r w:rsidR="0006170C" w:rsidRPr="0006170C">
        <w:rPr>
          <w:u w:val="double"/>
        </w:rPr>
        <w:t>virus technology</w:t>
      </w:r>
      <w:r w:rsidR="0006170C" w:rsidRPr="0006170C">
        <w:rPr>
          <w:strike/>
        </w:rPr>
        <w:t xml:space="preserve"> </w:t>
      </w:r>
      <w:r w:rsidRPr="0006170C">
        <w:rPr>
          <w:strike/>
        </w:rPr>
        <w:t>produced from the MS-H strain and should be administered by eyedrop</w:t>
      </w:r>
      <w:r w:rsidRPr="00E163F0">
        <w:t>.</w:t>
      </w:r>
    </w:p>
    <w:p w14:paraId="04F1DCA4" w14:textId="31BD5239" w:rsidR="00186891" w:rsidRDefault="009157D1" w:rsidP="002A1AEA">
      <w:pPr>
        <w:pStyle w:val="sumtextelastpara"/>
        <w:spacing w:after="440"/>
      </w:pPr>
      <w:r w:rsidRPr="009157D1">
        <w:rPr>
          <w:u w:val="double"/>
        </w:rPr>
        <w:t>Inactivated vaccines consisting of</w:t>
      </w:r>
      <w:r w:rsidRPr="00923708">
        <w:rPr>
          <w:strike/>
        </w:rPr>
        <w:t xml:space="preserve"> </w:t>
      </w:r>
      <w:r w:rsidR="00186891" w:rsidRPr="009157D1">
        <w:rPr>
          <w:strike/>
        </w:rPr>
        <w:t>Bacterins consist of a</w:t>
      </w:r>
      <w:r w:rsidR="00186891" w:rsidRPr="00E163F0">
        <w:t xml:space="preserve"> concentrated suspension of MG </w:t>
      </w:r>
      <w:r w:rsidRPr="009157D1">
        <w:rPr>
          <w:u w:val="double"/>
        </w:rPr>
        <w:t xml:space="preserve">or MS </w:t>
      </w:r>
      <w:r w:rsidR="00186891" w:rsidRPr="00E163F0">
        <w:t>organisms in an oil emulsion</w:t>
      </w:r>
      <w:r w:rsidRPr="00966893">
        <w:t xml:space="preserve"> </w:t>
      </w:r>
      <w:r w:rsidRPr="009157D1">
        <w:rPr>
          <w:u w:val="double"/>
        </w:rPr>
        <w:t>are licensed in several countries.</w:t>
      </w:r>
      <w:r w:rsidRPr="00415C08">
        <w:t xml:space="preserve"> </w:t>
      </w:r>
      <w:r w:rsidRPr="00A91C54">
        <w:rPr>
          <w:strike/>
        </w:rPr>
        <w:t>Usually</w:t>
      </w:r>
      <w:r w:rsidRPr="00415C08">
        <w:rPr>
          <w:strike/>
        </w:rPr>
        <w:t xml:space="preserve"> </w:t>
      </w:r>
      <w:r w:rsidRPr="009157D1">
        <w:rPr>
          <w:u w:val="double"/>
        </w:rPr>
        <w:t>they</w:t>
      </w:r>
      <w:r w:rsidR="00186891" w:rsidRPr="009157D1">
        <w:rPr>
          <w:u w:val="double"/>
        </w:rPr>
        <w:t xml:space="preserve"> </w:t>
      </w:r>
      <w:r w:rsidRPr="009157D1">
        <w:rPr>
          <w:u w:val="double"/>
        </w:rPr>
        <w:t>should be</w:t>
      </w:r>
      <w:r w:rsidRPr="009157D1">
        <w:t xml:space="preserve"> </w:t>
      </w:r>
      <w:r w:rsidR="00186891" w:rsidRPr="009157D1">
        <w:rPr>
          <w:strike/>
        </w:rPr>
        <w:t xml:space="preserve">are </w:t>
      </w:r>
      <w:r w:rsidR="00186891" w:rsidRPr="00E163F0">
        <w:t>administered parenterally to pullets at 12–16 weeks of age</w:t>
      </w:r>
      <w:r w:rsidR="00186891" w:rsidRPr="009157D1">
        <w:rPr>
          <w:strike/>
        </w:rPr>
        <w:t>, usually subcutaneously in the neck</w:t>
      </w:r>
      <w:r w:rsidR="00186891" w:rsidRPr="00E163F0">
        <w:t xml:space="preserve">. Two doses are desirable. </w:t>
      </w:r>
      <w:r w:rsidRPr="009157D1">
        <w:rPr>
          <w:u w:val="double"/>
        </w:rPr>
        <w:t>MG</w:t>
      </w:r>
      <w:r w:rsidRPr="009157D1">
        <w:t xml:space="preserve"> </w:t>
      </w:r>
      <w:r w:rsidRPr="00E163F0">
        <w:t xml:space="preserve">bacterins </w:t>
      </w:r>
      <w:r w:rsidR="00186891" w:rsidRPr="00E163F0">
        <w:t xml:space="preserve">are effective in preventing egg-production losses and respiratory disease, but they do not prevent infection with wild-type MG. </w:t>
      </w:r>
      <w:r w:rsidRPr="009157D1">
        <w:rPr>
          <w:u w:val="double"/>
        </w:rPr>
        <w:t xml:space="preserve">MS inactivated vaccine are not </w:t>
      </w:r>
      <w:r w:rsidR="003951E1">
        <w:rPr>
          <w:u w:val="double"/>
        </w:rPr>
        <w:t>in</w:t>
      </w:r>
      <w:r w:rsidR="003951E1" w:rsidRPr="009157D1">
        <w:rPr>
          <w:u w:val="double"/>
        </w:rPr>
        <w:t xml:space="preserve"> </w:t>
      </w:r>
      <w:r w:rsidRPr="009157D1">
        <w:rPr>
          <w:u w:val="double"/>
        </w:rPr>
        <w:t>common use</w:t>
      </w:r>
      <w:r>
        <w:t xml:space="preserve">. </w:t>
      </w:r>
      <w:r w:rsidR="00186891" w:rsidRPr="009157D1">
        <w:rPr>
          <w:strike/>
        </w:rPr>
        <w:t>A similar bacterin has been licensed in the United States of America for MS, but it is not widely used.</w:t>
      </w:r>
    </w:p>
    <w:p w14:paraId="4DAA4496" w14:textId="77777777" w:rsidR="00186891" w:rsidRPr="00E163F0" w:rsidRDefault="00186891" w:rsidP="002A1AEA">
      <w:pPr>
        <w:pStyle w:val="A0"/>
        <w:spacing w:after="200"/>
      </w:pPr>
      <w:r w:rsidRPr="00E163F0">
        <w:t>A.  INTRODUCTION</w:t>
      </w:r>
    </w:p>
    <w:p w14:paraId="18161380" w14:textId="77777777" w:rsidR="00140AB7" w:rsidRPr="00140AB7" w:rsidRDefault="00140AB7" w:rsidP="00140AB7">
      <w:pPr>
        <w:pStyle w:val="1"/>
        <w:rPr>
          <w:iCs/>
          <w:u w:val="double"/>
        </w:rPr>
      </w:pPr>
      <w:r w:rsidRPr="00140AB7">
        <w:rPr>
          <w:iCs/>
          <w:u w:val="double"/>
        </w:rPr>
        <w:t>1.</w:t>
      </w:r>
      <w:r w:rsidRPr="00140AB7">
        <w:rPr>
          <w:iCs/>
          <w:u w:val="double"/>
        </w:rPr>
        <w:tab/>
      </w:r>
      <w:r w:rsidRPr="00140AB7">
        <w:rPr>
          <w:u w:val="double"/>
        </w:rPr>
        <w:t>Description and impact of the disease</w:t>
      </w:r>
    </w:p>
    <w:p w14:paraId="21F6C349" w14:textId="77777777" w:rsidR="00186891" w:rsidRPr="00E163F0" w:rsidRDefault="00186891" w:rsidP="009419E4">
      <w:pPr>
        <w:pStyle w:val="paraA0"/>
      </w:pPr>
      <w:r w:rsidRPr="00E163F0">
        <w:rPr>
          <w:i/>
          <w:iCs/>
        </w:rPr>
        <w:t>Mycoplasma gallisepticum</w:t>
      </w:r>
      <w:r w:rsidRPr="00E163F0">
        <w:t xml:space="preserve"> (MG) and </w:t>
      </w:r>
      <w:r w:rsidRPr="00E163F0">
        <w:rPr>
          <w:i/>
        </w:rPr>
        <w:t>M. synoviae</w:t>
      </w:r>
      <w:r w:rsidRPr="00E163F0">
        <w:t xml:space="preserve"> (MS) belong to the class </w:t>
      </w:r>
      <w:r w:rsidRPr="00A60174">
        <w:rPr>
          <w:i/>
        </w:rPr>
        <w:t>Mollicutes</w:t>
      </w:r>
      <w:r w:rsidRPr="00E163F0">
        <w:t xml:space="preserve">, order </w:t>
      </w:r>
      <w:r w:rsidRPr="00A60174">
        <w:rPr>
          <w:i/>
        </w:rPr>
        <w:t>Mycoplasmatales</w:t>
      </w:r>
      <w:r w:rsidRPr="00E163F0">
        <w:t xml:space="preserve">, family </w:t>
      </w:r>
      <w:r w:rsidRPr="00A60174">
        <w:rPr>
          <w:i/>
        </w:rPr>
        <w:t>Mycoplasmataceae</w:t>
      </w:r>
      <w:r w:rsidRPr="00E163F0">
        <w:t xml:space="preserve">. It should be noted, however, that </w:t>
      </w:r>
      <w:r w:rsidRPr="00E163F0">
        <w:rPr>
          <w:i/>
          <w:iCs/>
        </w:rPr>
        <w:t>M. meleagridis</w:t>
      </w:r>
      <w:r w:rsidRPr="00E163F0">
        <w:t xml:space="preserve"> and </w:t>
      </w:r>
      <w:r w:rsidRPr="00E163F0">
        <w:rPr>
          <w:i/>
          <w:iCs/>
        </w:rPr>
        <w:t>M. iowae</w:t>
      </w:r>
      <w:r w:rsidRPr="00E163F0">
        <w:t xml:space="preserve"> can also cause disease in poultry, but MG and MS are considered to be the most important </w:t>
      </w:r>
      <w:r w:rsidRPr="00140AB7">
        <w:rPr>
          <w:strike/>
        </w:rPr>
        <w:t>of the</w:t>
      </w:r>
      <w:r w:rsidR="00140AB7" w:rsidRPr="00140AB7">
        <w:rPr>
          <w:strike/>
        </w:rPr>
        <w:t xml:space="preserve"> </w:t>
      </w:r>
      <w:r w:rsidR="00140AB7" w:rsidRPr="00140AB7">
        <w:rPr>
          <w:u w:val="double"/>
        </w:rPr>
        <w:t>avian</w:t>
      </w:r>
      <w:r w:rsidRPr="00E163F0">
        <w:t xml:space="preserve"> pathogenic </w:t>
      </w:r>
      <w:r w:rsidRPr="00E163F0">
        <w:rPr>
          <w:rFonts w:eastAsia="MS Mincho"/>
        </w:rPr>
        <w:t>mycoplasmas,</w:t>
      </w:r>
      <w:r w:rsidRPr="00E163F0">
        <w:t xml:space="preserve"> and both occur world-wide. </w:t>
      </w:r>
    </w:p>
    <w:p w14:paraId="12AE7A53" w14:textId="3FB6DEA9" w:rsidR="00186891" w:rsidRDefault="00186891" w:rsidP="009419E4">
      <w:pPr>
        <w:pStyle w:val="paraA0"/>
      </w:pPr>
      <w:r w:rsidRPr="00E163F0">
        <w:t xml:space="preserve">MG infection is particularly important in chickens and turkeys as a cause of respiratory disease and decreased meat and egg production </w:t>
      </w:r>
      <w:r w:rsidRPr="00E163F0">
        <w:rPr>
          <w:rFonts w:eastAsia="MS Mincho"/>
        </w:rPr>
        <w:t>(</w:t>
      </w:r>
      <w:r w:rsidR="00BF0D59" w:rsidRPr="00140AB7">
        <w:rPr>
          <w:rFonts w:eastAsia="MS Mincho"/>
          <w:strike/>
        </w:rPr>
        <w:t>Bradbury, 2001;</w:t>
      </w:r>
      <w:r w:rsidRPr="00140AB7">
        <w:rPr>
          <w:rFonts w:eastAsia="MS Mincho"/>
          <w:strike/>
        </w:rPr>
        <w:t xml:space="preserve"> </w:t>
      </w:r>
      <w:r w:rsidR="00572B91" w:rsidRPr="00140AB7">
        <w:rPr>
          <w:rFonts w:eastAsia="MS Mincho"/>
          <w:strike/>
        </w:rPr>
        <w:t>Ley, 2003</w:t>
      </w:r>
      <w:r w:rsidR="00140AB7" w:rsidRPr="00140AB7">
        <w:rPr>
          <w:rFonts w:eastAsia="MS Mincho"/>
          <w:strike/>
        </w:rPr>
        <w:t xml:space="preserve"> </w:t>
      </w:r>
      <w:r w:rsidR="00140AB7" w:rsidRPr="00140AB7">
        <w:rPr>
          <w:rFonts w:eastAsia="MS Mincho"/>
          <w:u w:val="double"/>
        </w:rPr>
        <w:t>Raviv &amp; Ley, 2013</w:t>
      </w:r>
      <w:r w:rsidRPr="00E163F0">
        <w:rPr>
          <w:rFonts w:eastAsia="MS Mincho"/>
        </w:rPr>
        <w:t>)</w:t>
      </w:r>
      <w:r w:rsidRPr="00E163F0">
        <w:t xml:space="preserve">. It can also cause upper respiratory disease in game birds. </w:t>
      </w:r>
      <w:r w:rsidRPr="00140AB7">
        <w:rPr>
          <w:strike/>
        </w:rPr>
        <w:t xml:space="preserve">More recently </w:t>
      </w:r>
      <w:r w:rsidR="00140AB7" w:rsidRPr="00140AB7">
        <w:rPr>
          <w:u w:val="double"/>
        </w:rPr>
        <w:t>Some strains of</w:t>
      </w:r>
      <w:r w:rsidR="00140AB7">
        <w:t xml:space="preserve"> </w:t>
      </w:r>
      <w:r w:rsidRPr="00E163F0">
        <w:t>MG ha</w:t>
      </w:r>
      <w:r w:rsidR="00140AB7">
        <w:t>ve</w:t>
      </w:r>
      <w:r w:rsidRPr="00E163F0">
        <w:t xml:space="preserve"> been recognised in North America in house finches as a cause of conjunctivitis </w:t>
      </w:r>
      <w:r w:rsidR="00140AB7" w:rsidRPr="00140AB7">
        <w:rPr>
          <w:u w:val="double"/>
        </w:rPr>
        <w:t xml:space="preserve">with important impacts in </w:t>
      </w:r>
      <w:r w:rsidR="00966893" w:rsidRPr="00140AB7">
        <w:rPr>
          <w:u w:val="double"/>
        </w:rPr>
        <w:t>wild bird</w:t>
      </w:r>
      <w:r w:rsidR="00140AB7" w:rsidRPr="00140AB7">
        <w:rPr>
          <w:u w:val="double"/>
        </w:rPr>
        <w:t xml:space="preserve"> population</w:t>
      </w:r>
      <w:r w:rsidR="00966893">
        <w:rPr>
          <w:u w:val="double"/>
        </w:rPr>
        <w:t>s</w:t>
      </w:r>
      <w:r w:rsidR="00C64486">
        <w:rPr>
          <w:u w:val="double"/>
        </w:rPr>
        <w:t xml:space="preserve"> </w:t>
      </w:r>
      <w:r w:rsidR="00FE7C7C" w:rsidRPr="00A91C54">
        <w:rPr>
          <w:u w:val="double"/>
        </w:rPr>
        <w:t>such as</w:t>
      </w:r>
      <w:r w:rsidR="00DF126A" w:rsidRPr="00A91C54">
        <w:rPr>
          <w:u w:val="double"/>
        </w:rPr>
        <w:t xml:space="preserve"> inability to find food, starvation</w:t>
      </w:r>
      <w:r w:rsidR="00801B2E" w:rsidRPr="00A91C54">
        <w:rPr>
          <w:u w:val="double"/>
        </w:rPr>
        <w:t xml:space="preserve"> or death</w:t>
      </w:r>
      <w:r w:rsidR="00140AB7" w:rsidRPr="00A91C54">
        <w:rPr>
          <w:u w:val="double"/>
        </w:rPr>
        <w:t>, but</w:t>
      </w:r>
      <w:r w:rsidR="004562FE" w:rsidRPr="00A91C54">
        <w:rPr>
          <w:u w:val="double"/>
        </w:rPr>
        <w:t xml:space="preserve"> they</w:t>
      </w:r>
      <w:r w:rsidR="00140AB7" w:rsidRPr="00140AB7">
        <w:rPr>
          <w:u w:val="double"/>
        </w:rPr>
        <w:t xml:space="preserve"> do not appear to be pathogenic for poultry</w:t>
      </w:r>
      <w:r w:rsidR="00140AB7" w:rsidRPr="00140AB7">
        <w:rPr>
          <w:rFonts w:eastAsia="MS Mincho"/>
          <w:strike/>
        </w:rPr>
        <w:t xml:space="preserve"> </w:t>
      </w:r>
      <w:r w:rsidRPr="00140AB7">
        <w:rPr>
          <w:rFonts w:eastAsia="MS Mincho"/>
          <w:strike/>
        </w:rPr>
        <w:t>(</w:t>
      </w:r>
      <w:r w:rsidR="00572B91" w:rsidRPr="00140AB7">
        <w:rPr>
          <w:rFonts w:eastAsia="MS Mincho"/>
          <w:strike/>
        </w:rPr>
        <w:t xml:space="preserve">Luttrell </w:t>
      </w:r>
      <w:r w:rsidR="00CF5CA7" w:rsidRPr="00140AB7">
        <w:rPr>
          <w:rFonts w:eastAsia="MS Mincho"/>
          <w:i/>
          <w:strike/>
        </w:rPr>
        <w:t>et al</w:t>
      </w:r>
      <w:r w:rsidR="00572B91" w:rsidRPr="00140AB7">
        <w:rPr>
          <w:rFonts w:eastAsia="MS Mincho"/>
          <w:strike/>
        </w:rPr>
        <w:t>., 1996</w:t>
      </w:r>
      <w:r w:rsidRPr="00140AB7">
        <w:rPr>
          <w:rFonts w:eastAsia="MS Mincho"/>
          <w:strike/>
        </w:rPr>
        <w:t>)</w:t>
      </w:r>
      <w:r w:rsidRPr="00E163F0">
        <w:t>. In poultry the infection is spread vertically through infected eggs and horizontally by close contact; the MG nucleic acid has been identified in environmental samples</w:t>
      </w:r>
      <w:r w:rsidRPr="00140AB7">
        <w:rPr>
          <w:strike/>
        </w:rPr>
        <w:t xml:space="preserve"> </w:t>
      </w:r>
      <w:r w:rsidRPr="00140AB7">
        <w:rPr>
          <w:rFonts w:eastAsia="MS Mincho"/>
          <w:strike/>
        </w:rPr>
        <w:t>(</w:t>
      </w:r>
      <w:r w:rsidR="00572B91" w:rsidRPr="00140AB7">
        <w:rPr>
          <w:rFonts w:eastAsia="MS Mincho"/>
          <w:strike/>
        </w:rPr>
        <w:t xml:space="preserve">Marois </w:t>
      </w:r>
      <w:r w:rsidR="00CF5CA7" w:rsidRPr="00140AB7">
        <w:rPr>
          <w:rFonts w:eastAsia="MS Mincho"/>
          <w:i/>
          <w:strike/>
        </w:rPr>
        <w:t>et al</w:t>
      </w:r>
      <w:r w:rsidR="00572B91" w:rsidRPr="00140AB7">
        <w:rPr>
          <w:rFonts w:eastAsia="MS Mincho"/>
          <w:strike/>
        </w:rPr>
        <w:t>., 2002</w:t>
      </w:r>
      <w:r w:rsidRPr="00140AB7">
        <w:rPr>
          <w:rFonts w:eastAsia="MS Mincho"/>
          <w:strike/>
        </w:rPr>
        <w:t>)</w:t>
      </w:r>
      <w:r w:rsidRPr="00E163F0">
        <w:t xml:space="preserve">. </w:t>
      </w:r>
      <w:r w:rsidR="00140AB7" w:rsidRPr="00140AB7">
        <w:rPr>
          <w:u w:val="double"/>
        </w:rPr>
        <w:t>Recently it was shown that MG and MS may survive up to 9 days in synthetic fibres though less in human hair (</w:t>
      </w:r>
      <w:r w:rsidR="00140AB7" w:rsidRPr="00140AB7">
        <w:rPr>
          <w:u w:val="double"/>
          <w:lang w:val="en-US"/>
        </w:rPr>
        <w:t xml:space="preserve">Abolnik </w:t>
      </w:r>
      <w:r w:rsidR="00140AB7" w:rsidRPr="00140AB7">
        <w:rPr>
          <w:i/>
          <w:u w:val="double"/>
          <w:lang w:val="en-US"/>
        </w:rPr>
        <w:t>et al.,</w:t>
      </w:r>
      <w:r w:rsidR="00140AB7" w:rsidRPr="00140AB7">
        <w:rPr>
          <w:u w:val="double"/>
          <w:lang w:val="en-US"/>
        </w:rPr>
        <w:t xml:space="preserve"> 2014) showing a</w:t>
      </w:r>
      <w:r w:rsidR="0036159C">
        <w:rPr>
          <w:u w:val="double"/>
          <w:lang w:val="en-US"/>
        </w:rPr>
        <w:t xml:space="preserve"> </w:t>
      </w:r>
      <w:r w:rsidR="00140AB7" w:rsidRPr="00140AB7">
        <w:rPr>
          <w:u w:val="double"/>
          <w:lang w:val="en-US"/>
        </w:rPr>
        <w:t xml:space="preserve">predisposition </w:t>
      </w:r>
      <w:r w:rsidR="0036159C" w:rsidRPr="00140AB7">
        <w:rPr>
          <w:u w:val="double"/>
          <w:lang w:val="en-US"/>
        </w:rPr>
        <w:t xml:space="preserve">of these mycoplasmas </w:t>
      </w:r>
      <w:r w:rsidR="00074D43">
        <w:rPr>
          <w:u w:val="double"/>
          <w:lang w:val="en-US"/>
        </w:rPr>
        <w:t xml:space="preserve">for </w:t>
      </w:r>
      <w:r w:rsidR="00074D43" w:rsidRPr="00140AB7">
        <w:rPr>
          <w:u w:val="double"/>
          <w:lang w:val="en-US"/>
        </w:rPr>
        <w:t xml:space="preserve">attachment </w:t>
      </w:r>
      <w:r w:rsidR="00140AB7" w:rsidRPr="00140AB7">
        <w:rPr>
          <w:u w:val="double"/>
          <w:lang w:val="en-US"/>
        </w:rPr>
        <w:t>to surfaces.</w:t>
      </w:r>
      <w:r w:rsidR="00140AB7" w:rsidRPr="00A35FD4">
        <w:rPr>
          <w:lang w:val="en-US"/>
        </w:rPr>
        <w:t xml:space="preserve"> </w:t>
      </w:r>
      <w:r w:rsidRPr="00E163F0">
        <w:t>Other methods of spread are less well documented.</w:t>
      </w:r>
    </w:p>
    <w:p w14:paraId="4A977B79" w14:textId="77777777" w:rsidR="00186891" w:rsidRPr="00E163F0" w:rsidRDefault="00186891" w:rsidP="009419E4">
      <w:pPr>
        <w:pStyle w:val="paraA0"/>
        <w:rPr>
          <w:rFonts w:eastAsia="MS Mincho"/>
        </w:rPr>
      </w:pPr>
      <w:r w:rsidRPr="00E163F0">
        <w:t xml:space="preserve">The clinical signs of MG in infected poultry can vary from subclinical to obvious respiratory signs including coryza, </w:t>
      </w:r>
      <w:r w:rsidRPr="00E163F0">
        <w:rPr>
          <w:rFonts w:eastAsia="MS Mincho"/>
        </w:rPr>
        <w:t xml:space="preserve">conjunctivitis, coughing and sneezing. Nasal exudate, rales and breathing through the partially open beak may occur. Unilateral or bilateral sinusitis may also be a feature, particularly in turkeys and game birds and the infraorbital sinuses </w:t>
      </w:r>
      <w:r w:rsidRPr="00E163F0">
        <w:t>may become so swollen that the eyelids are closed. C</w:t>
      </w:r>
      <w:r w:rsidRPr="00E163F0">
        <w:rPr>
          <w:rFonts w:eastAsia="MS Mincho"/>
        </w:rPr>
        <w:t xml:space="preserve">onjunctivitis, with frothy ocular exudate is also </w:t>
      </w:r>
      <w:r w:rsidRPr="00966893">
        <w:rPr>
          <w:rFonts w:eastAsia="MS Mincho"/>
          <w:strike/>
        </w:rPr>
        <w:t xml:space="preserve">a </w:t>
      </w:r>
      <w:r w:rsidRPr="000E4C09">
        <w:rPr>
          <w:rFonts w:eastAsia="MS Mincho"/>
          <w:strike/>
        </w:rPr>
        <w:t xml:space="preserve">common feature </w:t>
      </w:r>
      <w:r w:rsidR="003D75FB" w:rsidRPr="000E4C09">
        <w:rPr>
          <w:rFonts w:eastAsia="MS Mincho"/>
          <w:u w:val="double"/>
        </w:rPr>
        <w:t>seen</w:t>
      </w:r>
      <w:r w:rsidR="003D75FB">
        <w:rPr>
          <w:rFonts w:eastAsia="MS Mincho"/>
        </w:rPr>
        <w:t xml:space="preserve"> </w:t>
      </w:r>
      <w:r w:rsidRPr="00E163F0">
        <w:rPr>
          <w:rFonts w:eastAsia="MS Mincho"/>
        </w:rPr>
        <w:t>in turkeys</w:t>
      </w:r>
      <w:r w:rsidR="00606DEB" w:rsidRPr="00606DEB">
        <w:rPr>
          <w:rFonts w:eastAsia="MS Mincho"/>
          <w:u w:val="double"/>
        </w:rPr>
        <w:t>,</w:t>
      </w:r>
      <w:r w:rsidRPr="00E163F0">
        <w:rPr>
          <w:rFonts w:eastAsia="MS Mincho"/>
        </w:rPr>
        <w:t xml:space="preserve"> </w:t>
      </w:r>
      <w:r w:rsidRPr="00606DEB">
        <w:rPr>
          <w:rFonts w:eastAsia="MS Mincho"/>
          <w:strike/>
        </w:rPr>
        <w:t xml:space="preserve">and </w:t>
      </w:r>
      <w:r w:rsidRPr="00E163F0">
        <w:rPr>
          <w:rFonts w:eastAsia="MS Mincho"/>
        </w:rPr>
        <w:t>game birds and</w:t>
      </w:r>
      <w:r w:rsidR="00606DEB" w:rsidRPr="00606DEB">
        <w:rPr>
          <w:rFonts w:eastAsia="MS Mincho"/>
          <w:u w:val="double"/>
        </w:rPr>
        <w:t>,</w:t>
      </w:r>
      <w:r w:rsidRPr="00E163F0">
        <w:rPr>
          <w:rFonts w:eastAsia="MS Mincho"/>
        </w:rPr>
        <w:t xml:space="preserve"> sometimes</w:t>
      </w:r>
      <w:r w:rsidR="00606DEB" w:rsidRPr="00606DEB">
        <w:rPr>
          <w:rFonts w:eastAsia="MS Mincho"/>
          <w:u w:val="double"/>
        </w:rPr>
        <w:t>,</w:t>
      </w:r>
      <w:r w:rsidRPr="00E163F0">
        <w:rPr>
          <w:rFonts w:eastAsia="MS Mincho"/>
        </w:rPr>
        <w:t xml:space="preserve"> in chickens. In turkeys there is often soiling of the wing feathers as the result of attempts to remove exudate from the eyes. Infected finches may reveal ocular and nasal discharge and swollen eyelids in addition to the conjunctivitis.</w:t>
      </w:r>
    </w:p>
    <w:p w14:paraId="3068A913" w14:textId="421817BB" w:rsidR="00186891" w:rsidRPr="00E163F0" w:rsidRDefault="00ED55BE" w:rsidP="009419E4">
      <w:pPr>
        <w:pStyle w:val="paraA0"/>
      </w:pPr>
      <w:r w:rsidRPr="00ED55BE">
        <w:rPr>
          <w:iCs/>
          <w:u w:val="double"/>
        </w:rPr>
        <w:t>MG</w:t>
      </w:r>
      <w:r>
        <w:rPr>
          <w:i/>
          <w:iCs/>
        </w:rPr>
        <w:t xml:space="preserve"> </w:t>
      </w:r>
      <w:r w:rsidR="00750F8F" w:rsidRPr="00ED55BE">
        <w:rPr>
          <w:i/>
          <w:iCs/>
          <w:strike/>
        </w:rPr>
        <w:t xml:space="preserve">Mycoplasma </w:t>
      </w:r>
      <w:r w:rsidR="00186891" w:rsidRPr="00ED55BE">
        <w:rPr>
          <w:i/>
          <w:strike/>
        </w:rPr>
        <w:t>gallisepticum</w:t>
      </w:r>
      <w:r w:rsidR="00186891" w:rsidRPr="00ED55BE">
        <w:rPr>
          <w:strike/>
        </w:rPr>
        <w:t xml:space="preserve"> </w:t>
      </w:r>
      <w:r w:rsidR="00186891" w:rsidRPr="00E163F0">
        <w:t xml:space="preserve">may be associated with acute respiratory disease in chickens and turkeys, especially in young birds, with the turkey being more susceptible. The severity of the disease is greatly </w:t>
      </w:r>
      <w:r w:rsidR="00186891" w:rsidRPr="00606DEB">
        <w:rPr>
          <w:strike/>
        </w:rPr>
        <w:t xml:space="preserve">affected </w:t>
      </w:r>
      <w:r w:rsidR="00606DEB" w:rsidRPr="00606DEB">
        <w:rPr>
          <w:u w:val="double"/>
        </w:rPr>
        <w:t>influenced</w:t>
      </w:r>
      <w:r w:rsidR="00606DEB">
        <w:t xml:space="preserve"> </w:t>
      </w:r>
      <w:r w:rsidR="00186891" w:rsidRPr="00E163F0">
        <w:t xml:space="preserve">by the degree of secondary infection with viruses such as Newcastle disease and infectious bronchitis, and/or bacteria such as </w:t>
      </w:r>
      <w:r w:rsidR="00186891" w:rsidRPr="00E163F0">
        <w:rPr>
          <w:i/>
          <w:iCs/>
        </w:rPr>
        <w:t>Escherichia coli</w:t>
      </w:r>
      <w:r w:rsidR="00186891" w:rsidRPr="00E163F0">
        <w:t xml:space="preserve">. In turkeys there is synergism with avian </w:t>
      </w:r>
      <w:r w:rsidR="00606DEB" w:rsidRPr="00606DEB">
        <w:rPr>
          <w:u w:val="double"/>
        </w:rPr>
        <w:t>meta</w:t>
      </w:r>
      <w:r w:rsidR="00186891" w:rsidRPr="00E163F0">
        <w:t xml:space="preserve">pneumovirus infection. A more chronic form of the disease may occur </w:t>
      </w:r>
      <w:r w:rsidR="00186891" w:rsidRPr="00606DEB">
        <w:rPr>
          <w:strike/>
        </w:rPr>
        <w:t xml:space="preserve">and can cause </w:t>
      </w:r>
      <w:r w:rsidR="00606DEB" w:rsidRPr="00606DEB">
        <w:rPr>
          <w:u w:val="double"/>
        </w:rPr>
        <w:t>resulting in</w:t>
      </w:r>
      <w:r w:rsidR="00606DEB">
        <w:t xml:space="preserve"> </w:t>
      </w:r>
      <w:r w:rsidR="00186891" w:rsidRPr="00E163F0">
        <w:t>reduced egg production in breeders and layers.</w:t>
      </w:r>
    </w:p>
    <w:p w14:paraId="3A2B08C2" w14:textId="77777777" w:rsidR="00186891" w:rsidRPr="00E163F0" w:rsidRDefault="00186891" w:rsidP="009419E4">
      <w:pPr>
        <w:pStyle w:val="paraA0"/>
      </w:pPr>
      <w:r w:rsidRPr="00E163F0">
        <w:t xml:space="preserve">Lesions of the respiratory tract </w:t>
      </w:r>
      <w:r w:rsidRPr="00606DEB">
        <w:rPr>
          <w:strike/>
        </w:rPr>
        <w:t xml:space="preserve">take the form </w:t>
      </w:r>
      <w:r w:rsidRPr="00E163F0">
        <w:t xml:space="preserve">initially </w:t>
      </w:r>
      <w:r w:rsidRPr="00606DEB">
        <w:rPr>
          <w:strike/>
        </w:rPr>
        <w:t xml:space="preserve">of </w:t>
      </w:r>
      <w:r w:rsidR="00606DEB" w:rsidRPr="00606DEB">
        <w:rPr>
          <w:u w:val="double"/>
        </w:rPr>
        <w:t>present as</w:t>
      </w:r>
      <w:r w:rsidR="00606DEB">
        <w:t xml:space="preserve"> </w:t>
      </w:r>
      <w:r w:rsidRPr="00E163F0">
        <w:t>excess mucous exudate followed by catarrhal and caseous exudate, which may form amorphous masses in the air sacs. In turkeys and game birds the swollen infraorbital sinuses contain mucoid to caseous exudate.</w:t>
      </w:r>
    </w:p>
    <w:p w14:paraId="1FFBBF90" w14:textId="77777777" w:rsidR="00186891" w:rsidRPr="00606DEB" w:rsidRDefault="00186891" w:rsidP="009419E4">
      <w:pPr>
        <w:pStyle w:val="paraA0"/>
        <w:rPr>
          <w:strike/>
        </w:rPr>
      </w:pPr>
      <w:r w:rsidRPr="00606DEB">
        <w:rPr>
          <w:strike/>
        </w:rPr>
        <w:t xml:space="preserve">MG or MS disease in chickens may superficially resemble respiratory disease caused by other pathogens such as mild strains of Newcastle disease (Chapter </w:t>
      </w:r>
      <w:r w:rsidR="009419E4" w:rsidRPr="00606DEB">
        <w:rPr>
          <w:strike/>
        </w:rPr>
        <w:t>3</w:t>
      </w:r>
      <w:r w:rsidRPr="00606DEB">
        <w:rPr>
          <w:strike/>
        </w:rPr>
        <w:t>.</w:t>
      </w:r>
      <w:r w:rsidR="001821DC" w:rsidRPr="00606DEB">
        <w:rPr>
          <w:strike/>
        </w:rPr>
        <w:t>3</w:t>
      </w:r>
      <w:r w:rsidR="009E2FD2" w:rsidRPr="00606DEB">
        <w:rPr>
          <w:strike/>
        </w:rPr>
        <w:t>.14</w:t>
      </w:r>
      <w:r w:rsidRPr="00606DEB">
        <w:rPr>
          <w:strike/>
        </w:rPr>
        <w:t xml:space="preserve">) and avian infectious bronchitis (Chapter </w:t>
      </w:r>
      <w:r w:rsidR="009419E4" w:rsidRPr="00606DEB">
        <w:rPr>
          <w:strike/>
        </w:rPr>
        <w:t>3</w:t>
      </w:r>
      <w:r w:rsidRPr="00606DEB">
        <w:rPr>
          <w:strike/>
        </w:rPr>
        <w:t>.</w:t>
      </w:r>
      <w:r w:rsidR="001821DC" w:rsidRPr="00606DEB">
        <w:rPr>
          <w:strike/>
        </w:rPr>
        <w:t>3</w:t>
      </w:r>
      <w:r w:rsidR="009E2FD2" w:rsidRPr="00606DEB">
        <w:rPr>
          <w:strike/>
        </w:rPr>
        <w:t>.2</w:t>
      </w:r>
      <w:r w:rsidRPr="00606DEB">
        <w:rPr>
          <w:strike/>
        </w:rPr>
        <w:t xml:space="preserve">). These may be present in mixed infection with MG or MS. Infections with </w:t>
      </w:r>
      <w:r w:rsidRPr="00606DEB">
        <w:rPr>
          <w:i/>
          <w:iCs/>
          <w:strike/>
        </w:rPr>
        <w:t>Haemophilus paragallinarum</w:t>
      </w:r>
      <w:r w:rsidRPr="00606DEB">
        <w:rPr>
          <w:strike/>
        </w:rPr>
        <w:t xml:space="preserve"> (now </w:t>
      </w:r>
      <w:r w:rsidRPr="00606DEB">
        <w:rPr>
          <w:i/>
          <w:iCs/>
          <w:strike/>
        </w:rPr>
        <w:t xml:space="preserve">Avibacterium </w:t>
      </w:r>
      <w:r w:rsidRPr="00606DEB">
        <w:rPr>
          <w:i/>
          <w:iCs/>
          <w:strike/>
        </w:rPr>
        <w:lastRenderedPageBreak/>
        <w:t>paragallinarum</w:t>
      </w:r>
      <w:r w:rsidRPr="00606DEB">
        <w:rPr>
          <w:strike/>
        </w:rPr>
        <w:t>)</w:t>
      </w:r>
      <w:r w:rsidRPr="00606DEB">
        <w:rPr>
          <w:i/>
          <w:iCs/>
          <w:strike/>
        </w:rPr>
        <w:t xml:space="preserve">, </w:t>
      </w:r>
      <w:r w:rsidRPr="00606DEB">
        <w:rPr>
          <w:iCs/>
          <w:strike/>
        </w:rPr>
        <w:t>and</w:t>
      </w:r>
      <w:r w:rsidRPr="00606DEB">
        <w:rPr>
          <w:i/>
          <w:iCs/>
          <w:strike/>
        </w:rPr>
        <w:t xml:space="preserve"> Pasteurella multocida</w:t>
      </w:r>
      <w:r w:rsidRPr="00606DEB">
        <w:rPr>
          <w:strike/>
        </w:rPr>
        <w:t xml:space="preserve">, should also be ruled out. MG in turkeys may be confused with avian pneumovirus infections and the presence of sinusitis may also suggest infection with </w:t>
      </w:r>
      <w:r w:rsidRPr="00606DEB">
        <w:rPr>
          <w:i/>
          <w:iCs/>
          <w:strike/>
        </w:rPr>
        <w:t>Pasteurella multocida</w:t>
      </w:r>
      <w:r w:rsidRPr="00606DEB">
        <w:rPr>
          <w:strike/>
        </w:rPr>
        <w:t xml:space="preserve">, </w:t>
      </w:r>
      <w:r w:rsidRPr="00606DEB">
        <w:rPr>
          <w:i/>
          <w:iCs/>
          <w:strike/>
        </w:rPr>
        <w:t>Chlamydia</w:t>
      </w:r>
      <w:r w:rsidRPr="00606DEB">
        <w:rPr>
          <w:strike/>
        </w:rPr>
        <w:t xml:space="preserve"> (Chapter </w:t>
      </w:r>
      <w:r w:rsidR="009419E4" w:rsidRPr="00606DEB">
        <w:rPr>
          <w:strike/>
        </w:rPr>
        <w:t>3</w:t>
      </w:r>
      <w:r w:rsidRPr="00606DEB">
        <w:rPr>
          <w:strike/>
        </w:rPr>
        <w:t>.</w:t>
      </w:r>
      <w:r w:rsidR="001821DC" w:rsidRPr="00606DEB">
        <w:rPr>
          <w:strike/>
        </w:rPr>
        <w:t>3</w:t>
      </w:r>
      <w:r w:rsidR="009E2FD2" w:rsidRPr="00606DEB">
        <w:rPr>
          <w:strike/>
        </w:rPr>
        <w:t>.1</w:t>
      </w:r>
      <w:r w:rsidRPr="00606DEB">
        <w:rPr>
          <w:strike/>
        </w:rPr>
        <w:t xml:space="preserve">) or MS. Infectious synovitis caused by MS should be differentiated from </w:t>
      </w:r>
      <w:r w:rsidRPr="00606DEB">
        <w:rPr>
          <w:i/>
          <w:strike/>
        </w:rPr>
        <w:t>Staphylococcus aureus</w:t>
      </w:r>
      <w:r w:rsidRPr="00606DEB">
        <w:rPr>
          <w:strike/>
        </w:rPr>
        <w:t xml:space="preserve"> infection and from infectious tenosynovitis caused by reovirus.</w:t>
      </w:r>
    </w:p>
    <w:p w14:paraId="17F0BCEC" w14:textId="37244CA0" w:rsidR="00186891" w:rsidRDefault="00452892" w:rsidP="002A1CEC">
      <w:pPr>
        <w:pStyle w:val="paraA0"/>
        <w:rPr>
          <w:u w:val="double"/>
        </w:rPr>
      </w:pPr>
      <w:r>
        <w:rPr>
          <w:iCs/>
          <w:u w:val="double"/>
        </w:rPr>
        <w:t>MS</w:t>
      </w:r>
      <w:r w:rsidR="00606DEB" w:rsidRPr="00BB12E6">
        <w:rPr>
          <w:i/>
          <w:iCs/>
          <w:u w:val="double"/>
        </w:rPr>
        <w:t xml:space="preserve"> </w:t>
      </w:r>
      <w:r w:rsidR="00606DEB" w:rsidRPr="00BB12E6">
        <w:rPr>
          <w:u w:val="double"/>
        </w:rPr>
        <w:t>may be associated in</w:t>
      </w:r>
      <w:r w:rsidR="00606DEB" w:rsidRPr="00E163F0">
        <w:t xml:space="preserve"> chickens </w:t>
      </w:r>
      <w:r w:rsidR="00186891" w:rsidRPr="00E163F0">
        <w:t>with infectious synovitis</w:t>
      </w:r>
      <w:r w:rsidR="00606DEB">
        <w:t xml:space="preserve">; </w:t>
      </w:r>
      <w:r w:rsidR="00606DEB" w:rsidRPr="00606DEB">
        <w:rPr>
          <w:u w:val="double"/>
        </w:rPr>
        <w:t>the birds</w:t>
      </w:r>
      <w:r w:rsidR="00186891" w:rsidRPr="00E163F0">
        <w:t xml:space="preserve"> may exhibit pale combs, lameness and retarded growth. Swellings may occur around joints. Greenish droppings containing large amounts of urates are commonly seen. Joints may contain a viscous, creamy to grey exudate in the joint and along tendon sheaths, along with hepatosplenomegaly and mottled, swollen kidneys (</w:t>
      </w:r>
      <w:r w:rsidR="00572B91" w:rsidRPr="00606DEB">
        <w:rPr>
          <w:strike/>
        </w:rPr>
        <w:t>Kleven, 2003</w:t>
      </w:r>
      <w:r w:rsidR="00606DEB" w:rsidRPr="00606DEB">
        <w:rPr>
          <w:strike/>
        </w:rPr>
        <w:t xml:space="preserve"> </w:t>
      </w:r>
      <w:r w:rsidR="00606DEB" w:rsidRPr="00606DEB">
        <w:rPr>
          <w:u w:val="double"/>
          <w:lang w:val="en-US"/>
        </w:rPr>
        <w:t>Ferguson-Noel &amp; Noormohammadi, 2013</w:t>
      </w:r>
      <w:r w:rsidR="00186891" w:rsidRPr="00E163F0">
        <w:t>). Respiratory signs and lesions are similar to those observed with MG, except that they are generally milder, and, as with MG, there is a synergistic effect with other respiratory agents</w:t>
      </w:r>
      <w:r w:rsidR="00186891" w:rsidRPr="00606DEB">
        <w:rPr>
          <w:strike/>
        </w:rPr>
        <w:t xml:space="preserve"> (</w:t>
      </w:r>
      <w:r w:rsidR="00BF0D59" w:rsidRPr="00606DEB">
        <w:rPr>
          <w:strike/>
        </w:rPr>
        <w:t xml:space="preserve">Kleven </w:t>
      </w:r>
      <w:r w:rsidR="00CF5CA7" w:rsidRPr="00606DEB">
        <w:rPr>
          <w:i/>
          <w:strike/>
        </w:rPr>
        <w:t>et al</w:t>
      </w:r>
      <w:r w:rsidR="00BF0D59" w:rsidRPr="00606DEB">
        <w:rPr>
          <w:strike/>
        </w:rPr>
        <w:t>., 1972</w:t>
      </w:r>
      <w:r w:rsidR="00186891" w:rsidRPr="00606DEB">
        <w:rPr>
          <w:strike/>
        </w:rPr>
        <w:t>)</w:t>
      </w:r>
      <w:r w:rsidR="00186891" w:rsidRPr="00E163F0">
        <w:t>. MS strains exhibit significant variability with respect to their virulence and tissue tropism (</w:t>
      </w:r>
      <w:r w:rsidR="00606DEB" w:rsidRPr="00606DEB">
        <w:rPr>
          <w:u w:val="double"/>
        </w:rPr>
        <w:t xml:space="preserve">Catania </w:t>
      </w:r>
      <w:r w:rsidR="00606DEB" w:rsidRPr="00606DEB">
        <w:rPr>
          <w:i/>
          <w:u w:val="double"/>
          <w:lang w:val="en-US"/>
        </w:rPr>
        <w:t>et al.,</w:t>
      </w:r>
      <w:r w:rsidR="00606DEB" w:rsidRPr="00606DEB">
        <w:rPr>
          <w:u w:val="double"/>
        </w:rPr>
        <w:t xml:space="preserve"> 2016a; Landman, 2014;</w:t>
      </w:r>
      <w:r w:rsidR="00606DEB" w:rsidRPr="00606DEB">
        <w:t xml:space="preserve"> </w:t>
      </w:r>
      <w:r w:rsidR="00572B91" w:rsidRPr="00572B91">
        <w:t>Landman &amp; Feberwee</w:t>
      </w:r>
      <w:r w:rsidR="00572B91">
        <w:t xml:space="preserve">, </w:t>
      </w:r>
      <w:r w:rsidR="00572B91" w:rsidRPr="00E163F0">
        <w:t>2004</w:t>
      </w:r>
      <w:r w:rsidR="00606DEB" w:rsidRPr="00606DEB">
        <w:rPr>
          <w:strike/>
        </w:rPr>
        <w:t xml:space="preserve">; Kleven </w:t>
      </w:r>
      <w:r w:rsidR="00606DEB" w:rsidRPr="00606DEB">
        <w:rPr>
          <w:i/>
          <w:strike/>
        </w:rPr>
        <w:t>et al</w:t>
      </w:r>
      <w:r w:rsidR="00606DEB" w:rsidRPr="00606DEB">
        <w:rPr>
          <w:strike/>
        </w:rPr>
        <w:t>., 1973</w:t>
      </w:r>
      <w:r w:rsidR="00BF0D59" w:rsidRPr="00606DEB">
        <w:rPr>
          <w:strike/>
        </w:rPr>
        <w:t>;</w:t>
      </w:r>
      <w:r w:rsidR="00186891" w:rsidRPr="00606DEB">
        <w:rPr>
          <w:strike/>
        </w:rPr>
        <w:t xml:space="preserve"> </w:t>
      </w:r>
      <w:r w:rsidR="00572B91" w:rsidRPr="00606DEB">
        <w:rPr>
          <w:strike/>
        </w:rPr>
        <w:t xml:space="preserve">Lockaby </w:t>
      </w:r>
      <w:r w:rsidR="00CF5CA7" w:rsidRPr="00606DEB">
        <w:rPr>
          <w:i/>
          <w:strike/>
        </w:rPr>
        <w:t>et al</w:t>
      </w:r>
      <w:r w:rsidR="00572B91" w:rsidRPr="00606DEB">
        <w:rPr>
          <w:strike/>
        </w:rPr>
        <w:t>., 1999</w:t>
      </w:r>
      <w:r w:rsidR="00606DEB" w:rsidRPr="00606DEB">
        <w:rPr>
          <w:u w:val="double"/>
        </w:rPr>
        <w:t xml:space="preserve">). Recently a new clinical form resulting in high </w:t>
      </w:r>
      <w:r w:rsidR="00EB609E">
        <w:rPr>
          <w:u w:val="double"/>
        </w:rPr>
        <w:t xml:space="preserve">shell </w:t>
      </w:r>
      <w:r w:rsidR="00606DEB" w:rsidRPr="00606DEB">
        <w:rPr>
          <w:u w:val="double"/>
        </w:rPr>
        <w:t>breakage and low egg production in chicken layers was reported initially in Europe (Catania</w:t>
      </w:r>
      <w:r w:rsidR="00606DEB" w:rsidRPr="00606DEB">
        <w:rPr>
          <w:i/>
          <w:u w:val="double"/>
          <w:lang w:val="en-US"/>
        </w:rPr>
        <w:t xml:space="preserve"> et al.,</w:t>
      </w:r>
      <w:r w:rsidR="00606DEB" w:rsidRPr="00606DEB">
        <w:rPr>
          <w:u w:val="double"/>
        </w:rPr>
        <w:t xml:space="preserve"> 2010</w:t>
      </w:r>
      <w:r w:rsidR="00606DEB">
        <w:rPr>
          <w:u w:val="double"/>
        </w:rPr>
        <w:t xml:space="preserve">; </w:t>
      </w:r>
      <w:r w:rsidR="00606DEB" w:rsidRPr="00606DEB">
        <w:rPr>
          <w:u w:val="double"/>
          <w:lang w:val="en-US"/>
        </w:rPr>
        <w:t>Feberwee</w:t>
      </w:r>
      <w:r w:rsidR="00606DEB" w:rsidRPr="00606DEB">
        <w:rPr>
          <w:i/>
          <w:u w:val="double"/>
          <w:lang w:val="en-US"/>
        </w:rPr>
        <w:t xml:space="preserve"> et al.</w:t>
      </w:r>
      <w:r w:rsidR="00606DEB" w:rsidRPr="00606DEB">
        <w:rPr>
          <w:u w:val="double"/>
          <w:lang w:val="en-US"/>
        </w:rPr>
        <w:t>, 2009</w:t>
      </w:r>
      <w:r w:rsidR="00966893">
        <w:rPr>
          <w:u w:val="double"/>
          <w:lang w:val="en-US"/>
        </w:rPr>
        <w:t>a; 2009b</w:t>
      </w:r>
      <w:r w:rsidR="00606DEB" w:rsidRPr="00606DEB">
        <w:rPr>
          <w:u w:val="double"/>
        </w:rPr>
        <w:t xml:space="preserve">) and then reported worldwide. The lesions appear to be confined to the apex of </w:t>
      </w:r>
      <w:r w:rsidR="00966893">
        <w:rPr>
          <w:u w:val="double"/>
        </w:rPr>
        <w:t xml:space="preserve">the </w:t>
      </w:r>
      <w:r w:rsidR="00606DEB" w:rsidRPr="00606DEB">
        <w:rPr>
          <w:u w:val="double"/>
        </w:rPr>
        <w:t xml:space="preserve">shell and consist of rough dark areas of 2 cm in diameter with clear edges; in addition, a decrease </w:t>
      </w:r>
      <w:r w:rsidR="00966893">
        <w:rPr>
          <w:u w:val="double"/>
        </w:rPr>
        <w:t>in</w:t>
      </w:r>
      <w:r w:rsidR="00606DEB" w:rsidRPr="00606DEB">
        <w:rPr>
          <w:u w:val="double"/>
        </w:rPr>
        <w:t xml:space="preserve"> egg production is reported (Catania</w:t>
      </w:r>
      <w:r w:rsidR="00606DEB" w:rsidRPr="00606DEB">
        <w:rPr>
          <w:i/>
          <w:u w:val="double"/>
          <w:lang w:val="en-US"/>
        </w:rPr>
        <w:t xml:space="preserve"> et al.,</w:t>
      </w:r>
      <w:r w:rsidR="00606DEB" w:rsidRPr="00606DEB">
        <w:rPr>
          <w:u w:val="double"/>
        </w:rPr>
        <w:t xml:space="preserve"> 2010</w:t>
      </w:r>
      <w:r w:rsidR="00606DEB">
        <w:rPr>
          <w:u w:val="double"/>
        </w:rPr>
        <w:t>;</w:t>
      </w:r>
      <w:r w:rsidR="00606DEB" w:rsidRPr="00606DEB">
        <w:rPr>
          <w:u w:val="double"/>
        </w:rPr>
        <w:t xml:space="preserve"> 2016a).</w:t>
      </w:r>
    </w:p>
    <w:p w14:paraId="098C79C3" w14:textId="77777777" w:rsidR="002A1CEC" w:rsidRPr="002A1CEC" w:rsidRDefault="002A1CEC" w:rsidP="002A1CEC">
      <w:pPr>
        <w:pStyle w:val="1"/>
        <w:rPr>
          <w:u w:val="double"/>
        </w:rPr>
      </w:pPr>
      <w:r w:rsidRPr="002A1CEC">
        <w:rPr>
          <w:u w:val="double"/>
        </w:rPr>
        <w:t>2.</w:t>
      </w:r>
      <w:r w:rsidRPr="002A1CEC">
        <w:rPr>
          <w:u w:val="double"/>
        </w:rPr>
        <w:tab/>
        <w:t>Zoonotic potential and biosafety and biosecurity requirements</w:t>
      </w:r>
    </w:p>
    <w:p w14:paraId="6D27E103" w14:textId="1B7943D5" w:rsidR="002A1CEC" w:rsidRPr="002A1CEC" w:rsidRDefault="002A1CEC" w:rsidP="009775CA">
      <w:pPr>
        <w:pStyle w:val="1"/>
        <w:ind w:left="0" w:firstLine="0"/>
        <w:rPr>
          <w:rFonts w:ascii="Arial" w:hAnsi="Arial"/>
          <w:b w:val="0"/>
          <w:bCs w:val="0"/>
          <w:sz w:val="18"/>
          <w:szCs w:val="18"/>
          <w:u w:val="double"/>
        </w:rPr>
      </w:pPr>
      <w:r w:rsidRPr="002A1CEC">
        <w:rPr>
          <w:rFonts w:ascii="Arial" w:hAnsi="Arial"/>
          <w:b w:val="0"/>
          <w:bCs w:val="0"/>
          <w:sz w:val="18"/>
          <w:szCs w:val="18"/>
          <w:u w:val="double"/>
        </w:rPr>
        <w:t xml:space="preserve">There have been no reports of </w:t>
      </w:r>
      <w:r w:rsidR="00ED55BE">
        <w:rPr>
          <w:rFonts w:ascii="Arial" w:hAnsi="Arial"/>
          <w:b w:val="0"/>
          <w:bCs w:val="0"/>
          <w:sz w:val="18"/>
          <w:szCs w:val="18"/>
          <w:u w:val="double"/>
        </w:rPr>
        <w:t>MG</w:t>
      </w:r>
      <w:r w:rsidRPr="002A1CEC">
        <w:rPr>
          <w:rFonts w:ascii="Arial" w:hAnsi="Arial"/>
          <w:b w:val="0"/>
          <w:bCs w:val="0"/>
          <w:sz w:val="18"/>
          <w:szCs w:val="18"/>
          <w:u w:val="double"/>
        </w:rPr>
        <w:t xml:space="preserve"> or </w:t>
      </w:r>
      <w:r w:rsidR="00ED55BE">
        <w:rPr>
          <w:rFonts w:ascii="Arial" w:hAnsi="Arial"/>
          <w:b w:val="0"/>
          <w:bCs w:val="0"/>
          <w:sz w:val="18"/>
          <w:szCs w:val="18"/>
          <w:u w:val="double"/>
        </w:rPr>
        <w:t>MS</w:t>
      </w:r>
      <w:r w:rsidRPr="002A1CEC">
        <w:rPr>
          <w:rFonts w:ascii="Arial" w:hAnsi="Arial"/>
          <w:b w:val="0"/>
          <w:bCs w:val="0"/>
          <w:sz w:val="18"/>
          <w:szCs w:val="18"/>
          <w:u w:val="double"/>
        </w:rPr>
        <w:t xml:space="preserve"> infection in humans.</w:t>
      </w:r>
      <w:r w:rsidR="009775CA">
        <w:rPr>
          <w:rFonts w:ascii="Arial" w:hAnsi="Arial"/>
          <w:b w:val="0"/>
          <w:bCs w:val="0"/>
          <w:sz w:val="18"/>
          <w:szCs w:val="18"/>
          <w:u w:val="double"/>
        </w:rPr>
        <w:t xml:space="preserve"> </w:t>
      </w:r>
      <w:r w:rsidR="009775CA" w:rsidRPr="009775CA">
        <w:rPr>
          <w:rFonts w:ascii="Arial" w:hAnsi="Arial"/>
          <w:b w:val="0"/>
          <w:bCs w:val="0"/>
          <w:sz w:val="18"/>
          <w:szCs w:val="18"/>
          <w:u w:val="double"/>
        </w:rPr>
        <w:t xml:space="preserve">Laboratory manipulations should be performed with appropriate biosafety and containment procedures as determined by biological risk analysis (see Chapter 1.1.4 </w:t>
      </w:r>
      <w:r w:rsidR="009775CA" w:rsidRPr="009775CA">
        <w:rPr>
          <w:rFonts w:ascii="Arial" w:hAnsi="Arial"/>
          <w:b w:val="0"/>
          <w:bCs w:val="0"/>
          <w:i/>
          <w:sz w:val="18"/>
          <w:szCs w:val="18"/>
          <w:u w:val="double"/>
        </w:rPr>
        <w:t>Biosafety and biosecurity: Standard for managing biological risk in the veterinary laboratory and animal facilities</w:t>
      </w:r>
      <w:r w:rsidR="009775CA" w:rsidRPr="009775CA">
        <w:rPr>
          <w:rFonts w:ascii="Arial" w:hAnsi="Arial"/>
          <w:b w:val="0"/>
          <w:bCs w:val="0"/>
          <w:sz w:val="18"/>
          <w:szCs w:val="18"/>
          <w:u w:val="double"/>
        </w:rPr>
        <w:t>).</w:t>
      </w:r>
    </w:p>
    <w:p w14:paraId="2DF0329E" w14:textId="77777777" w:rsidR="002A1CEC" w:rsidRPr="002A1CEC" w:rsidRDefault="002A1CEC" w:rsidP="002A1CEC">
      <w:pPr>
        <w:pStyle w:val="1"/>
        <w:rPr>
          <w:u w:val="double"/>
        </w:rPr>
      </w:pPr>
      <w:r w:rsidRPr="002A1CEC">
        <w:rPr>
          <w:u w:val="double"/>
        </w:rPr>
        <w:t>3.</w:t>
      </w:r>
      <w:r w:rsidRPr="002A1CEC">
        <w:rPr>
          <w:u w:val="double"/>
        </w:rPr>
        <w:tab/>
        <w:t>Differential diagnosis</w:t>
      </w:r>
    </w:p>
    <w:p w14:paraId="72D29B0E" w14:textId="409BCAE8" w:rsidR="002A1CEC" w:rsidRPr="002A1CEC" w:rsidRDefault="002A1CEC" w:rsidP="002A1CEC">
      <w:pPr>
        <w:pStyle w:val="paraA0"/>
        <w:spacing w:after="480"/>
        <w:rPr>
          <w:u w:val="double"/>
        </w:rPr>
      </w:pPr>
      <w:r w:rsidRPr="002A1CEC">
        <w:rPr>
          <w:u w:val="double"/>
        </w:rPr>
        <w:t xml:space="preserve">MG or MS disease in chickens may superficially resemble respiratory disease caused by other pathogens such as mild strains of Newcastle disease virus (Chapter </w:t>
      </w:r>
      <w:r w:rsidR="00923708">
        <w:rPr>
          <w:u w:val="double"/>
        </w:rPr>
        <w:t>3</w:t>
      </w:r>
      <w:r w:rsidRPr="002A1CEC">
        <w:rPr>
          <w:u w:val="double"/>
        </w:rPr>
        <w:t xml:space="preserve">.3.14) and avian infectious bronchitis virus (Chapter </w:t>
      </w:r>
      <w:r w:rsidR="00923708">
        <w:rPr>
          <w:u w:val="double"/>
        </w:rPr>
        <w:t>3</w:t>
      </w:r>
      <w:r w:rsidRPr="002A1CEC">
        <w:rPr>
          <w:u w:val="double"/>
        </w:rPr>
        <w:t xml:space="preserve">.3.2). These may be also present in mixed infections with MG or MS. Infections with </w:t>
      </w:r>
      <w:r w:rsidRPr="002A1CEC">
        <w:rPr>
          <w:i/>
          <w:iCs/>
          <w:u w:val="double"/>
        </w:rPr>
        <w:t xml:space="preserve">Avibacterium paragallinarum </w:t>
      </w:r>
      <w:r w:rsidRPr="002A1CEC">
        <w:rPr>
          <w:iCs/>
          <w:u w:val="double"/>
        </w:rPr>
        <w:t>and</w:t>
      </w:r>
      <w:r w:rsidRPr="002A1CEC">
        <w:rPr>
          <w:i/>
          <w:iCs/>
          <w:u w:val="double"/>
        </w:rPr>
        <w:t xml:space="preserve"> Pasteurella multocida</w:t>
      </w:r>
      <w:r w:rsidRPr="002A1CEC">
        <w:rPr>
          <w:u w:val="double"/>
        </w:rPr>
        <w:t xml:space="preserve"> should also be ruled out. In broilers</w:t>
      </w:r>
      <w:r w:rsidR="00966893">
        <w:rPr>
          <w:u w:val="double"/>
        </w:rPr>
        <w:t>,</w:t>
      </w:r>
      <w:r w:rsidRPr="002A1CEC">
        <w:rPr>
          <w:u w:val="double"/>
        </w:rPr>
        <w:t xml:space="preserve"> the co</w:t>
      </w:r>
      <w:r w:rsidR="00966893">
        <w:rPr>
          <w:u w:val="double"/>
        </w:rPr>
        <w:t>-</w:t>
      </w:r>
      <w:r w:rsidRPr="002A1CEC">
        <w:rPr>
          <w:u w:val="double"/>
        </w:rPr>
        <w:t xml:space="preserve">infection with avian metapneumovirus and </w:t>
      </w:r>
      <w:r w:rsidRPr="002A1CEC">
        <w:rPr>
          <w:i/>
          <w:iCs/>
          <w:u w:val="double"/>
        </w:rPr>
        <w:t>E</w:t>
      </w:r>
      <w:r w:rsidR="00966893">
        <w:rPr>
          <w:i/>
          <w:iCs/>
          <w:u w:val="double"/>
        </w:rPr>
        <w:t>. </w:t>
      </w:r>
      <w:r w:rsidRPr="002A1CEC">
        <w:rPr>
          <w:i/>
          <w:iCs/>
          <w:u w:val="double"/>
        </w:rPr>
        <w:t>coli</w:t>
      </w:r>
      <w:r w:rsidRPr="002A1CEC">
        <w:rPr>
          <w:u w:val="double"/>
        </w:rPr>
        <w:t xml:space="preserve"> could show similar features. MG in turkeys may be confused with avian metapneumovirus</w:t>
      </w:r>
      <w:r w:rsidRPr="002A1CEC" w:rsidDel="00157741">
        <w:rPr>
          <w:u w:val="double"/>
        </w:rPr>
        <w:t xml:space="preserve"> </w:t>
      </w:r>
      <w:r w:rsidRPr="002A1CEC">
        <w:rPr>
          <w:u w:val="double"/>
        </w:rPr>
        <w:t xml:space="preserve">infections and the presence of sinusitis may also suggest infection with </w:t>
      </w:r>
      <w:r w:rsidRPr="002A1CEC">
        <w:rPr>
          <w:i/>
          <w:iCs/>
          <w:u w:val="double"/>
        </w:rPr>
        <w:t>Bordetella avium, Pasteurella multocida</w:t>
      </w:r>
      <w:r w:rsidRPr="002A1CEC">
        <w:rPr>
          <w:u w:val="double"/>
        </w:rPr>
        <w:t xml:space="preserve">, </w:t>
      </w:r>
      <w:r w:rsidRPr="002A1CEC">
        <w:rPr>
          <w:i/>
          <w:iCs/>
          <w:u w:val="double"/>
        </w:rPr>
        <w:t>Chlamydia</w:t>
      </w:r>
      <w:r w:rsidRPr="002A1CEC">
        <w:rPr>
          <w:u w:val="double"/>
        </w:rPr>
        <w:t xml:space="preserve"> (Chapter </w:t>
      </w:r>
      <w:r w:rsidR="00923708">
        <w:rPr>
          <w:u w:val="double"/>
        </w:rPr>
        <w:t>3</w:t>
      </w:r>
      <w:r w:rsidRPr="002A1CEC">
        <w:rPr>
          <w:u w:val="double"/>
        </w:rPr>
        <w:t xml:space="preserve">.3.1) or MS. Infectious synovitis caused by MS should be differentiated from </w:t>
      </w:r>
      <w:r w:rsidRPr="002A1CEC">
        <w:rPr>
          <w:i/>
          <w:u w:val="double"/>
        </w:rPr>
        <w:t>Staphylococcus aureus, Riemerella anatipestifer, Ornithobacterium rhinotracheale</w:t>
      </w:r>
      <w:r w:rsidRPr="002A1CEC">
        <w:rPr>
          <w:u w:val="double"/>
        </w:rPr>
        <w:t xml:space="preserve"> and </w:t>
      </w:r>
      <w:r w:rsidRPr="002A1CEC">
        <w:rPr>
          <w:i/>
          <w:u w:val="double"/>
        </w:rPr>
        <w:t>Enterococcus</w:t>
      </w:r>
      <w:r w:rsidRPr="002A1CEC">
        <w:rPr>
          <w:u w:val="double"/>
        </w:rPr>
        <w:t xml:space="preserve"> joint infection</w:t>
      </w:r>
      <w:r w:rsidR="00966893">
        <w:rPr>
          <w:u w:val="double"/>
        </w:rPr>
        <w:t>s</w:t>
      </w:r>
      <w:r w:rsidRPr="002A1CEC">
        <w:rPr>
          <w:u w:val="double"/>
        </w:rPr>
        <w:t xml:space="preserve"> and, in chicken, from infectious tenosynovitis caused </w:t>
      </w:r>
      <w:r w:rsidRPr="00A91C54">
        <w:rPr>
          <w:u w:val="double"/>
        </w:rPr>
        <w:t xml:space="preserve">by </w:t>
      </w:r>
      <w:r w:rsidR="00273FF6" w:rsidRPr="00A91C54">
        <w:rPr>
          <w:u w:val="double"/>
        </w:rPr>
        <w:t>avian ortho</w:t>
      </w:r>
      <w:r w:rsidRPr="00A91C54">
        <w:rPr>
          <w:u w:val="double"/>
        </w:rPr>
        <w:t>reoviruses</w:t>
      </w:r>
      <w:r w:rsidRPr="002A1CEC">
        <w:rPr>
          <w:u w:val="double"/>
        </w:rPr>
        <w:t>.</w:t>
      </w:r>
    </w:p>
    <w:p w14:paraId="1493691E" w14:textId="77777777" w:rsidR="00186891" w:rsidRPr="00E163F0" w:rsidRDefault="00186891" w:rsidP="009419E4">
      <w:pPr>
        <w:pStyle w:val="A0"/>
        <w:keepNext/>
      </w:pPr>
      <w:r w:rsidRPr="00E163F0">
        <w:t>B.  DIAGNOSTIC TECHNIQUES</w:t>
      </w:r>
    </w:p>
    <w:p w14:paraId="76344F47" w14:textId="298AF4BB" w:rsidR="00186891" w:rsidRDefault="00186891" w:rsidP="00E163F0">
      <w:pPr>
        <w:pStyle w:val="paraA0"/>
      </w:pPr>
      <w:r w:rsidRPr="00E163F0">
        <w:t>The presence of MG or MS can be confirmed by isolating the organism in a cell-free medium or by detecting its DNA directly in infected tissues or swab samples. Serological tests are also widely used for diagnosis. When results are equivocal the birds are usually resampled</w:t>
      </w:r>
      <w:r w:rsidR="002A1CEC" w:rsidRPr="009775CA">
        <w:rPr>
          <w:strike/>
        </w:rPr>
        <w:t>;</w:t>
      </w:r>
      <w:r w:rsidRPr="009775CA">
        <w:rPr>
          <w:strike/>
        </w:rPr>
        <w:t xml:space="preserve"> although chicken embryos or chickens may be inoculated with suspect material</w:t>
      </w:r>
      <w:r w:rsidRPr="00E163F0">
        <w:t xml:space="preserve">. </w:t>
      </w:r>
    </w:p>
    <w:p w14:paraId="4FD25D83" w14:textId="77777777" w:rsidR="002A1CEC" w:rsidRPr="006160CB" w:rsidRDefault="002A1CEC" w:rsidP="002A1CEC">
      <w:pPr>
        <w:pStyle w:val="A0"/>
        <w:spacing w:after="120"/>
        <w:rPr>
          <w:rFonts w:cs="Arial"/>
          <w:b w:val="0"/>
          <w:i/>
          <w:sz w:val="18"/>
          <w:szCs w:val="18"/>
          <w:u w:val="double"/>
        </w:rPr>
      </w:pPr>
      <w:r w:rsidRPr="00BB12E6">
        <w:rPr>
          <w:rFonts w:cs="Arial"/>
          <w:i/>
          <w:sz w:val="18"/>
          <w:szCs w:val="18"/>
          <w:u w:val="double"/>
        </w:rPr>
        <w:t>Table 1.</w:t>
      </w:r>
      <w:r w:rsidRPr="00BB12E6">
        <w:rPr>
          <w:rFonts w:cs="Arial"/>
          <w:b w:val="0"/>
          <w:i/>
          <w:sz w:val="18"/>
          <w:szCs w:val="18"/>
          <w:u w:val="double"/>
        </w:rPr>
        <w:t xml:space="preserve"> Test methods available for diagnosis of </w:t>
      </w:r>
      <w:r w:rsidRPr="00BB12E6">
        <w:rPr>
          <w:b w:val="0"/>
          <w:i/>
          <w:sz w:val="18"/>
          <w:szCs w:val="18"/>
          <w:u w:val="double"/>
        </w:rPr>
        <w:t xml:space="preserve">avian mycoplasmosis </w:t>
      </w:r>
      <w:r w:rsidRPr="00BB12E6">
        <w:rPr>
          <w:b w:val="0"/>
          <w:i/>
          <w:sz w:val="18"/>
          <w:szCs w:val="18"/>
          <w:u w:val="double"/>
        </w:rPr>
        <w:br/>
      </w:r>
      <w:r w:rsidRPr="00BB12E6">
        <w:rPr>
          <w:b w:val="0"/>
          <w:iCs/>
          <w:sz w:val="18"/>
          <w:szCs w:val="18"/>
          <w:u w:val="double"/>
        </w:rPr>
        <w:t xml:space="preserve">(Mycoplasma gallisepticum, M. synoviae) </w:t>
      </w:r>
      <w:r w:rsidRPr="00BB12E6">
        <w:rPr>
          <w:rFonts w:cs="Arial"/>
          <w:b w:val="0"/>
          <w:i/>
          <w:sz w:val="18"/>
          <w:szCs w:val="18"/>
          <w:u w:val="double"/>
        </w:rPr>
        <w:t>and their purpose</w:t>
      </w:r>
    </w:p>
    <w:tbl>
      <w:tblPr>
        <w:tblW w:w="0" w:type="auto"/>
        <w:jc w:val="center"/>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2A1CEC" w:rsidRPr="00233BEF" w14:paraId="5CE93C00" w14:textId="77777777" w:rsidTr="002A1CEC">
        <w:trPr>
          <w:trHeight w:val="402"/>
          <w:tblHeader/>
          <w:jc w:val="center"/>
        </w:trPr>
        <w:tc>
          <w:tcPr>
            <w:tcW w:w="1264" w:type="dxa"/>
            <w:vMerge w:val="restart"/>
            <w:tcBorders>
              <w:top w:val="single" w:sz="6" w:space="0" w:color="auto"/>
              <w:left w:val="single" w:sz="6" w:space="0" w:color="auto"/>
            </w:tcBorders>
            <w:vAlign w:val="center"/>
          </w:tcPr>
          <w:p w14:paraId="545A5B35" w14:textId="77777777" w:rsidR="002A1CEC" w:rsidRPr="00233BEF" w:rsidRDefault="002A1CEC" w:rsidP="002A1CEC">
            <w:pPr>
              <w:pStyle w:val="TableHead"/>
              <w:rPr>
                <w:rFonts w:ascii="Arial" w:hAnsi="Arial" w:cs="Arial"/>
                <w:b w:val="0"/>
                <w:bCs w:val="0"/>
                <w:sz w:val="16"/>
                <w:szCs w:val="16"/>
                <w:u w:val="double"/>
                <w:lang w:val="en-GB"/>
              </w:rPr>
            </w:pPr>
            <w:r w:rsidRPr="00233BEF">
              <w:rPr>
                <w:rFonts w:ascii="Arial" w:hAnsi="Arial" w:cs="Arial"/>
                <w:u w:val="double"/>
                <w:lang w:val="en-GB"/>
              </w:rPr>
              <w:t>Method</w:t>
            </w:r>
          </w:p>
        </w:tc>
        <w:tc>
          <w:tcPr>
            <w:tcW w:w="7783" w:type="dxa"/>
            <w:gridSpan w:val="6"/>
            <w:tcBorders>
              <w:top w:val="single" w:sz="6" w:space="0" w:color="auto"/>
              <w:left w:val="single" w:sz="6" w:space="0" w:color="auto"/>
              <w:right w:val="single" w:sz="6" w:space="0" w:color="auto"/>
            </w:tcBorders>
            <w:vAlign w:val="center"/>
          </w:tcPr>
          <w:p w14:paraId="2969DA52" w14:textId="77777777" w:rsidR="002A1CEC" w:rsidRPr="00233BEF" w:rsidRDefault="002A1CEC" w:rsidP="002A1CEC">
            <w:pPr>
              <w:pStyle w:val="Tabletext"/>
              <w:rPr>
                <w:b/>
                <w:bCs w:val="0"/>
                <w:sz w:val="16"/>
                <w:szCs w:val="16"/>
                <w:u w:val="double"/>
                <w:lang w:val="en-GB"/>
              </w:rPr>
            </w:pPr>
            <w:r w:rsidRPr="00233BEF">
              <w:rPr>
                <w:b/>
                <w:u w:val="double"/>
                <w:lang w:val="en-GB"/>
              </w:rPr>
              <w:t>Purpose</w:t>
            </w:r>
          </w:p>
        </w:tc>
      </w:tr>
      <w:tr w:rsidR="002A1CEC" w:rsidRPr="00233BEF" w14:paraId="3D4DBABA" w14:textId="77777777" w:rsidTr="002A1CEC">
        <w:trPr>
          <w:trHeight w:val="402"/>
          <w:tblHeader/>
          <w:jc w:val="center"/>
        </w:trPr>
        <w:tc>
          <w:tcPr>
            <w:tcW w:w="1264" w:type="dxa"/>
            <w:vMerge/>
            <w:tcBorders>
              <w:left w:val="single" w:sz="6" w:space="0" w:color="auto"/>
            </w:tcBorders>
            <w:vAlign w:val="center"/>
          </w:tcPr>
          <w:p w14:paraId="7AAFBF63" w14:textId="77777777" w:rsidR="002A1CEC" w:rsidRPr="00233BEF" w:rsidRDefault="002A1CEC" w:rsidP="002A1CEC">
            <w:pPr>
              <w:pStyle w:val="TableHead"/>
              <w:jc w:val="both"/>
              <w:rPr>
                <w:rFonts w:ascii="Arial" w:hAnsi="Arial" w:cs="Arial"/>
                <w:sz w:val="16"/>
                <w:szCs w:val="16"/>
                <w:u w:val="double"/>
                <w:lang w:val="en-GB"/>
              </w:rPr>
            </w:pPr>
          </w:p>
        </w:tc>
        <w:tc>
          <w:tcPr>
            <w:tcW w:w="1134" w:type="dxa"/>
            <w:tcBorders>
              <w:top w:val="single" w:sz="6" w:space="0" w:color="auto"/>
              <w:left w:val="single" w:sz="6" w:space="0" w:color="auto"/>
            </w:tcBorders>
            <w:vAlign w:val="center"/>
          </w:tcPr>
          <w:p w14:paraId="434E2EAD" w14:textId="77777777" w:rsidR="002A1CEC" w:rsidRPr="00233BEF" w:rsidRDefault="002A1CEC" w:rsidP="002A1CEC">
            <w:pPr>
              <w:pStyle w:val="Tabletext"/>
              <w:rPr>
                <w:sz w:val="16"/>
                <w:szCs w:val="16"/>
                <w:u w:val="double"/>
                <w:lang w:val="en-GB"/>
              </w:rPr>
            </w:pPr>
            <w:r w:rsidRPr="00233BEF">
              <w:rPr>
                <w:sz w:val="16"/>
                <w:szCs w:val="16"/>
                <w:u w:val="double"/>
                <w:lang w:val="en-GB"/>
              </w:rPr>
              <w:t>Population freedom from infection</w:t>
            </w:r>
          </w:p>
        </w:tc>
        <w:tc>
          <w:tcPr>
            <w:tcW w:w="1418" w:type="dxa"/>
            <w:tcBorders>
              <w:top w:val="single" w:sz="6" w:space="0" w:color="auto"/>
              <w:left w:val="single" w:sz="6" w:space="0" w:color="auto"/>
            </w:tcBorders>
            <w:vAlign w:val="center"/>
          </w:tcPr>
          <w:p w14:paraId="29618A7A" w14:textId="77777777" w:rsidR="002A1CEC" w:rsidRPr="00233BEF" w:rsidRDefault="002A1CEC" w:rsidP="002A1CEC">
            <w:pPr>
              <w:pStyle w:val="Tabletext"/>
              <w:rPr>
                <w:sz w:val="16"/>
                <w:szCs w:val="16"/>
                <w:u w:val="double"/>
                <w:lang w:val="en-GB"/>
              </w:rPr>
            </w:pPr>
            <w:r w:rsidRPr="00233BEF">
              <w:rPr>
                <w:sz w:val="16"/>
                <w:szCs w:val="16"/>
                <w:u w:val="double"/>
                <w:lang w:val="en-GB"/>
              </w:rPr>
              <w:t>Individual animal freedom from infection prior to movement</w:t>
            </w:r>
          </w:p>
        </w:tc>
        <w:tc>
          <w:tcPr>
            <w:tcW w:w="1275" w:type="dxa"/>
            <w:tcBorders>
              <w:top w:val="single" w:sz="6" w:space="0" w:color="auto"/>
              <w:left w:val="single" w:sz="6" w:space="0" w:color="auto"/>
            </w:tcBorders>
            <w:vAlign w:val="center"/>
          </w:tcPr>
          <w:p w14:paraId="1E0A25D1" w14:textId="77777777" w:rsidR="002A1CEC" w:rsidRPr="00233BEF" w:rsidRDefault="002A1CEC" w:rsidP="002A1CEC">
            <w:pPr>
              <w:pStyle w:val="Tabletext"/>
              <w:rPr>
                <w:sz w:val="16"/>
                <w:szCs w:val="16"/>
                <w:u w:val="double"/>
                <w:lang w:val="en-GB"/>
              </w:rPr>
            </w:pPr>
            <w:r w:rsidRPr="00233BEF">
              <w:rPr>
                <w:sz w:val="16"/>
                <w:szCs w:val="16"/>
                <w:u w:val="double"/>
                <w:lang w:val="en-GB"/>
              </w:rPr>
              <w:t>Contribute to eradication policies</w:t>
            </w:r>
          </w:p>
        </w:tc>
        <w:tc>
          <w:tcPr>
            <w:tcW w:w="1134" w:type="dxa"/>
            <w:tcBorders>
              <w:top w:val="single" w:sz="6" w:space="0" w:color="auto"/>
              <w:left w:val="single" w:sz="6" w:space="0" w:color="auto"/>
            </w:tcBorders>
            <w:vAlign w:val="center"/>
          </w:tcPr>
          <w:p w14:paraId="06597EF2" w14:textId="77777777" w:rsidR="002A1CEC" w:rsidRPr="00233BEF" w:rsidRDefault="002A1CEC" w:rsidP="002A1CEC">
            <w:pPr>
              <w:pStyle w:val="Tabletext"/>
              <w:rPr>
                <w:sz w:val="16"/>
                <w:szCs w:val="16"/>
                <w:u w:val="double"/>
                <w:lang w:val="en-GB"/>
              </w:rPr>
            </w:pPr>
            <w:r w:rsidRPr="00233BEF">
              <w:rPr>
                <w:sz w:val="16"/>
                <w:szCs w:val="16"/>
                <w:u w:val="double"/>
                <w:lang w:val="en-GB"/>
              </w:rPr>
              <w:t>Confirmation of clinical cases</w:t>
            </w:r>
          </w:p>
        </w:tc>
        <w:tc>
          <w:tcPr>
            <w:tcW w:w="1134" w:type="dxa"/>
            <w:tcBorders>
              <w:top w:val="single" w:sz="6" w:space="0" w:color="auto"/>
              <w:left w:val="single" w:sz="6" w:space="0" w:color="auto"/>
            </w:tcBorders>
            <w:vAlign w:val="center"/>
          </w:tcPr>
          <w:p w14:paraId="3267D059" w14:textId="77777777" w:rsidR="002A1CEC" w:rsidRPr="00233BEF" w:rsidRDefault="002A1CEC" w:rsidP="002A1CEC">
            <w:pPr>
              <w:pStyle w:val="Tabletext"/>
              <w:rPr>
                <w:sz w:val="16"/>
                <w:szCs w:val="16"/>
                <w:u w:val="double"/>
                <w:lang w:val="en-GB"/>
              </w:rPr>
            </w:pPr>
            <w:r w:rsidRPr="00233BEF">
              <w:rPr>
                <w:sz w:val="16"/>
                <w:szCs w:val="16"/>
                <w:u w:val="double"/>
                <w:lang w:val="en-GB"/>
              </w:rPr>
              <w:t>Prevalence of infection – surveillance</w:t>
            </w:r>
          </w:p>
        </w:tc>
        <w:tc>
          <w:tcPr>
            <w:tcW w:w="1688" w:type="dxa"/>
            <w:tcBorders>
              <w:top w:val="single" w:sz="6" w:space="0" w:color="auto"/>
              <w:left w:val="single" w:sz="6" w:space="0" w:color="auto"/>
              <w:right w:val="single" w:sz="6" w:space="0" w:color="auto"/>
            </w:tcBorders>
            <w:vAlign w:val="center"/>
          </w:tcPr>
          <w:p w14:paraId="53B0B648" w14:textId="77777777" w:rsidR="002A1CEC" w:rsidRPr="00233BEF" w:rsidRDefault="002A1CEC" w:rsidP="002A1CEC">
            <w:pPr>
              <w:pStyle w:val="Tabletext"/>
              <w:rPr>
                <w:sz w:val="16"/>
                <w:szCs w:val="16"/>
                <w:u w:val="double"/>
                <w:lang w:val="en-GB"/>
              </w:rPr>
            </w:pPr>
            <w:r w:rsidRPr="00233BEF">
              <w:rPr>
                <w:sz w:val="16"/>
                <w:szCs w:val="16"/>
                <w:u w:val="double"/>
                <w:lang w:val="en-GB"/>
              </w:rPr>
              <w:t>Immune status in individual animals or populations post-vaccination</w:t>
            </w:r>
          </w:p>
        </w:tc>
      </w:tr>
      <w:tr w:rsidR="002A1CEC" w:rsidRPr="00233BEF" w14:paraId="4FAE01B2" w14:textId="77777777" w:rsidTr="002A1CEC">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6A0151DA" w14:textId="77777777" w:rsidR="002A1CEC" w:rsidRPr="00233BEF" w:rsidRDefault="002A1CEC" w:rsidP="002A1CEC">
            <w:pPr>
              <w:pStyle w:val="Tabletext"/>
              <w:rPr>
                <w:u w:val="double"/>
                <w:lang w:val="en-GB"/>
              </w:rPr>
            </w:pPr>
            <w:r w:rsidRPr="00233BEF">
              <w:rPr>
                <w:b/>
                <w:sz w:val="16"/>
                <w:szCs w:val="16"/>
                <w:u w:val="double"/>
              </w:rPr>
              <w:t>Agent identification</w:t>
            </w:r>
            <w:r w:rsidRPr="002A1CEC">
              <w:rPr>
                <w:rStyle w:val="Appelnotedebasdep"/>
                <w:b/>
                <w:sz w:val="16"/>
                <w:szCs w:val="16"/>
                <w:u w:val="double"/>
              </w:rPr>
              <w:footnoteReference w:id="1"/>
            </w:r>
            <w:r w:rsidRPr="002A1CEC">
              <w:rPr>
                <w:b/>
                <w:sz w:val="16"/>
                <w:szCs w:val="16"/>
                <w:u w:val="double"/>
              </w:rPr>
              <w:t xml:space="preserve"> </w:t>
            </w:r>
          </w:p>
        </w:tc>
      </w:tr>
      <w:tr w:rsidR="002A1CEC" w:rsidRPr="00233BEF" w14:paraId="6EA02FD4" w14:textId="77777777" w:rsidTr="002A1CEC">
        <w:trPr>
          <w:trHeight w:val="402"/>
          <w:jc w:val="center"/>
        </w:trPr>
        <w:tc>
          <w:tcPr>
            <w:tcW w:w="1264" w:type="dxa"/>
            <w:tcBorders>
              <w:top w:val="single" w:sz="6" w:space="0" w:color="auto"/>
              <w:left w:val="single" w:sz="6" w:space="0" w:color="auto"/>
              <w:bottom w:val="single" w:sz="6" w:space="0" w:color="auto"/>
            </w:tcBorders>
            <w:vAlign w:val="center"/>
          </w:tcPr>
          <w:p w14:paraId="6183D9E9" w14:textId="77777777" w:rsidR="002A1CEC" w:rsidRPr="005B13E0" w:rsidRDefault="002A1CEC" w:rsidP="002A1CEC">
            <w:pPr>
              <w:spacing w:before="120" w:after="120"/>
              <w:jc w:val="center"/>
              <w:rPr>
                <w:rFonts w:ascii="Arial" w:hAnsi="Arial" w:cs="Arial"/>
                <w:b/>
                <w:bCs/>
                <w:sz w:val="16"/>
                <w:szCs w:val="16"/>
                <w:u w:val="double"/>
              </w:rPr>
            </w:pPr>
            <w:r>
              <w:rPr>
                <w:rFonts w:ascii="Arial" w:hAnsi="Arial" w:cs="Arial"/>
                <w:b/>
                <w:bCs/>
                <w:sz w:val="16"/>
                <w:szCs w:val="16"/>
                <w:u w:val="double"/>
              </w:rPr>
              <w:t>Isolation on culture media</w:t>
            </w:r>
          </w:p>
        </w:tc>
        <w:tc>
          <w:tcPr>
            <w:tcW w:w="1134" w:type="dxa"/>
            <w:tcBorders>
              <w:top w:val="single" w:sz="6" w:space="0" w:color="auto"/>
              <w:left w:val="single" w:sz="6" w:space="0" w:color="auto"/>
              <w:bottom w:val="single" w:sz="6" w:space="0" w:color="auto"/>
            </w:tcBorders>
            <w:vAlign w:val="center"/>
          </w:tcPr>
          <w:p w14:paraId="1A4BAE17" w14:textId="77777777" w:rsidR="002A1CEC" w:rsidRPr="00233BEF" w:rsidRDefault="002A1CEC" w:rsidP="002A1CEC">
            <w:pPr>
              <w:pStyle w:val="Tabletext"/>
              <w:rPr>
                <w:u w:val="double"/>
                <w:lang w:val="en-GB"/>
              </w:rPr>
            </w:pPr>
            <w:r>
              <w:rPr>
                <w:u w:val="double"/>
                <w:lang w:val="en-GB"/>
              </w:rPr>
              <w:t>+</w:t>
            </w:r>
            <w:r w:rsidRPr="007F75BE">
              <w:rPr>
                <w:u w:val="double"/>
                <w:vertAlign w:val="superscript"/>
                <w:lang w:val="en-GB"/>
              </w:rPr>
              <w:t>a</w:t>
            </w:r>
          </w:p>
        </w:tc>
        <w:tc>
          <w:tcPr>
            <w:tcW w:w="1418" w:type="dxa"/>
            <w:tcBorders>
              <w:top w:val="single" w:sz="6" w:space="0" w:color="auto"/>
              <w:left w:val="single" w:sz="6" w:space="0" w:color="auto"/>
              <w:bottom w:val="single" w:sz="6" w:space="0" w:color="auto"/>
            </w:tcBorders>
            <w:vAlign w:val="center"/>
          </w:tcPr>
          <w:p w14:paraId="64627827" w14:textId="77777777" w:rsidR="002A1CEC" w:rsidRPr="00233BEF" w:rsidRDefault="002A1CEC" w:rsidP="002A1CEC">
            <w:pPr>
              <w:pStyle w:val="Tabletext"/>
              <w:rPr>
                <w:u w:val="double"/>
                <w:lang w:val="en-GB"/>
              </w:rPr>
            </w:pPr>
            <w:r>
              <w:rPr>
                <w:u w:val="double"/>
                <w:lang w:val="en-GB"/>
              </w:rPr>
              <w:t>–</w:t>
            </w:r>
          </w:p>
        </w:tc>
        <w:tc>
          <w:tcPr>
            <w:tcW w:w="1275" w:type="dxa"/>
            <w:tcBorders>
              <w:top w:val="single" w:sz="6" w:space="0" w:color="auto"/>
              <w:left w:val="single" w:sz="6" w:space="0" w:color="auto"/>
              <w:bottom w:val="single" w:sz="6" w:space="0" w:color="auto"/>
            </w:tcBorders>
            <w:vAlign w:val="center"/>
          </w:tcPr>
          <w:p w14:paraId="30A85B2B" w14:textId="77777777" w:rsidR="002A1CEC" w:rsidRPr="00233BEF" w:rsidRDefault="002A1CEC" w:rsidP="002A1CEC">
            <w:pPr>
              <w:pStyle w:val="Tabletext"/>
              <w:rPr>
                <w:u w:val="double"/>
                <w:lang w:val="en-GB"/>
              </w:rPr>
            </w:pPr>
            <w:r>
              <w:rPr>
                <w:u w:val="double"/>
                <w:lang w:val="en-GB"/>
              </w:rPr>
              <w:t>+</w:t>
            </w:r>
          </w:p>
        </w:tc>
        <w:tc>
          <w:tcPr>
            <w:tcW w:w="1134" w:type="dxa"/>
            <w:tcBorders>
              <w:top w:val="single" w:sz="6" w:space="0" w:color="auto"/>
              <w:left w:val="single" w:sz="6" w:space="0" w:color="auto"/>
              <w:bottom w:val="single" w:sz="6" w:space="0" w:color="auto"/>
            </w:tcBorders>
            <w:vAlign w:val="center"/>
          </w:tcPr>
          <w:p w14:paraId="45BE42C8" w14:textId="77777777" w:rsidR="002A1CEC" w:rsidRPr="00233BEF" w:rsidRDefault="002A1CEC" w:rsidP="002A1CEC">
            <w:pPr>
              <w:pStyle w:val="Tabletext"/>
              <w:rPr>
                <w:u w:val="double"/>
                <w:lang w:val="en-GB"/>
              </w:rPr>
            </w:pPr>
            <w:r>
              <w:rPr>
                <w:u w:val="double"/>
                <w:lang w:val="en-GB"/>
              </w:rPr>
              <w:t>+</w:t>
            </w:r>
          </w:p>
        </w:tc>
        <w:tc>
          <w:tcPr>
            <w:tcW w:w="1134" w:type="dxa"/>
            <w:tcBorders>
              <w:top w:val="single" w:sz="6" w:space="0" w:color="auto"/>
              <w:left w:val="single" w:sz="6" w:space="0" w:color="auto"/>
              <w:bottom w:val="single" w:sz="6" w:space="0" w:color="auto"/>
            </w:tcBorders>
            <w:vAlign w:val="center"/>
          </w:tcPr>
          <w:p w14:paraId="2F14DB68" w14:textId="77777777" w:rsidR="002A1CEC" w:rsidRPr="00233BEF" w:rsidRDefault="002A1CEC" w:rsidP="002A1CEC">
            <w:pPr>
              <w:pStyle w:val="Tabletext"/>
              <w:rPr>
                <w:u w:val="double"/>
                <w:lang w:val="en-GB"/>
              </w:rPr>
            </w:pPr>
            <w:r>
              <w:rPr>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4E31FC12" w14:textId="77777777" w:rsidR="002A1CEC" w:rsidRPr="00233BEF" w:rsidRDefault="002A1CEC" w:rsidP="002A1CEC">
            <w:pPr>
              <w:pStyle w:val="Tabletext"/>
              <w:rPr>
                <w:u w:val="double"/>
                <w:lang w:val="en-GB"/>
              </w:rPr>
            </w:pPr>
            <w:r>
              <w:rPr>
                <w:u w:val="double"/>
                <w:lang w:val="en-GB"/>
              </w:rPr>
              <w:t>–</w:t>
            </w:r>
          </w:p>
        </w:tc>
      </w:tr>
      <w:tr w:rsidR="002A1CEC" w:rsidRPr="00233BEF" w14:paraId="12AEA84E" w14:textId="77777777" w:rsidTr="002A1CEC">
        <w:trPr>
          <w:trHeight w:val="402"/>
          <w:jc w:val="center"/>
        </w:trPr>
        <w:tc>
          <w:tcPr>
            <w:tcW w:w="1264" w:type="dxa"/>
            <w:tcBorders>
              <w:top w:val="single" w:sz="6" w:space="0" w:color="auto"/>
              <w:left w:val="single" w:sz="6" w:space="0" w:color="auto"/>
              <w:bottom w:val="single" w:sz="6" w:space="0" w:color="auto"/>
            </w:tcBorders>
            <w:vAlign w:val="center"/>
          </w:tcPr>
          <w:p w14:paraId="1257CA6F" w14:textId="77777777" w:rsidR="002A1CEC" w:rsidRPr="00233BEF" w:rsidRDefault="002A1CEC" w:rsidP="002A1CEC">
            <w:pPr>
              <w:spacing w:before="120" w:after="120"/>
              <w:jc w:val="center"/>
              <w:rPr>
                <w:rFonts w:ascii="Arial" w:hAnsi="Arial" w:cs="Arial"/>
                <w:b/>
                <w:bCs/>
                <w:sz w:val="16"/>
                <w:szCs w:val="16"/>
                <w:u w:val="double"/>
              </w:rPr>
            </w:pPr>
            <w:r>
              <w:rPr>
                <w:rFonts w:ascii="Arial" w:hAnsi="Arial" w:cs="Arial"/>
                <w:b/>
                <w:bCs/>
                <w:sz w:val="16"/>
                <w:szCs w:val="16"/>
                <w:u w:val="double"/>
              </w:rPr>
              <w:t>Conventional PCR</w:t>
            </w:r>
          </w:p>
        </w:tc>
        <w:tc>
          <w:tcPr>
            <w:tcW w:w="1134" w:type="dxa"/>
            <w:tcBorders>
              <w:top w:val="single" w:sz="6" w:space="0" w:color="auto"/>
              <w:left w:val="single" w:sz="6" w:space="0" w:color="auto"/>
              <w:bottom w:val="single" w:sz="6" w:space="0" w:color="auto"/>
            </w:tcBorders>
            <w:vAlign w:val="center"/>
          </w:tcPr>
          <w:p w14:paraId="4CFDC5E3" w14:textId="77777777" w:rsidR="002A1CEC" w:rsidRPr="00233BEF" w:rsidRDefault="002A1CEC" w:rsidP="002A1CEC">
            <w:pPr>
              <w:pStyle w:val="Tabletext"/>
              <w:rPr>
                <w:u w:val="double"/>
                <w:lang w:val="en-GB"/>
              </w:rPr>
            </w:pPr>
            <w:r>
              <w:rPr>
                <w:u w:val="double"/>
                <w:lang w:val="en-GB"/>
              </w:rPr>
              <w:t>++</w:t>
            </w:r>
            <w:r w:rsidRPr="00BB12E6">
              <w:rPr>
                <w:u w:val="double"/>
                <w:vertAlign w:val="superscript"/>
                <w:lang w:val="en-GB"/>
              </w:rPr>
              <w:t>a</w:t>
            </w:r>
          </w:p>
        </w:tc>
        <w:tc>
          <w:tcPr>
            <w:tcW w:w="1418" w:type="dxa"/>
            <w:tcBorders>
              <w:top w:val="single" w:sz="6" w:space="0" w:color="auto"/>
              <w:left w:val="single" w:sz="6" w:space="0" w:color="auto"/>
              <w:bottom w:val="single" w:sz="6" w:space="0" w:color="auto"/>
            </w:tcBorders>
            <w:vAlign w:val="center"/>
          </w:tcPr>
          <w:p w14:paraId="3E9D6CD5" w14:textId="77777777" w:rsidR="002A1CEC" w:rsidRPr="00233BEF" w:rsidRDefault="002A1CEC" w:rsidP="002A1CEC">
            <w:pPr>
              <w:pStyle w:val="Tabletext"/>
              <w:rPr>
                <w:u w:val="double"/>
                <w:lang w:val="en-GB"/>
              </w:rPr>
            </w:pPr>
            <w:r w:rsidRPr="00D474FE">
              <w:rPr>
                <w:u w:val="double"/>
                <w:lang w:val="en-GB"/>
              </w:rPr>
              <w:t>++</w:t>
            </w:r>
            <w:r w:rsidRPr="00D474FE">
              <w:rPr>
                <w:u w:val="double"/>
                <w:vertAlign w:val="superscript"/>
                <w:lang w:val="en-GB"/>
              </w:rPr>
              <w:t>a</w:t>
            </w:r>
          </w:p>
        </w:tc>
        <w:tc>
          <w:tcPr>
            <w:tcW w:w="1275" w:type="dxa"/>
            <w:tcBorders>
              <w:top w:val="single" w:sz="6" w:space="0" w:color="auto"/>
              <w:left w:val="single" w:sz="6" w:space="0" w:color="auto"/>
              <w:bottom w:val="single" w:sz="6" w:space="0" w:color="auto"/>
            </w:tcBorders>
            <w:vAlign w:val="center"/>
          </w:tcPr>
          <w:p w14:paraId="3864F947" w14:textId="77777777" w:rsidR="002A1CEC" w:rsidRPr="00233BEF" w:rsidRDefault="002A1CEC" w:rsidP="002A1CEC">
            <w:pPr>
              <w:pStyle w:val="Tabletext"/>
              <w:rPr>
                <w:u w:val="double"/>
                <w:lang w:val="en-GB"/>
              </w:rPr>
            </w:pPr>
            <w:r>
              <w:rPr>
                <w:u w:val="double"/>
                <w:lang w:val="en-GB"/>
              </w:rPr>
              <w:t>++</w:t>
            </w:r>
          </w:p>
        </w:tc>
        <w:tc>
          <w:tcPr>
            <w:tcW w:w="1134" w:type="dxa"/>
            <w:tcBorders>
              <w:top w:val="single" w:sz="6" w:space="0" w:color="auto"/>
              <w:left w:val="single" w:sz="6" w:space="0" w:color="auto"/>
              <w:bottom w:val="single" w:sz="6" w:space="0" w:color="auto"/>
            </w:tcBorders>
          </w:tcPr>
          <w:p w14:paraId="14BBE0BA" w14:textId="77777777" w:rsidR="002A1CEC" w:rsidRPr="00233BEF" w:rsidRDefault="002A1CEC" w:rsidP="002A1CEC">
            <w:pPr>
              <w:pStyle w:val="Tabletext"/>
              <w:rPr>
                <w:u w:val="double"/>
                <w:lang w:val="en-GB"/>
              </w:rPr>
            </w:pPr>
            <w:r w:rsidRPr="000440AC">
              <w:t>++</w:t>
            </w:r>
            <w:r>
              <w:t>+</w:t>
            </w:r>
          </w:p>
        </w:tc>
        <w:tc>
          <w:tcPr>
            <w:tcW w:w="1134" w:type="dxa"/>
            <w:tcBorders>
              <w:top w:val="single" w:sz="6" w:space="0" w:color="auto"/>
              <w:left w:val="single" w:sz="6" w:space="0" w:color="auto"/>
              <w:bottom w:val="single" w:sz="6" w:space="0" w:color="auto"/>
            </w:tcBorders>
            <w:vAlign w:val="center"/>
          </w:tcPr>
          <w:p w14:paraId="06A90170" w14:textId="77777777" w:rsidR="002A1CEC" w:rsidRPr="00233BEF" w:rsidRDefault="002A1CEC" w:rsidP="002A1CEC">
            <w:pPr>
              <w:pStyle w:val="Tabletext"/>
              <w:rPr>
                <w:u w:val="double"/>
                <w:lang w:val="en-GB"/>
              </w:rPr>
            </w:pPr>
            <w:r>
              <w:rPr>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1CA8CC34" w14:textId="77777777" w:rsidR="002A1CEC" w:rsidRPr="00233BEF" w:rsidRDefault="002A1CEC" w:rsidP="002A1CEC">
            <w:pPr>
              <w:pStyle w:val="Tabletext"/>
              <w:rPr>
                <w:u w:val="double"/>
                <w:lang w:val="en-GB"/>
              </w:rPr>
            </w:pPr>
            <w:r>
              <w:rPr>
                <w:u w:val="double"/>
                <w:lang w:val="en-GB"/>
              </w:rPr>
              <w:t>–</w:t>
            </w:r>
          </w:p>
        </w:tc>
      </w:tr>
      <w:tr w:rsidR="002A1CEC" w:rsidRPr="00233BEF" w14:paraId="40461FF0" w14:textId="77777777" w:rsidTr="002A1CEC">
        <w:trPr>
          <w:trHeight w:val="402"/>
          <w:jc w:val="center"/>
        </w:trPr>
        <w:tc>
          <w:tcPr>
            <w:tcW w:w="1264" w:type="dxa"/>
            <w:tcBorders>
              <w:top w:val="single" w:sz="6" w:space="0" w:color="auto"/>
              <w:left w:val="single" w:sz="6" w:space="0" w:color="auto"/>
              <w:bottom w:val="single" w:sz="6" w:space="0" w:color="auto"/>
            </w:tcBorders>
            <w:vAlign w:val="center"/>
          </w:tcPr>
          <w:p w14:paraId="517B81C4" w14:textId="77777777" w:rsidR="002A1CEC" w:rsidRPr="00233BEF" w:rsidRDefault="002A1CEC" w:rsidP="002A1CEC">
            <w:pPr>
              <w:spacing w:before="120" w:after="120"/>
              <w:jc w:val="center"/>
              <w:rPr>
                <w:rFonts w:ascii="Arial" w:hAnsi="Arial" w:cs="Arial"/>
                <w:b/>
                <w:bCs/>
                <w:sz w:val="16"/>
                <w:szCs w:val="16"/>
                <w:u w:val="double"/>
              </w:rPr>
            </w:pPr>
            <w:r>
              <w:rPr>
                <w:rFonts w:ascii="Arial" w:hAnsi="Arial" w:cs="Arial"/>
                <w:b/>
                <w:bCs/>
                <w:sz w:val="16"/>
                <w:szCs w:val="16"/>
                <w:u w:val="double"/>
              </w:rPr>
              <w:lastRenderedPageBreak/>
              <w:t>Real-time PCR</w:t>
            </w:r>
          </w:p>
        </w:tc>
        <w:tc>
          <w:tcPr>
            <w:tcW w:w="1134" w:type="dxa"/>
            <w:tcBorders>
              <w:top w:val="single" w:sz="6" w:space="0" w:color="auto"/>
              <w:left w:val="single" w:sz="6" w:space="0" w:color="auto"/>
              <w:bottom w:val="single" w:sz="6" w:space="0" w:color="auto"/>
            </w:tcBorders>
          </w:tcPr>
          <w:p w14:paraId="0A2E1658" w14:textId="77777777" w:rsidR="002A1CEC" w:rsidRPr="00233BEF" w:rsidRDefault="002A1CEC" w:rsidP="002A1CEC">
            <w:pPr>
              <w:pStyle w:val="Tabletext"/>
              <w:rPr>
                <w:u w:val="double"/>
                <w:lang w:val="en-GB"/>
              </w:rPr>
            </w:pPr>
            <w:r w:rsidRPr="00DF21DD">
              <w:rPr>
                <w:u w:val="double"/>
                <w:lang w:val="en-GB"/>
              </w:rPr>
              <w:t>+++</w:t>
            </w:r>
            <w:r w:rsidRPr="00DF21DD">
              <w:rPr>
                <w:u w:val="double"/>
                <w:vertAlign w:val="superscript"/>
                <w:lang w:val="en-GB"/>
              </w:rPr>
              <w:t>a</w:t>
            </w:r>
          </w:p>
        </w:tc>
        <w:tc>
          <w:tcPr>
            <w:tcW w:w="1418" w:type="dxa"/>
            <w:tcBorders>
              <w:top w:val="single" w:sz="6" w:space="0" w:color="auto"/>
              <w:left w:val="single" w:sz="6" w:space="0" w:color="auto"/>
              <w:bottom w:val="single" w:sz="6" w:space="0" w:color="auto"/>
            </w:tcBorders>
          </w:tcPr>
          <w:p w14:paraId="251BF527" w14:textId="77777777" w:rsidR="002A1CEC" w:rsidRPr="00233BEF" w:rsidRDefault="002A1CEC" w:rsidP="002A1CEC">
            <w:pPr>
              <w:pStyle w:val="Tabletext"/>
              <w:rPr>
                <w:u w:val="double"/>
                <w:lang w:val="en-GB"/>
              </w:rPr>
            </w:pPr>
            <w:r w:rsidRPr="00DF21DD">
              <w:rPr>
                <w:u w:val="double"/>
                <w:lang w:val="en-GB"/>
              </w:rPr>
              <w:t>+++</w:t>
            </w:r>
            <w:r w:rsidRPr="00DF21DD">
              <w:rPr>
                <w:u w:val="double"/>
                <w:vertAlign w:val="superscript"/>
                <w:lang w:val="en-GB"/>
              </w:rPr>
              <w:t>a</w:t>
            </w:r>
          </w:p>
        </w:tc>
        <w:tc>
          <w:tcPr>
            <w:tcW w:w="1275" w:type="dxa"/>
            <w:tcBorders>
              <w:top w:val="single" w:sz="6" w:space="0" w:color="auto"/>
              <w:left w:val="single" w:sz="6" w:space="0" w:color="auto"/>
              <w:bottom w:val="single" w:sz="6" w:space="0" w:color="auto"/>
            </w:tcBorders>
            <w:vAlign w:val="center"/>
          </w:tcPr>
          <w:p w14:paraId="3C98A213" w14:textId="77777777" w:rsidR="002A1CEC" w:rsidRPr="00233BEF" w:rsidRDefault="002A1CEC" w:rsidP="002A1CEC">
            <w:pPr>
              <w:pStyle w:val="Tabletext"/>
              <w:rPr>
                <w:u w:val="double"/>
                <w:lang w:val="en-GB"/>
              </w:rPr>
            </w:pPr>
            <w:r>
              <w:rPr>
                <w:u w:val="double"/>
                <w:lang w:val="en-GB"/>
              </w:rPr>
              <w:t>+++</w:t>
            </w:r>
          </w:p>
        </w:tc>
        <w:tc>
          <w:tcPr>
            <w:tcW w:w="1134" w:type="dxa"/>
            <w:tcBorders>
              <w:top w:val="single" w:sz="6" w:space="0" w:color="auto"/>
              <w:left w:val="single" w:sz="6" w:space="0" w:color="auto"/>
              <w:bottom w:val="single" w:sz="6" w:space="0" w:color="auto"/>
            </w:tcBorders>
          </w:tcPr>
          <w:p w14:paraId="468E82A0" w14:textId="77777777" w:rsidR="002A1CEC" w:rsidRPr="00233BEF" w:rsidRDefault="002A1CEC" w:rsidP="002A1CEC">
            <w:pPr>
              <w:pStyle w:val="Tabletext"/>
              <w:rPr>
                <w:u w:val="double"/>
                <w:lang w:val="en-GB"/>
              </w:rPr>
            </w:pPr>
            <w:r w:rsidRPr="000440AC">
              <w:t>+++</w:t>
            </w:r>
          </w:p>
        </w:tc>
        <w:tc>
          <w:tcPr>
            <w:tcW w:w="1134" w:type="dxa"/>
            <w:tcBorders>
              <w:top w:val="single" w:sz="6" w:space="0" w:color="auto"/>
              <w:left w:val="single" w:sz="6" w:space="0" w:color="auto"/>
              <w:bottom w:val="single" w:sz="6" w:space="0" w:color="auto"/>
            </w:tcBorders>
            <w:vAlign w:val="center"/>
          </w:tcPr>
          <w:p w14:paraId="64361827" w14:textId="77777777" w:rsidR="002A1CEC" w:rsidRPr="00233BEF" w:rsidRDefault="002A1CEC" w:rsidP="002A1CEC">
            <w:pPr>
              <w:pStyle w:val="Tabletext"/>
              <w:rPr>
                <w:u w:val="double"/>
                <w:lang w:val="en-GB"/>
              </w:rPr>
            </w:pPr>
            <w:r>
              <w:rPr>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0A497CD1" w14:textId="77777777" w:rsidR="002A1CEC" w:rsidRPr="00233BEF" w:rsidRDefault="002A1CEC" w:rsidP="002A1CEC">
            <w:pPr>
              <w:pStyle w:val="Tabletext"/>
              <w:rPr>
                <w:u w:val="double"/>
                <w:lang w:val="en-GB"/>
              </w:rPr>
            </w:pPr>
            <w:r>
              <w:rPr>
                <w:u w:val="double"/>
                <w:lang w:val="en-GB"/>
              </w:rPr>
              <w:t>–</w:t>
            </w:r>
          </w:p>
        </w:tc>
      </w:tr>
      <w:tr w:rsidR="002A1CEC" w:rsidRPr="00233BEF" w14:paraId="5D150C40" w14:textId="77777777" w:rsidTr="00061C85">
        <w:trPr>
          <w:trHeight w:val="402"/>
          <w:jc w:val="center"/>
        </w:trPr>
        <w:tc>
          <w:tcPr>
            <w:tcW w:w="1264" w:type="dxa"/>
            <w:tcBorders>
              <w:top w:val="single" w:sz="6" w:space="0" w:color="auto"/>
              <w:left w:val="single" w:sz="6" w:space="0" w:color="auto"/>
              <w:bottom w:val="single" w:sz="6" w:space="0" w:color="auto"/>
            </w:tcBorders>
            <w:vAlign w:val="center"/>
          </w:tcPr>
          <w:p w14:paraId="5D441500" w14:textId="77777777" w:rsidR="002A1CEC" w:rsidRPr="00233BEF" w:rsidRDefault="002A1CEC" w:rsidP="002A1CEC">
            <w:pPr>
              <w:spacing w:before="120" w:after="120"/>
              <w:jc w:val="center"/>
              <w:rPr>
                <w:rFonts w:ascii="Arial" w:hAnsi="Arial" w:cs="Arial"/>
                <w:b/>
                <w:bCs/>
                <w:sz w:val="16"/>
                <w:szCs w:val="16"/>
                <w:u w:val="double"/>
              </w:rPr>
            </w:pPr>
            <w:r>
              <w:rPr>
                <w:rFonts w:ascii="Arial" w:hAnsi="Arial" w:cs="Arial"/>
                <w:b/>
                <w:bCs/>
                <w:sz w:val="16"/>
                <w:szCs w:val="16"/>
                <w:u w:val="double"/>
              </w:rPr>
              <w:t>PCR-DGGE</w:t>
            </w:r>
            <w:r w:rsidRPr="00BB12E6">
              <w:rPr>
                <w:rFonts w:ascii="Arial" w:hAnsi="Arial" w:cs="Arial"/>
                <w:b/>
                <w:bCs/>
                <w:sz w:val="16"/>
                <w:szCs w:val="16"/>
                <w:u w:val="double"/>
                <w:vertAlign w:val="superscript"/>
              </w:rPr>
              <w:t>b</w:t>
            </w:r>
          </w:p>
        </w:tc>
        <w:tc>
          <w:tcPr>
            <w:tcW w:w="1134" w:type="dxa"/>
            <w:tcBorders>
              <w:top w:val="single" w:sz="6" w:space="0" w:color="auto"/>
              <w:left w:val="single" w:sz="6" w:space="0" w:color="auto"/>
              <w:bottom w:val="single" w:sz="6" w:space="0" w:color="auto"/>
            </w:tcBorders>
            <w:vAlign w:val="center"/>
          </w:tcPr>
          <w:p w14:paraId="17E68089" w14:textId="77777777" w:rsidR="002A1CEC" w:rsidRPr="00233BEF" w:rsidRDefault="002A1CEC" w:rsidP="002A1CEC">
            <w:pPr>
              <w:pStyle w:val="Tabletext"/>
              <w:rPr>
                <w:u w:val="double"/>
                <w:lang w:val="en-GB"/>
              </w:rPr>
            </w:pPr>
            <w:r>
              <w:rPr>
                <w:u w:val="double"/>
                <w:lang w:val="en-GB"/>
              </w:rPr>
              <w:t>+</w:t>
            </w:r>
            <w:r w:rsidRPr="007F75BE">
              <w:rPr>
                <w:u w:val="double"/>
                <w:vertAlign w:val="superscript"/>
                <w:lang w:val="en-GB"/>
              </w:rPr>
              <w:t xml:space="preserve"> </w:t>
            </w:r>
          </w:p>
        </w:tc>
        <w:tc>
          <w:tcPr>
            <w:tcW w:w="1418" w:type="dxa"/>
            <w:tcBorders>
              <w:top w:val="single" w:sz="6" w:space="0" w:color="auto"/>
              <w:left w:val="single" w:sz="6" w:space="0" w:color="auto"/>
              <w:bottom w:val="single" w:sz="6" w:space="0" w:color="auto"/>
            </w:tcBorders>
            <w:vAlign w:val="center"/>
          </w:tcPr>
          <w:p w14:paraId="00DDD1F4" w14:textId="77777777" w:rsidR="002A1CEC" w:rsidRPr="00233BEF" w:rsidRDefault="002A1CEC" w:rsidP="002A1CEC">
            <w:pPr>
              <w:pStyle w:val="Tabletext"/>
              <w:rPr>
                <w:u w:val="double"/>
                <w:lang w:val="en-GB"/>
              </w:rPr>
            </w:pPr>
            <w:r>
              <w:rPr>
                <w:u w:val="double"/>
                <w:lang w:val="en-GB"/>
              </w:rPr>
              <w:t>–</w:t>
            </w:r>
          </w:p>
        </w:tc>
        <w:tc>
          <w:tcPr>
            <w:tcW w:w="1275" w:type="dxa"/>
            <w:tcBorders>
              <w:top w:val="single" w:sz="6" w:space="0" w:color="auto"/>
              <w:left w:val="single" w:sz="6" w:space="0" w:color="auto"/>
              <w:bottom w:val="single" w:sz="6" w:space="0" w:color="auto"/>
            </w:tcBorders>
            <w:vAlign w:val="center"/>
          </w:tcPr>
          <w:p w14:paraId="58CC2A5F" w14:textId="77777777" w:rsidR="002A1CEC" w:rsidRPr="00233BEF" w:rsidRDefault="002A1CEC" w:rsidP="002A1CEC">
            <w:pPr>
              <w:pStyle w:val="Tabletext"/>
              <w:rPr>
                <w:u w:val="double"/>
                <w:lang w:val="en-GB"/>
              </w:rPr>
            </w:pPr>
            <w:r>
              <w:rPr>
                <w:u w:val="double"/>
                <w:lang w:val="en-GB"/>
              </w:rPr>
              <w:t>+</w:t>
            </w:r>
          </w:p>
        </w:tc>
        <w:tc>
          <w:tcPr>
            <w:tcW w:w="1134" w:type="dxa"/>
            <w:tcBorders>
              <w:top w:val="single" w:sz="6" w:space="0" w:color="auto"/>
              <w:left w:val="single" w:sz="6" w:space="0" w:color="auto"/>
              <w:bottom w:val="single" w:sz="6" w:space="0" w:color="auto"/>
            </w:tcBorders>
            <w:vAlign w:val="center"/>
          </w:tcPr>
          <w:p w14:paraId="2B826936" w14:textId="77777777" w:rsidR="002A1CEC" w:rsidRPr="00233BEF" w:rsidRDefault="002A1CEC" w:rsidP="002A1CEC">
            <w:pPr>
              <w:pStyle w:val="Tabletext"/>
              <w:rPr>
                <w:u w:val="double"/>
                <w:lang w:val="en-GB"/>
              </w:rPr>
            </w:pPr>
            <w:r>
              <w:rPr>
                <w:u w:val="double"/>
                <w:lang w:val="en-GB"/>
              </w:rPr>
              <w:t>+</w:t>
            </w:r>
          </w:p>
        </w:tc>
        <w:tc>
          <w:tcPr>
            <w:tcW w:w="1134" w:type="dxa"/>
            <w:tcBorders>
              <w:top w:val="single" w:sz="6" w:space="0" w:color="auto"/>
              <w:left w:val="single" w:sz="6" w:space="0" w:color="auto"/>
              <w:bottom w:val="single" w:sz="6" w:space="0" w:color="auto"/>
            </w:tcBorders>
            <w:vAlign w:val="center"/>
          </w:tcPr>
          <w:p w14:paraId="450B14BC" w14:textId="77777777" w:rsidR="002A1CEC" w:rsidRPr="00233BEF" w:rsidRDefault="002A1CEC" w:rsidP="002A1CEC">
            <w:pPr>
              <w:pStyle w:val="Tabletext"/>
              <w:rPr>
                <w:u w:val="double"/>
                <w:lang w:val="en-GB"/>
              </w:rPr>
            </w:pPr>
            <w:r>
              <w:rPr>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55273B26" w14:textId="77777777" w:rsidR="002A1CEC" w:rsidRPr="00233BEF" w:rsidRDefault="002A1CEC" w:rsidP="002A1CEC">
            <w:pPr>
              <w:pStyle w:val="Tabletext"/>
              <w:rPr>
                <w:u w:val="double"/>
                <w:lang w:val="en-GB"/>
              </w:rPr>
            </w:pPr>
            <w:r>
              <w:rPr>
                <w:u w:val="double"/>
                <w:lang w:val="en-GB"/>
              </w:rPr>
              <w:t>–</w:t>
            </w:r>
          </w:p>
        </w:tc>
      </w:tr>
      <w:tr w:rsidR="002A1CEC" w:rsidRPr="00233BEF" w14:paraId="5D175DBB" w14:textId="77777777" w:rsidTr="00061C85">
        <w:trPr>
          <w:trHeight w:val="402"/>
          <w:jc w:val="center"/>
        </w:trPr>
        <w:tc>
          <w:tcPr>
            <w:tcW w:w="9047" w:type="dxa"/>
            <w:gridSpan w:val="7"/>
            <w:tcBorders>
              <w:top w:val="single" w:sz="6" w:space="0" w:color="auto"/>
              <w:left w:val="single" w:sz="6" w:space="0" w:color="auto"/>
              <w:right w:val="single" w:sz="4" w:space="0" w:color="auto"/>
            </w:tcBorders>
            <w:shd w:val="pct10" w:color="auto" w:fill="auto"/>
          </w:tcPr>
          <w:p w14:paraId="0B83DF3A" w14:textId="77777777" w:rsidR="002A1CEC" w:rsidRPr="00233BEF" w:rsidRDefault="002A1CEC" w:rsidP="002A1CEC">
            <w:pPr>
              <w:pStyle w:val="Tabletext"/>
              <w:rPr>
                <w:u w:val="double"/>
                <w:lang w:val="en-GB"/>
              </w:rPr>
            </w:pPr>
            <w:r w:rsidRPr="00233BEF">
              <w:rPr>
                <w:b/>
                <w:sz w:val="16"/>
                <w:szCs w:val="16"/>
                <w:u w:val="double"/>
              </w:rPr>
              <w:t>Detection of immune response</w:t>
            </w:r>
          </w:p>
        </w:tc>
      </w:tr>
      <w:tr w:rsidR="002A1CEC" w:rsidRPr="00233BEF" w14:paraId="2389D5D9" w14:textId="77777777" w:rsidTr="002A1CEC">
        <w:trPr>
          <w:trHeight w:val="402"/>
          <w:jc w:val="center"/>
        </w:trPr>
        <w:tc>
          <w:tcPr>
            <w:tcW w:w="1264" w:type="dxa"/>
            <w:tcBorders>
              <w:top w:val="single" w:sz="6" w:space="0" w:color="auto"/>
              <w:left w:val="single" w:sz="6" w:space="0" w:color="auto"/>
            </w:tcBorders>
            <w:vAlign w:val="center"/>
          </w:tcPr>
          <w:p w14:paraId="6473A879" w14:textId="77777777" w:rsidR="002A1CEC" w:rsidRPr="00233BEF" w:rsidRDefault="002A1CEC" w:rsidP="002A1CEC">
            <w:pPr>
              <w:spacing w:before="120" w:after="120"/>
              <w:jc w:val="center"/>
              <w:rPr>
                <w:rFonts w:ascii="Arial" w:hAnsi="Arial" w:cs="Arial"/>
                <w:b/>
                <w:bCs/>
                <w:sz w:val="16"/>
                <w:szCs w:val="16"/>
                <w:u w:val="double"/>
              </w:rPr>
            </w:pPr>
            <w:r>
              <w:rPr>
                <w:rFonts w:ascii="Arial" w:hAnsi="Arial" w:cs="Arial"/>
                <w:b/>
                <w:bCs/>
                <w:sz w:val="16"/>
                <w:szCs w:val="16"/>
                <w:u w:val="double"/>
              </w:rPr>
              <w:t>HI</w:t>
            </w:r>
          </w:p>
        </w:tc>
        <w:tc>
          <w:tcPr>
            <w:tcW w:w="1134" w:type="dxa"/>
            <w:tcBorders>
              <w:top w:val="single" w:sz="6" w:space="0" w:color="auto"/>
              <w:left w:val="single" w:sz="6" w:space="0" w:color="auto"/>
            </w:tcBorders>
            <w:vAlign w:val="center"/>
          </w:tcPr>
          <w:p w14:paraId="4413061E" w14:textId="77777777" w:rsidR="002A1CEC" w:rsidRPr="00BB12E6" w:rsidRDefault="002A1CEC" w:rsidP="002A1CEC">
            <w:pPr>
              <w:pStyle w:val="Tabletext"/>
              <w:rPr>
                <w:u w:val="double"/>
                <w:vertAlign w:val="superscript"/>
                <w:lang w:val="en-GB"/>
              </w:rPr>
            </w:pPr>
            <w:r>
              <w:rPr>
                <w:u w:val="double"/>
                <w:lang w:val="en-GB"/>
              </w:rPr>
              <w:t>++</w:t>
            </w:r>
            <w:r>
              <w:rPr>
                <w:u w:val="double"/>
                <w:vertAlign w:val="superscript"/>
                <w:lang w:val="en-GB"/>
              </w:rPr>
              <w:t>c</w:t>
            </w:r>
          </w:p>
        </w:tc>
        <w:tc>
          <w:tcPr>
            <w:tcW w:w="1418" w:type="dxa"/>
            <w:tcBorders>
              <w:top w:val="single" w:sz="6" w:space="0" w:color="auto"/>
              <w:left w:val="single" w:sz="6" w:space="0" w:color="auto"/>
            </w:tcBorders>
            <w:vAlign w:val="center"/>
          </w:tcPr>
          <w:p w14:paraId="28DE96C6" w14:textId="77777777" w:rsidR="002A1CEC" w:rsidRPr="00233BEF" w:rsidRDefault="002A1CEC" w:rsidP="002A1CEC">
            <w:pPr>
              <w:pStyle w:val="Tabletext"/>
              <w:rPr>
                <w:u w:val="double"/>
                <w:lang w:val="en-GB"/>
              </w:rPr>
            </w:pPr>
            <w:r>
              <w:rPr>
                <w:u w:val="double"/>
                <w:lang w:val="en-GB"/>
              </w:rPr>
              <w:t>–</w:t>
            </w:r>
          </w:p>
        </w:tc>
        <w:tc>
          <w:tcPr>
            <w:tcW w:w="1275" w:type="dxa"/>
            <w:tcBorders>
              <w:top w:val="single" w:sz="6" w:space="0" w:color="auto"/>
              <w:left w:val="single" w:sz="6" w:space="0" w:color="auto"/>
            </w:tcBorders>
            <w:vAlign w:val="center"/>
          </w:tcPr>
          <w:p w14:paraId="7E4AF6A7" w14:textId="77777777" w:rsidR="002A1CEC" w:rsidRPr="00233BEF" w:rsidRDefault="002A1CEC" w:rsidP="002A1CEC">
            <w:pPr>
              <w:pStyle w:val="Tabletext"/>
              <w:rPr>
                <w:u w:val="double"/>
                <w:lang w:val="en-GB"/>
              </w:rPr>
            </w:pPr>
            <w:r>
              <w:rPr>
                <w:u w:val="double"/>
                <w:lang w:val="en-GB"/>
              </w:rPr>
              <w:t>+</w:t>
            </w:r>
          </w:p>
        </w:tc>
        <w:tc>
          <w:tcPr>
            <w:tcW w:w="1134" w:type="dxa"/>
            <w:tcBorders>
              <w:top w:val="single" w:sz="6" w:space="0" w:color="auto"/>
              <w:left w:val="single" w:sz="6" w:space="0" w:color="auto"/>
            </w:tcBorders>
            <w:vAlign w:val="center"/>
          </w:tcPr>
          <w:p w14:paraId="1CE564DF" w14:textId="77777777" w:rsidR="002A1CEC" w:rsidRPr="00233BEF" w:rsidRDefault="002A1CEC" w:rsidP="002A1CEC">
            <w:pPr>
              <w:pStyle w:val="Tabletext"/>
              <w:rPr>
                <w:u w:val="double"/>
                <w:lang w:val="en-GB"/>
              </w:rPr>
            </w:pPr>
            <w:r>
              <w:rPr>
                <w:u w:val="double"/>
                <w:lang w:val="en-GB"/>
              </w:rPr>
              <w:t>++</w:t>
            </w:r>
            <w:r w:rsidRPr="00BB12E6">
              <w:rPr>
                <w:u w:val="double"/>
                <w:vertAlign w:val="superscript"/>
                <w:lang w:val="en-GB"/>
              </w:rPr>
              <w:t>e</w:t>
            </w:r>
          </w:p>
        </w:tc>
        <w:tc>
          <w:tcPr>
            <w:tcW w:w="1134" w:type="dxa"/>
            <w:tcBorders>
              <w:top w:val="single" w:sz="6" w:space="0" w:color="auto"/>
              <w:left w:val="single" w:sz="6" w:space="0" w:color="auto"/>
            </w:tcBorders>
            <w:vAlign w:val="center"/>
          </w:tcPr>
          <w:p w14:paraId="275B90C3" w14:textId="77777777" w:rsidR="002A1CEC" w:rsidRPr="00233BEF" w:rsidRDefault="002A1CEC" w:rsidP="002A1CEC">
            <w:pPr>
              <w:pStyle w:val="Tabletext"/>
              <w:rPr>
                <w:u w:val="double"/>
                <w:lang w:val="en-GB"/>
              </w:rPr>
            </w:pPr>
            <w:r>
              <w:rPr>
                <w:u w:val="double"/>
                <w:lang w:val="en-GB"/>
              </w:rPr>
              <w:t>++</w:t>
            </w:r>
          </w:p>
        </w:tc>
        <w:tc>
          <w:tcPr>
            <w:tcW w:w="1688" w:type="dxa"/>
            <w:tcBorders>
              <w:top w:val="single" w:sz="6" w:space="0" w:color="auto"/>
              <w:left w:val="single" w:sz="6" w:space="0" w:color="auto"/>
              <w:right w:val="single" w:sz="6" w:space="0" w:color="auto"/>
            </w:tcBorders>
            <w:vAlign w:val="center"/>
          </w:tcPr>
          <w:p w14:paraId="7ECD42D5" w14:textId="77777777" w:rsidR="002A1CEC" w:rsidRPr="00233BEF" w:rsidRDefault="002A1CEC" w:rsidP="002A1CEC">
            <w:pPr>
              <w:pStyle w:val="Tabletext"/>
              <w:rPr>
                <w:u w:val="double"/>
                <w:lang w:val="en-GB"/>
              </w:rPr>
            </w:pPr>
            <w:r>
              <w:rPr>
                <w:u w:val="double"/>
                <w:lang w:val="en-GB"/>
              </w:rPr>
              <w:t>+</w:t>
            </w:r>
          </w:p>
        </w:tc>
      </w:tr>
      <w:tr w:rsidR="002A1CEC" w:rsidRPr="00233BEF" w14:paraId="4C220A83" w14:textId="77777777" w:rsidTr="002A1CEC">
        <w:trPr>
          <w:trHeight w:val="402"/>
          <w:jc w:val="center"/>
        </w:trPr>
        <w:tc>
          <w:tcPr>
            <w:tcW w:w="1264" w:type="dxa"/>
            <w:tcBorders>
              <w:top w:val="single" w:sz="6" w:space="0" w:color="auto"/>
              <w:left w:val="single" w:sz="6" w:space="0" w:color="auto"/>
            </w:tcBorders>
            <w:vAlign w:val="center"/>
          </w:tcPr>
          <w:p w14:paraId="79DDB208" w14:textId="77777777" w:rsidR="002A1CEC" w:rsidRPr="00233BEF" w:rsidRDefault="002A1CEC" w:rsidP="002A1CEC">
            <w:pPr>
              <w:spacing w:before="120" w:after="120"/>
              <w:jc w:val="center"/>
              <w:rPr>
                <w:rFonts w:ascii="Arial" w:hAnsi="Arial" w:cs="Arial"/>
                <w:b/>
                <w:bCs/>
                <w:sz w:val="16"/>
                <w:szCs w:val="16"/>
                <w:u w:val="double"/>
              </w:rPr>
            </w:pPr>
            <w:r>
              <w:rPr>
                <w:rFonts w:ascii="Arial" w:hAnsi="Arial" w:cs="Arial"/>
                <w:b/>
                <w:bCs/>
                <w:sz w:val="16"/>
                <w:szCs w:val="16"/>
                <w:u w:val="double"/>
              </w:rPr>
              <w:t>RSA</w:t>
            </w:r>
          </w:p>
        </w:tc>
        <w:tc>
          <w:tcPr>
            <w:tcW w:w="1134" w:type="dxa"/>
            <w:tcBorders>
              <w:top w:val="single" w:sz="6" w:space="0" w:color="auto"/>
              <w:left w:val="single" w:sz="6" w:space="0" w:color="auto"/>
            </w:tcBorders>
            <w:vAlign w:val="center"/>
          </w:tcPr>
          <w:p w14:paraId="4903D2B1" w14:textId="77777777" w:rsidR="002A1CEC" w:rsidRPr="00BB12E6" w:rsidRDefault="002A1CEC" w:rsidP="002A1CEC">
            <w:pPr>
              <w:pStyle w:val="Tabletext"/>
              <w:rPr>
                <w:u w:val="double"/>
                <w:vertAlign w:val="superscript"/>
                <w:lang w:val="en-GB"/>
              </w:rPr>
            </w:pPr>
            <w:r>
              <w:rPr>
                <w:u w:val="double"/>
                <w:lang w:val="en-GB"/>
              </w:rPr>
              <w:t>+</w:t>
            </w:r>
            <w:r>
              <w:rPr>
                <w:u w:val="double"/>
                <w:vertAlign w:val="superscript"/>
                <w:lang w:val="en-GB"/>
              </w:rPr>
              <w:t>d</w:t>
            </w:r>
          </w:p>
        </w:tc>
        <w:tc>
          <w:tcPr>
            <w:tcW w:w="1418" w:type="dxa"/>
            <w:tcBorders>
              <w:top w:val="single" w:sz="6" w:space="0" w:color="auto"/>
              <w:left w:val="single" w:sz="6" w:space="0" w:color="auto"/>
            </w:tcBorders>
            <w:vAlign w:val="center"/>
          </w:tcPr>
          <w:p w14:paraId="32B6BED2" w14:textId="77777777" w:rsidR="002A1CEC" w:rsidRPr="00233BEF" w:rsidRDefault="002A1CEC" w:rsidP="002A1CEC">
            <w:pPr>
              <w:pStyle w:val="Tabletext"/>
              <w:rPr>
                <w:u w:val="double"/>
                <w:lang w:val="en-GB"/>
              </w:rPr>
            </w:pPr>
            <w:r>
              <w:rPr>
                <w:u w:val="double"/>
                <w:lang w:val="en-GB"/>
              </w:rPr>
              <w:t>–</w:t>
            </w:r>
          </w:p>
        </w:tc>
        <w:tc>
          <w:tcPr>
            <w:tcW w:w="1275" w:type="dxa"/>
            <w:tcBorders>
              <w:top w:val="single" w:sz="6" w:space="0" w:color="auto"/>
              <w:left w:val="single" w:sz="6" w:space="0" w:color="auto"/>
            </w:tcBorders>
            <w:vAlign w:val="center"/>
          </w:tcPr>
          <w:p w14:paraId="27C3550F" w14:textId="77777777" w:rsidR="002A1CEC" w:rsidRPr="00233BEF" w:rsidRDefault="002A1CEC" w:rsidP="002A1CEC">
            <w:pPr>
              <w:pStyle w:val="Tabletext"/>
              <w:rPr>
                <w:u w:val="double"/>
                <w:lang w:val="en-GB"/>
              </w:rPr>
            </w:pPr>
            <w:r>
              <w:rPr>
                <w:u w:val="double"/>
                <w:lang w:val="en-GB"/>
              </w:rPr>
              <w:t>+</w:t>
            </w:r>
          </w:p>
        </w:tc>
        <w:tc>
          <w:tcPr>
            <w:tcW w:w="1134" w:type="dxa"/>
            <w:tcBorders>
              <w:top w:val="single" w:sz="6" w:space="0" w:color="auto"/>
              <w:left w:val="single" w:sz="6" w:space="0" w:color="auto"/>
            </w:tcBorders>
          </w:tcPr>
          <w:p w14:paraId="0BA2E0F7" w14:textId="77777777" w:rsidR="002A1CEC" w:rsidRPr="00233BEF" w:rsidRDefault="002A1CEC" w:rsidP="002A1CEC">
            <w:pPr>
              <w:pStyle w:val="Tabletext"/>
              <w:rPr>
                <w:u w:val="double"/>
                <w:lang w:val="en-GB"/>
              </w:rPr>
            </w:pPr>
            <w:r w:rsidRPr="00B12940">
              <w:rPr>
                <w:u w:val="double"/>
                <w:lang w:val="en-GB"/>
              </w:rPr>
              <w:t>+</w:t>
            </w:r>
            <w:r w:rsidRPr="00B12940">
              <w:rPr>
                <w:u w:val="double"/>
                <w:vertAlign w:val="superscript"/>
                <w:lang w:val="en-GB"/>
              </w:rPr>
              <w:t>e</w:t>
            </w:r>
          </w:p>
        </w:tc>
        <w:tc>
          <w:tcPr>
            <w:tcW w:w="1134" w:type="dxa"/>
            <w:tcBorders>
              <w:top w:val="single" w:sz="6" w:space="0" w:color="auto"/>
              <w:left w:val="single" w:sz="6" w:space="0" w:color="auto"/>
            </w:tcBorders>
            <w:vAlign w:val="center"/>
          </w:tcPr>
          <w:p w14:paraId="029D2645" w14:textId="77777777" w:rsidR="002A1CEC" w:rsidRPr="00233BEF" w:rsidRDefault="002A1CEC" w:rsidP="002A1CEC">
            <w:pPr>
              <w:pStyle w:val="Tabletext"/>
              <w:rPr>
                <w:u w:val="double"/>
                <w:lang w:val="en-GB"/>
              </w:rPr>
            </w:pPr>
            <w:r>
              <w:rPr>
                <w:u w:val="double"/>
                <w:lang w:val="en-GB"/>
              </w:rPr>
              <w:t>+</w:t>
            </w:r>
          </w:p>
        </w:tc>
        <w:tc>
          <w:tcPr>
            <w:tcW w:w="1688" w:type="dxa"/>
            <w:tcBorders>
              <w:top w:val="single" w:sz="6" w:space="0" w:color="auto"/>
              <w:left w:val="single" w:sz="6" w:space="0" w:color="auto"/>
              <w:right w:val="single" w:sz="6" w:space="0" w:color="auto"/>
            </w:tcBorders>
            <w:vAlign w:val="center"/>
          </w:tcPr>
          <w:p w14:paraId="61D1E3EE" w14:textId="77777777" w:rsidR="002A1CEC" w:rsidRPr="00233BEF" w:rsidRDefault="002A1CEC" w:rsidP="002A1CEC">
            <w:pPr>
              <w:pStyle w:val="Tabletext"/>
              <w:rPr>
                <w:u w:val="double"/>
                <w:lang w:val="en-GB"/>
              </w:rPr>
            </w:pPr>
            <w:r>
              <w:rPr>
                <w:u w:val="double"/>
                <w:lang w:val="en-GB"/>
              </w:rPr>
              <w:t>+</w:t>
            </w:r>
          </w:p>
        </w:tc>
      </w:tr>
      <w:tr w:rsidR="002A1CEC" w:rsidRPr="00233BEF" w14:paraId="73411A4B" w14:textId="77777777" w:rsidTr="002A1CEC">
        <w:trPr>
          <w:trHeight w:val="402"/>
          <w:jc w:val="center"/>
        </w:trPr>
        <w:tc>
          <w:tcPr>
            <w:tcW w:w="1264" w:type="dxa"/>
            <w:tcBorders>
              <w:top w:val="single" w:sz="6" w:space="0" w:color="auto"/>
              <w:left w:val="single" w:sz="6" w:space="0" w:color="auto"/>
              <w:bottom w:val="single" w:sz="6" w:space="0" w:color="auto"/>
            </w:tcBorders>
            <w:vAlign w:val="center"/>
          </w:tcPr>
          <w:p w14:paraId="50FA2765" w14:textId="77777777" w:rsidR="002A1CEC" w:rsidRPr="00233BEF" w:rsidRDefault="002A1CEC" w:rsidP="002A1CEC">
            <w:pPr>
              <w:spacing w:before="120" w:after="120"/>
              <w:jc w:val="center"/>
              <w:rPr>
                <w:rFonts w:ascii="Arial" w:hAnsi="Arial" w:cs="Arial"/>
                <w:b/>
                <w:bCs/>
                <w:sz w:val="16"/>
                <w:szCs w:val="16"/>
                <w:u w:val="double"/>
              </w:rPr>
            </w:pPr>
            <w:r>
              <w:rPr>
                <w:rFonts w:ascii="Arial" w:hAnsi="Arial" w:cs="Arial"/>
                <w:b/>
                <w:bCs/>
                <w:sz w:val="16"/>
                <w:szCs w:val="16"/>
                <w:u w:val="double"/>
              </w:rPr>
              <w:t>ELISA</w:t>
            </w:r>
          </w:p>
        </w:tc>
        <w:tc>
          <w:tcPr>
            <w:tcW w:w="1134" w:type="dxa"/>
            <w:tcBorders>
              <w:top w:val="single" w:sz="6" w:space="0" w:color="auto"/>
              <w:left w:val="single" w:sz="6" w:space="0" w:color="auto"/>
              <w:bottom w:val="single" w:sz="6" w:space="0" w:color="auto"/>
            </w:tcBorders>
            <w:vAlign w:val="center"/>
          </w:tcPr>
          <w:p w14:paraId="27C6256F" w14:textId="77777777" w:rsidR="002A1CEC" w:rsidRPr="00BB12E6" w:rsidRDefault="002A1CEC" w:rsidP="002A1CEC">
            <w:pPr>
              <w:pStyle w:val="Tabletext"/>
              <w:rPr>
                <w:u w:val="double"/>
                <w:vertAlign w:val="superscript"/>
                <w:lang w:val="en-GB"/>
              </w:rPr>
            </w:pPr>
            <w:r>
              <w:rPr>
                <w:u w:val="double"/>
                <w:lang w:val="en-GB"/>
              </w:rPr>
              <w:t>++</w:t>
            </w:r>
            <w:r>
              <w:rPr>
                <w:u w:val="double"/>
                <w:vertAlign w:val="superscript"/>
                <w:lang w:val="en-GB"/>
              </w:rPr>
              <w:t>c</w:t>
            </w:r>
          </w:p>
        </w:tc>
        <w:tc>
          <w:tcPr>
            <w:tcW w:w="1418" w:type="dxa"/>
            <w:tcBorders>
              <w:top w:val="single" w:sz="6" w:space="0" w:color="auto"/>
              <w:left w:val="single" w:sz="6" w:space="0" w:color="auto"/>
              <w:bottom w:val="single" w:sz="6" w:space="0" w:color="auto"/>
            </w:tcBorders>
            <w:vAlign w:val="center"/>
          </w:tcPr>
          <w:p w14:paraId="7796E1B2" w14:textId="77777777" w:rsidR="002A1CEC" w:rsidRPr="00233BEF" w:rsidRDefault="002A1CEC" w:rsidP="002A1CEC">
            <w:pPr>
              <w:pStyle w:val="Tabletext"/>
              <w:rPr>
                <w:u w:val="double"/>
                <w:lang w:val="en-GB"/>
              </w:rPr>
            </w:pPr>
            <w:r>
              <w:rPr>
                <w:u w:val="double"/>
                <w:lang w:val="en-GB"/>
              </w:rPr>
              <w:t>–</w:t>
            </w:r>
          </w:p>
        </w:tc>
        <w:tc>
          <w:tcPr>
            <w:tcW w:w="1275" w:type="dxa"/>
            <w:tcBorders>
              <w:top w:val="single" w:sz="6" w:space="0" w:color="auto"/>
              <w:left w:val="single" w:sz="6" w:space="0" w:color="auto"/>
              <w:bottom w:val="single" w:sz="6" w:space="0" w:color="auto"/>
            </w:tcBorders>
            <w:vAlign w:val="center"/>
          </w:tcPr>
          <w:p w14:paraId="725D69B7" w14:textId="77777777" w:rsidR="002A1CEC" w:rsidRPr="00233BEF" w:rsidRDefault="002A1CEC" w:rsidP="002A1CEC">
            <w:pPr>
              <w:pStyle w:val="Tabletext"/>
              <w:rPr>
                <w:u w:val="double"/>
                <w:lang w:val="en-GB"/>
              </w:rPr>
            </w:pPr>
            <w:r>
              <w:rPr>
                <w:u w:val="double"/>
                <w:lang w:val="en-GB"/>
              </w:rPr>
              <w:t>++</w:t>
            </w:r>
          </w:p>
        </w:tc>
        <w:tc>
          <w:tcPr>
            <w:tcW w:w="1134" w:type="dxa"/>
            <w:tcBorders>
              <w:top w:val="single" w:sz="6" w:space="0" w:color="auto"/>
              <w:left w:val="single" w:sz="6" w:space="0" w:color="auto"/>
              <w:bottom w:val="single" w:sz="6" w:space="0" w:color="auto"/>
            </w:tcBorders>
          </w:tcPr>
          <w:p w14:paraId="04AD7BA8" w14:textId="77777777" w:rsidR="002A1CEC" w:rsidRPr="00233BEF" w:rsidRDefault="002A1CEC" w:rsidP="002A1CEC">
            <w:pPr>
              <w:pStyle w:val="Tabletext"/>
              <w:rPr>
                <w:u w:val="double"/>
                <w:lang w:val="en-GB"/>
              </w:rPr>
            </w:pPr>
            <w:r>
              <w:rPr>
                <w:u w:val="double"/>
                <w:lang w:val="en-GB"/>
              </w:rPr>
              <w:t>+</w:t>
            </w:r>
            <w:r w:rsidRPr="00B12940">
              <w:rPr>
                <w:u w:val="double"/>
                <w:lang w:val="en-GB"/>
              </w:rPr>
              <w:t>+</w:t>
            </w:r>
            <w:r w:rsidRPr="00B12940">
              <w:rPr>
                <w:u w:val="double"/>
                <w:vertAlign w:val="superscript"/>
                <w:lang w:val="en-GB"/>
              </w:rPr>
              <w:t>e</w:t>
            </w:r>
          </w:p>
        </w:tc>
        <w:tc>
          <w:tcPr>
            <w:tcW w:w="1134" w:type="dxa"/>
            <w:tcBorders>
              <w:top w:val="single" w:sz="6" w:space="0" w:color="auto"/>
              <w:left w:val="single" w:sz="6" w:space="0" w:color="auto"/>
              <w:bottom w:val="single" w:sz="6" w:space="0" w:color="auto"/>
            </w:tcBorders>
            <w:vAlign w:val="center"/>
          </w:tcPr>
          <w:p w14:paraId="0E6D9E59" w14:textId="77777777" w:rsidR="002A1CEC" w:rsidRPr="00233BEF" w:rsidRDefault="002A1CEC" w:rsidP="002A1CEC">
            <w:pPr>
              <w:pStyle w:val="Tabletext"/>
              <w:rPr>
                <w:u w:val="double"/>
                <w:lang w:val="en-GB"/>
              </w:rPr>
            </w:pPr>
            <w:r>
              <w:rPr>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1E60664B" w14:textId="77777777" w:rsidR="002A1CEC" w:rsidRPr="00233BEF" w:rsidRDefault="002A1CEC" w:rsidP="002A1CEC">
            <w:pPr>
              <w:pStyle w:val="Tabletext"/>
              <w:rPr>
                <w:u w:val="double"/>
                <w:lang w:val="en-GB"/>
              </w:rPr>
            </w:pPr>
            <w:r>
              <w:rPr>
                <w:u w:val="double"/>
                <w:lang w:val="en-GB"/>
              </w:rPr>
              <w:t>++</w:t>
            </w:r>
            <w:r w:rsidRPr="00BB12E6">
              <w:rPr>
                <w:u w:val="double"/>
                <w:vertAlign w:val="superscript"/>
                <w:lang w:val="en-GB"/>
              </w:rPr>
              <w:t>f</w:t>
            </w:r>
          </w:p>
        </w:tc>
      </w:tr>
    </w:tbl>
    <w:p w14:paraId="239AA14A" w14:textId="62826926" w:rsidR="002A1CEC" w:rsidRPr="002A1CEC" w:rsidRDefault="002A1CEC" w:rsidP="002A1CEC">
      <w:pPr>
        <w:pStyle w:val="Textebrut"/>
        <w:spacing w:before="120"/>
        <w:jc w:val="center"/>
        <w:rPr>
          <w:rFonts w:ascii="Arial" w:hAnsi="Arial" w:cs="Arial"/>
          <w:color w:val="000000"/>
          <w:sz w:val="16"/>
          <w:szCs w:val="16"/>
          <w:u w:val="double"/>
        </w:rPr>
      </w:pPr>
      <w:r w:rsidRPr="002A1CEC">
        <w:rPr>
          <w:rFonts w:ascii="Arial" w:hAnsi="Arial" w:cs="Arial"/>
          <w:color w:val="000000"/>
          <w:sz w:val="16"/>
          <w:szCs w:val="16"/>
          <w:u w:val="double"/>
        </w:rPr>
        <w:t xml:space="preserve">Key: +++ = recommended for this purpose; ++ recommended but has limitations; </w:t>
      </w:r>
      <w:r>
        <w:rPr>
          <w:rFonts w:ascii="Arial" w:hAnsi="Arial" w:cs="Arial"/>
          <w:color w:val="000000"/>
          <w:sz w:val="16"/>
          <w:szCs w:val="16"/>
          <w:u w:val="double"/>
        </w:rPr>
        <w:br/>
      </w:r>
      <w:r w:rsidRPr="002A1CEC">
        <w:rPr>
          <w:rFonts w:ascii="Arial" w:hAnsi="Arial" w:cs="Arial"/>
          <w:color w:val="000000"/>
          <w:sz w:val="16"/>
          <w:szCs w:val="16"/>
          <w:u w:val="double"/>
        </w:rPr>
        <w:t>+ = suitable in very limited circumstances</w:t>
      </w:r>
      <w:r w:rsidRPr="002A1CEC">
        <w:rPr>
          <w:rFonts w:ascii="Arial" w:hAnsi="Arial" w:cs="Arial"/>
          <w:sz w:val="16"/>
          <w:szCs w:val="16"/>
          <w:u w:val="double"/>
        </w:rPr>
        <w:t xml:space="preserve">; </w:t>
      </w:r>
      <w:r w:rsidRPr="002A1CEC">
        <w:rPr>
          <w:rFonts w:ascii="Arial" w:hAnsi="Arial" w:cs="Arial"/>
          <w:color w:val="000000"/>
          <w:sz w:val="16"/>
          <w:szCs w:val="16"/>
          <w:u w:val="double"/>
        </w:rPr>
        <w:t>– = not appropriate for this purpose.</w:t>
      </w:r>
      <w:r w:rsidRPr="002A1CEC">
        <w:rPr>
          <w:rFonts w:ascii="Arial" w:hAnsi="Arial" w:cs="Arial"/>
          <w:sz w:val="16"/>
          <w:szCs w:val="16"/>
          <w:u w:val="double"/>
        </w:rPr>
        <w:br/>
      </w:r>
      <w:r w:rsidRPr="002A1CEC">
        <w:rPr>
          <w:rFonts w:ascii="Arial" w:hAnsi="Arial" w:cs="Arial"/>
          <w:color w:val="000000"/>
          <w:sz w:val="16"/>
          <w:szCs w:val="16"/>
          <w:u w:val="double"/>
          <w:vertAlign w:val="superscript"/>
          <w:lang w:val="en-US"/>
        </w:rPr>
        <w:t>a</w:t>
      </w:r>
      <w:r w:rsidRPr="002A1CEC">
        <w:rPr>
          <w:rFonts w:ascii="Arial" w:hAnsi="Arial" w:cs="Arial"/>
          <w:color w:val="000000"/>
          <w:sz w:val="16"/>
          <w:szCs w:val="16"/>
          <w:u w:val="double"/>
        </w:rPr>
        <w:t xml:space="preserve">Not suitable for day old birds; </w:t>
      </w:r>
      <w:r>
        <w:rPr>
          <w:rFonts w:ascii="Arial" w:hAnsi="Arial" w:cs="Arial"/>
          <w:color w:val="000000"/>
          <w:sz w:val="16"/>
          <w:szCs w:val="16"/>
          <w:u w:val="double"/>
        </w:rPr>
        <w:br/>
      </w:r>
      <w:r w:rsidRPr="002A1CEC">
        <w:rPr>
          <w:rFonts w:ascii="Arial" w:hAnsi="Arial" w:cs="Arial"/>
          <w:b/>
          <w:bCs/>
          <w:color w:val="000000"/>
          <w:sz w:val="16"/>
          <w:szCs w:val="16"/>
          <w:u w:val="double"/>
          <w:vertAlign w:val="superscript"/>
          <w:lang w:val="en-US"/>
        </w:rPr>
        <w:t>b</w:t>
      </w:r>
      <w:r w:rsidRPr="002A1CEC">
        <w:rPr>
          <w:rFonts w:ascii="Arial" w:hAnsi="Arial" w:cs="Arial"/>
          <w:color w:val="000000"/>
          <w:sz w:val="16"/>
          <w:szCs w:val="16"/>
          <w:u w:val="double"/>
        </w:rPr>
        <w:t>applied in culture medium</w:t>
      </w:r>
      <w:r w:rsidR="00366FC9">
        <w:rPr>
          <w:rFonts w:ascii="Arial" w:hAnsi="Arial" w:cs="Arial"/>
          <w:color w:val="000000"/>
          <w:sz w:val="16"/>
          <w:szCs w:val="16"/>
          <w:u w:val="double"/>
        </w:rPr>
        <w:t>,</w:t>
      </w:r>
      <w:r w:rsidRPr="002A1CEC">
        <w:rPr>
          <w:rFonts w:ascii="Arial" w:hAnsi="Arial" w:cs="Arial"/>
          <w:color w:val="000000"/>
          <w:sz w:val="16"/>
          <w:szCs w:val="16"/>
          <w:u w:val="double"/>
        </w:rPr>
        <w:t xml:space="preserve"> isolated colonies</w:t>
      </w:r>
      <w:r w:rsidR="00A91C54">
        <w:rPr>
          <w:rFonts w:ascii="Arial" w:hAnsi="Arial" w:cs="Arial"/>
          <w:color w:val="000000"/>
          <w:sz w:val="16"/>
          <w:szCs w:val="16"/>
          <w:u w:val="double"/>
        </w:rPr>
        <w:t>;</w:t>
      </w:r>
      <w:r w:rsidR="00D649E7" w:rsidRPr="004324D2">
        <w:rPr>
          <w:rFonts w:ascii="Arial" w:hAnsi="Arial" w:cs="Arial"/>
          <w:color w:val="000000"/>
          <w:sz w:val="16"/>
          <w:szCs w:val="16"/>
        </w:rPr>
        <w:t xml:space="preserve"> </w:t>
      </w:r>
      <w:r w:rsidR="00D649E7" w:rsidRPr="004324D2">
        <w:rPr>
          <w:rFonts w:ascii="Arial" w:hAnsi="Arial" w:cs="Arial"/>
          <w:strike/>
          <w:color w:val="000000"/>
          <w:sz w:val="16"/>
          <w:szCs w:val="16"/>
          <w:highlight w:val="yellow"/>
        </w:rPr>
        <w:t>or direct on specimens</w:t>
      </w:r>
      <w:r w:rsidRPr="004324D2">
        <w:rPr>
          <w:rFonts w:ascii="Arial" w:hAnsi="Arial" w:cs="Arial"/>
          <w:strike/>
          <w:color w:val="000000"/>
          <w:sz w:val="16"/>
          <w:szCs w:val="16"/>
        </w:rPr>
        <w:t xml:space="preserve">, </w:t>
      </w:r>
      <w:r>
        <w:rPr>
          <w:rFonts w:ascii="Arial" w:hAnsi="Arial" w:cs="Arial"/>
          <w:color w:val="000000"/>
          <w:sz w:val="16"/>
          <w:szCs w:val="16"/>
          <w:u w:val="double"/>
        </w:rPr>
        <w:br/>
      </w:r>
      <w:r w:rsidRPr="002A1CEC">
        <w:rPr>
          <w:rFonts w:ascii="Arial" w:hAnsi="Arial" w:cs="Arial"/>
          <w:color w:val="000000"/>
          <w:sz w:val="16"/>
          <w:szCs w:val="16"/>
          <w:u w:val="double"/>
          <w:vertAlign w:val="superscript"/>
        </w:rPr>
        <w:t>c</w:t>
      </w:r>
      <w:r w:rsidRPr="002A1CEC">
        <w:rPr>
          <w:rFonts w:ascii="Arial" w:hAnsi="Arial" w:cs="Arial"/>
          <w:color w:val="000000"/>
          <w:sz w:val="16"/>
          <w:szCs w:val="16"/>
          <w:u w:val="double"/>
        </w:rPr>
        <w:t>suitable for ensuring lack of infections dating back more than 2</w:t>
      </w:r>
      <w:r>
        <w:rPr>
          <w:rFonts w:ascii="Arial" w:hAnsi="Arial" w:cs="Arial"/>
          <w:color w:val="000000"/>
          <w:sz w:val="16"/>
          <w:szCs w:val="16"/>
          <w:u w:val="double"/>
        </w:rPr>
        <w:t>–</w:t>
      </w:r>
      <w:r w:rsidRPr="002A1CEC">
        <w:rPr>
          <w:rFonts w:ascii="Arial" w:hAnsi="Arial" w:cs="Arial"/>
          <w:color w:val="000000"/>
          <w:sz w:val="16"/>
          <w:szCs w:val="16"/>
          <w:u w:val="double"/>
        </w:rPr>
        <w:t>3 weeks;</w:t>
      </w:r>
      <w:r w:rsidRPr="002A1CEC">
        <w:rPr>
          <w:rFonts w:ascii="Arial" w:hAnsi="Arial" w:cs="Arial"/>
          <w:color w:val="000000"/>
          <w:sz w:val="16"/>
          <w:szCs w:val="16"/>
          <w:u w:val="double"/>
          <w:vertAlign w:val="superscript"/>
          <w:lang w:val="en-US"/>
        </w:rPr>
        <w:t xml:space="preserve"> </w:t>
      </w:r>
      <w:r>
        <w:rPr>
          <w:rFonts w:ascii="Arial" w:hAnsi="Arial" w:cs="Arial"/>
          <w:color w:val="000000"/>
          <w:sz w:val="16"/>
          <w:szCs w:val="16"/>
          <w:u w:val="double"/>
        </w:rPr>
        <w:br/>
      </w:r>
      <w:r w:rsidRPr="002A1CEC">
        <w:rPr>
          <w:rFonts w:ascii="Arial" w:hAnsi="Arial" w:cs="Arial"/>
          <w:color w:val="000000"/>
          <w:sz w:val="16"/>
          <w:szCs w:val="16"/>
          <w:u w:val="double"/>
          <w:vertAlign w:val="superscript"/>
          <w:lang w:val="en-US"/>
        </w:rPr>
        <w:t>d</w:t>
      </w:r>
      <w:r w:rsidRPr="002A1CEC">
        <w:rPr>
          <w:rFonts w:ascii="Arial" w:hAnsi="Arial" w:cs="Arial"/>
          <w:color w:val="000000"/>
          <w:sz w:val="16"/>
          <w:szCs w:val="16"/>
          <w:u w:val="double"/>
          <w:lang w:val="en-US"/>
        </w:rPr>
        <w:t>suitable for ensuring lack of infections dating back more than 5</w:t>
      </w:r>
      <w:r>
        <w:rPr>
          <w:rFonts w:ascii="Arial" w:hAnsi="Arial" w:cs="Arial"/>
          <w:color w:val="000000"/>
          <w:sz w:val="16"/>
          <w:szCs w:val="16"/>
          <w:u w:val="double"/>
          <w:lang w:val="en-US"/>
        </w:rPr>
        <w:t>–</w:t>
      </w:r>
      <w:r w:rsidRPr="002A1CEC">
        <w:rPr>
          <w:rFonts w:ascii="Arial" w:hAnsi="Arial" w:cs="Arial"/>
          <w:color w:val="000000"/>
          <w:sz w:val="16"/>
          <w:szCs w:val="16"/>
          <w:u w:val="double"/>
          <w:lang w:val="en-US"/>
        </w:rPr>
        <w:t xml:space="preserve">8 days; </w:t>
      </w:r>
      <w:r>
        <w:rPr>
          <w:rFonts w:ascii="Arial" w:hAnsi="Arial" w:cs="Arial"/>
          <w:color w:val="000000"/>
          <w:sz w:val="16"/>
          <w:szCs w:val="16"/>
          <w:u w:val="double"/>
        </w:rPr>
        <w:br/>
      </w:r>
      <w:r w:rsidRPr="002A1CEC">
        <w:rPr>
          <w:rFonts w:ascii="Arial" w:hAnsi="Arial" w:cs="Arial"/>
          <w:color w:val="000000"/>
          <w:sz w:val="16"/>
          <w:szCs w:val="16"/>
          <w:u w:val="double"/>
          <w:vertAlign w:val="superscript"/>
          <w:lang w:val="en-US"/>
        </w:rPr>
        <w:t>e</w:t>
      </w:r>
      <w:r w:rsidRPr="002A1CEC">
        <w:rPr>
          <w:rFonts w:ascii="Arial" w:hAnsi="Arial" w:cs="Arial"/>
          <w:color w:val="000000"/>
          <w:sz w:val="16"/>
          <w:szCs w:val="16"/>
          <w:u w:val="double"/>
        </w:rPr>
        <w:t xml:space="preserve">suitable provided paired samples collected a few weeks apart can be analysed; </w:t>
      </w:r>
      <w:r>
        <w:rPr>
          <w:rFonts w:ascii="Arial" w:hAnsi="Arial" w:cs="Arial"/>
          <w:color w:val="000000"/>
          <w:sz w:val="16"/>
          <w:szCs w:val="16"/>
          <w:u w:val="double"/>
        </w:rPr>
        <w:br/>
      </w:r>
      <w:r w:rsidRPr="002A1CEC">
        <w:rPr>
          <w:rFonts w:ascii="Arial" w:hAnsi="Arial" w:cs="Arial"/>
          <w:color w:val="000000"/>
          <w:sz w:val="16"/>
          <w:szCs w:val="16"/>
          <w:u w:val="double"/>
          <w:vertAlign w:val="superscript"/>
        </w:rPr>
        <w:t>f</w:t>
      </w:r>
      <w:r w:rsidRPr="002A1CEC">
        <w:rPr>
          <w:rFonts w:ascii="Arial" w:hAnsi="Arial" w:cs="Arial"/>
          <w:color w:val="000000"/>
          <w:sz w:val="16"/>
          <w:szCs w:val="16"/>
          <w:u w:val="double"/>
        </w:rPr>
        <w:t>suitable only for the group vaccinated with killed vaccine, F strain and by temperature sensitive vaccines.</w:t>
      </w:r>
    </w:p>
    <w:p w14:paraId="7E2A590A" w14:textId="77777777" w:rsidR="002A1CEC" w:rsidRPr="00834A04" w:rsidRDefault="002A1CEC" w:rsidP="002A1CEC">
      <w:pPr>
        <w:pStyle w:val="paraA0"/>
        <w:jc w:val="center"/>
        <w:rPr>
          <w:sz w:val="16"/>
          <w:szCs w:val="16"/>
          <w:u w:val="double"/>
        </w:rPr>
      </w:pPr>
      <w:r w:rsidRPr="00834A04">
        <w:rPr>
          <w:sz w:val="16"/>
          <w:szCs w:val="16"/>
          <w:u w:val="double"/>
        </w:rPr>
        <w:t xml:space="preserve">PCR: polymerase chain reaction; DGGE = </w:t>
      </w:r>
      <w:r w:rsidR="00834A04" w:rsidRPr="00834A04">
        <w:rPr>
          <w:sz w:val="16"/>
          <w:szCs w:val="16"/>
          <w:u w:val="double"/>
        </w:rPr>
        <w:t>denaturing gradient gel electrophoresis</w:t>
      </w:r>
      <w:r w:rsidRPr="00834A04">
        <w:rPr>
          <w:sz w:val="16"/>
          <w:szCs w:val="16"/>
          <w:u w:val="double"/>
        </w:rPr>
        <w:t xml:space="preserve">; HI = hemagglutination inhibition; </w:t>
      </w:r>
      <w:r w:rsidR="00834A04" w:rsidRPr="00834A04">
        <w:rPr>
          <w:sz w:val="16"/>
          <w:szCs w:val="16"/>
          <w:u w:val="double"/>
        </w:rPr>
        <w:br/>
      </w:r>
      <w:r w:rsidRPr="00834A04">
        <w:rPr>
          <w:sz w:val="16"/>
          <w:szCs w:val="16"/>
          <w:u w:val="double"/>
        </w:rPr>
        <w:t>RSA = rapid serum agglutination; ELISA = enzyme-linked immunosorbent assay</w:t>
      </w:r>
      <w:r w:rsidR="00834A04">
        <w:rPr>
          <w:sz w:val="16"/>
          <w:szCs w:val="16"/>
          <w:u w:val="double"/>
        </w:rPr>
        <w:t>.</w:t>
      </w:r>
    </w:p>
    <w:p w14:paraId="39A6C793" w14:textId="77777777" w:rsidR="00186891" w:rsidRPr="00E163F0" w:rsidRDefault="00186891" w:rsidP="00E163F0">
      <w:pPr>
        <w:pStyle w:val="1"/>
      </w:pPr>
      <w:r w:rsidRPr="00E163F0">
        <w:t>1.</w:t>
      </w:r>
      <w:r w:rsidRPr="00E163F0">
        <w:tab/>
        <w:t>Identification of the agent</w:t>
      </w:r>
    </w:p>
    <w:p w14:paraId="4E431E74" w14:textId="290A50B1" w:rsidR="00186891" w:rsidRPr="00E163F0" w:rsidRDefault="00D609A7" w:rsidP="00A844BE">
      <w:pPr>
        <w:pStyle w:val="11"/>
      </w:pPr>
      <w:r>
        <w:t>1.1.</w:t>
      </w:r>
      <w:r w:rsidR="00186891" w:rsidRPr="00E163F0">
        <w:tab/>
      </w:r>
      <w:r w:rsidR="00A35FD4" w:rsidRPr="00A35FD4">
        <w:rPr>
          <w:i/>
          <w:u w:val="double"/>
        </w:rPr>
        <w:t>In-vitro</w:t>
      </w:r>
      <w:r w:rsidR="00A35FD4">
        <w:t xml:space="preserve"> c</w:t>
      </w:r>
      <w:r w:rsidR="00186891" w:rsidRPr="00E163F0">
        <w:t>ulture</w:t>
      </w:r>
    </w:p>
    <w:p w14:paraId="3E4EA6FB" w14:textId="6612A669" w:rsidR="00DE384A" w:rsidRDefault="00DE384A" w:rsidP="00DE384A">
      <w:pPr>
        <w:pStyle w:val="11Para"/>
      </w:pPr>
      <w:r w:rsidRPr="00E163F0">
        <w:t>Samples are taken from live birds, fresh carcasses or the carcasses of birds that have been frozen</w:t>
      </w:r>
      <w:r>
        <w:t xml:space="preserve"> </w:t>
      </w:r>
      <w:r w:rsidRPr="00DE384A">
        <w:rPr>
          <w:strike/>
        </w:rPr>
        <w:t xml:space="preserve">when fresh </w:t>
      </w:r>
      <w:r w:rsidRPr="00DE384A">
        <w:rPr>
          <w:u w:val="double"/>
        </w:rPr>
        <w:t>quickly after death</w:t>
      </w:r>
      <w:r w:rsidRPr="00E163F0">
        <w:t xml:space="preserve">. </w:t>
      </w:r>
      <w:r w:rsidRPr="00DE384A">
        <w:rPr>
          <w:u w:val="double"/>
        </w:rPr>
        <w:t xml:space="preserve">The tracheal swab is considered to be the best sample in live animals for most </w:t>
      </w:r>
      <w:r w:rsidR="00835A36" w:rsidRPr="00835A36">
        <w:rPr>
          <w:u w:val="double"/>
        </w:rPr>
        <w:t>mycoplasma</w:t>
      </w:r>
      <w:r w:rsidR="00ED4362" w:rsidRPr="00DE384A">
        <w:rPr>
          <w:u w:val="double"/>
        </w:rPr>
        <w:t xml:space="preserve"> </w:t>
      </w:r>
      <w:r w:rsidRPr="00DE384A">
        <w:rPr>
          <w:u w:val="double"/>
        </w:rPr>
        <w:t xml:space="preserve">species. In addition, for isolation purposes, it is possible to collect swabs from the choanal cleft. When dead birds are available, </w:t>
      </w:r>
      <w:r w:rsidR="00835A36" w:rsidRPr="00835A36">
        <w:rPr>
          <w:u w:val="double"/>
        </w:rPr>
        <w:t>mycoplasma</w:t>
      </w:r>
      <w:r w:rsidR="00835A36" w:rsidRPr="00DE384A">
        <w:rPr>
          <w:u w:val="double"/>
        </w:rPr>
        <w:t xml:space="preserve"> </w:t>
      </w:r>
      <w:r w:rsidRPr="00DE384A">
        <w:rPr>
          <w:u w:val="double"/>
        </w:rPr>
        <w:t>isolation can be performed with swabs from different tissues or organs such as the upper and/or</w:t>
      </w:r>
      <w:r w:rsidR="00BA2558">
        <w:rPr>
          <w:u w:val="double"/>
        </w:rPr>
        <w:t xml:space="preserve"> </w:t>
      </w:r>
      <w:r w:rsidRPr="00DE384A">
        <w:rPr>
          <w:u w:val="double"/>
        </w:rPr>
        <w:t>mid</w:t>
      </w:r>
      <w:r w:rsidR="00BA2558">
        <w:rPr>
          <w:u w:val="double"/>
        </w:rPr>
        <w:t>-</w:t>
      </w:r>
      <w:r w:rsidRPr="00DE384A">
        <w:rPr>
          <w:u w:val="double"/>
        </w:rPr>
        <w:t>trachea, lungs, air sacs, oviduct and joints.</w:t>
      </w:r>
    </w:p>
    <w:p w14:paraId="7682AD21" w14:textId="6A68B0B7" w:rsidR="00DE384A" w:rsidRPr="00DE384A" w:rsidRDefault="00DE384A" w:rsidP="00DE384A">
      <w:pPr>
        <w:pStyle w:val="11Para"/>
        <w:rPr>
          <w:u w:val="double"/>
        </w:rPr>
      </w:pPr>
      <w:r w:rsidRPr="00DE384A">
        <w:rPr>
          <w:u w:val="double"/>
        </w:rPr>
        <w:t>Swabs of the yolk sac should be collected during the last third of the egg incubation period where decreased hatchability of embryonated eggs has occurred (i.e. after the 15th and the 20th day of incubation in chickens and in turkeys, respectively).</w:t>
      </w:r>
    </w:p>
    <w:p w14:paraId="7FF42FFD" w14:textId="01BAAC73" w:rsidR="00186891" w:rsidRPr="00DE384A" w:rsidRDefault="00186891" w:rsidP="00A844BE">
      <w:pPr>
        <w:pStyle w:val="11Para"/>
        <w:rPr>
          <w:strike/>
        </w:rPr>
      </w:pPr>
      <w:r w:rsidRPr="00DE384A">
        <w:rPr>
          <w:strike/>
        </w:rPr>
        <w:t>From live birds, swabs may be taken from the choanal cleft, oropharynx, oesophagus, trachea, eyes, cloaca and phallus. In the case of dead birds, samples may be taken from the nasal cavity, infraorbital sinus, trachea, or air sacs. Exudates can be aspirated from the infraorbital sinuses and joint cavities.</w:t>
      </w:r>
    </w:p>
    <w:p w14:paraId="55E1F3AC" w14:textId="77777777" w:rsidR="00186891" w:rsidRPr="00E163F0" w:rsidRDefault="00186891" w:rsidP="00A844BE">
      <w:pPr>
        <w:pStyle w:val="11Para"/>
      </w:pPr>
      <w:r w:rsidRPr="00DE384A">
        <w:rPr>
          <w:strike/>
        </w:rPr>
        <w:t>Samples may also be collected from dead-in-shell embryos or chickens or poults that have broken the shell but failed to hatch.</w:t>
      </w:r>
      <w:r w:rsidRPr="00E163F0">
        <w:t xml:space="preserve"> Samples can be taken from the inner surface of the vitelline membrane, and from the oropharynx and air sacs of the embryo.</w:t>
      </w:r>
    </w:p>
    <w:p w14:paraId="584DE393" w14:textId="51641848" w:rsidR="00186891" w:rsidRPr="00E163F0" w:rsidRDefault="00186891" w:rsidP="00A844BE">
      <w:pPr>
        <w:pStyle w:val="11Para"/>
      </w:pPr>
      <w:r w:rsidRPr="00E163F0">
        <w:t xml:space="preserve">All samples should be </w:t>
      </w:r>
      <w:r w:rsidRPr="00DE384A">
        <w:rPr>
          <w:strike/>
        </w:rPr>
        <w:t xml:space="preserve">examined </w:t>
      </w:r>
      <w:r w:rsidR="00DE384A" w:rsidRPr="00DE384A">
        <w:rPr>
          <w:u w:val="double"/>
        </w:rPr>
        <w:t>tested</w:t>
      </w:r>
      <w:r w:rsidR="00DE384A">
        <w:t xml:space="preserve"> </w:t>
      </w:r>
      <w:r w:rsidRPr="00E163F0">
        <w:t xml:space="preserve">as soon as possible after collection. If transportation is necessary, </w:t>
      </w:r>
      <w:r w:rsidRPr="00DE384A">
        <w:rPr>
          <w:strike/>
        </w:rPr>
        <w:t xml:space="preserve">small pieces of tissue should be placed in mycoplasma broth, or </w:t>
      </w:r>
      <w:r w:rsidR="00DE384A" w:rsidRPr="00DE384A">
        <w:rPr>
          <w:u w:val="double"/>
        </w:rPr>
        <w:t>collected</w:t>
      </w:r>
      <w:r w:rsidR="00DE384A" w:rsidRPr="00E163F0">
        <w:t xml:space="preserve"> </w:t>
      </w:r>
      <w:r w:rsidRPr="00E163F0">
        <w:t>swabs should be vigorously agitated in 1–2 ml of mycoplasma broth and then discarded</w:t>
      </w:r>
      <w:r w:rsidR="00DE384A" w:rsidRPr="00DE384A">
        <w:rPr>
          <w:u w:val="double"/>
        </w:rPr>
        <w:t>; tissues or organs should be frozen</w:t>
      </w:r>
      <w:r w:rsidRPr="00E163F0">
        <w:t xml:space="preserve">. </w:t>
      </w:r>
      <w:r w:rsidRPr="00DE384A">
        <w:rPr>
          <w:strike/>
        </w:rPr>
        <w:t xml:space="preserve">Alternatively, the swabs can be dipped in mycoplasma broth before the specimens are taken </w:t>
      </w:r>
      <w:r w:rsidRPr="00DE384A">
        <w:rPr>
          <w:rFonts w:eastAsia="MS Mincho"/>
          <w:strike/>
        </w:rPr>
        <w:t>(</w:t>
      </w:r>
      <w:r w:rsidR="00572B91" w:rsidRPr="00DE384A">
        <w:rPr>
          <w:strike/>
        </w:rPr>
        <w:t>Zain &amp; Bradbury, 1996</w:t>
      </w:r>
      <w:r w:rsidRPr="00DE384A">
        <w:rPr>
          <w:rFonts w:eastAsia="MS Mincho"/>
          <w:strike/>
        </w:rPr>
        <w:t>)</w:t>
      </w:r>
      <w:r w:rsidRPr="00DE384A">
        <w:rPr>
          <w:strike/>
        </w:rPr>
        <w:t xml:space="preserve"> and then replaced in the swab holders for transportation.</w:t>
      </w:r>
      <w:r w:rsidRPr="00E163F0">
        <w:t xml:space="preserve"> An ice pack or some other means of chilling should be included as MG and MS die rapidly at room temperature. Serial dilutions of </w:t>
      </w:r>
      <w:r w:rsidRPr="00DE384A">
        <w:rPr>
          <w:strike/>
        </w:rPr>
        <w:t xml:space="preserve">specimens </w:t>
      </w:r>
      <w:r w:rsidR="00DE384A" w:rsidRPr="00DE384A">
        <w:rPr>
          <w:u w:val="double"/>
        </w:rPr>
        <w:t>samples should be made</w:t>
      </w:r>
      <w:r w:rsidR="00DE384A" w:rsidRPr="00E163F0">
        <w:t xml:space="preserve"> </w:t>
      </w:r>
      <w:r w:rsidRPr="00E163F0">
        <w:t xml:space="preserve">in mycoplasma broth </w:t>
      </w:r>
      <w:r w:rsidRPr="00DE384A">
        <w:rPr>
          <w:strike/>
        </w:rPr>
        <w:t xml:space="preserve">may be of value </w:t>
      </w:r>
      <w:r w:rsidRPr="00E163F0">
        <w:t>because the presence of specific antibodies</w:t>
      </w:r>
      <w:r w:rsidR="00DE384A" w:rsidRPr="00DE384A">
        <w:rPr>
          <w:u w:val="double"/>
        </w:rPr>
        <w:t>,</w:t>
      </w:r>
      <w:r w:rsidRPr="00E163F0">
        <w:t xml:space="preserve"> </w:t>
      </w:r>
      <w:r w:rsidRPr="00DE384A">
        <w:rPr>
          <w:strike/>
        </w:rPr>
        <w:t xml:space="preserve">or </w:t>
      </w:r>
      <w:r w:rsidRPr="00E163F0">
        <w:t>antibiotics or inhibitory substances in tissues may inhibit mycoplasma growth</w:t>
      </w:r>
      <w:r w:rsidRPr="00DE384A">
        <w:rPr>
          <w:strike/>
        </w:rPr>
        <w:t xml:space="preserve"> unless they are diluted out</w:t>
      </w:r>
      <w:r w:rsidRPr="00E163F0">
        <w:t>.</w:t>
      </w:r>
    </w:p>
    <w:p w14:paraId="3F20734A" w14:textId="624BA1BE" w:rsidR="00186891" w:rsidRPr="00E163F0" w:rsidRDefault="00186891" w:rsidP="00A844BE">
      <w:pPr>
        <w:pStyle w:val="11Para"/>
      </w:pPr>
      <w:r w:rsidRPr="00E163F0">
        <w:t>Several suitable culture media have been formulated</w:t>
      </w:r>
      <w:r w:rsidR="00DE384A">
        <w:t xml:space="preserve"> </w:t>
      </w:r>
      <w:r w:rsidR="00DE384A" w:rsidRPr="00DE384A">
        <w:rPr>
          <w:u w:val="double"/>
        </w:rPr>
        <w:t xml:space="preserve">to support the growth </w:t>
      </w:r>
      <w:r w:rsidR="00DE384A">
        <w:rPr>
          <w:u w:val="double"/>
        </w:rPr>
        <w:t xml:space="preserve">of </w:t>
      </w:r>
      <w:r w:rsidR="00DE384A" w:rsidRPr="00DE384A">
        <w:rPr>
          <w:u w:val="double"/>
        </w:rPr>
        <w:t>avian mycoplasma; in addition</w:t>
      </w:r>
      <w:r w:rsidR="00DE384A">
        <w:rPr>
          <w:u w:val="double"/>
        </w:rPr>
        <w:t>,</w:t>
      </w:r>
      <w:r w:rsidR="00DE384A" w:rsidRPr="00DE384A">
        <w:rPr>
          <w:u w:val="double"/>
        </w:rPr>
        <w:t xml:space="preserve"> several commercial media are also available</w:t>
      </w:r>
      <w:r w:rsidRPr="00DE384A">
        <w:rPr>
          <w:strike/>
        </w:rPr>
        <w:t xml:space="preserve"> </w:t>
      </w:r>
      <w:r w:rsidRPr="00DE384A">
        <w:rPr>
          <w:rFonts w:eastAsia="MS Mincho"/>
          <w:strike/>
        </w:rPr>
        <w:t>(</w:t>
      </w:r>
      <w:r w:rsidR="00BF0D59" w:rsidRPr="00DE384A">
        <w:rPr>
          <w:rFonts w:eastAsia="MS Mincho"/>
          <w:strike/>
        </w:rPr>
        <w:t>Freundt, 1983</w:t>
      </w:r>
      <w:r w:rsidRPr="00DE384A">
        <w:rPr>
          <w:rFonts w:eastAsia="MS Mincho"/>
          <w:strike/>
        </w:rPr>
        <w:t>)</w:t>
      </w:r>
      <w:r w:rsidRPr="00DE384A">
        <w:rPr>
          <w:strike/>
        </w:rPr>
        <w:t xml:space="preserve"> and those suitable for isolation of </w:t>
      </w:r>
      <w:r w:rsidRPr="00DE384A">
        <w:rPr>
          <w:strike/>
        </w:rPr>
        <w:lastRenderedPageBreak/>
        <w:t xml:space="preserve">avian mycoplasmas can be purchased from </w:t>
      </w:r>
      <w:r w:rsidRPr="00013228">
        <w:rPr>
          <w:i/>
          <w:strike/>
        </w:rPr>
        <w:t>Mycoplasma</w:t>
      </w:r>
      <w:r w:rsidRPr="00DE384A">
        <w:rPr>
          <w:strike/>
        </w:rPr>
        <w:t xml:space="preserve"> Experience, Reigate, Surrey, United Kingdom</w:t>
      </w:r>
      <w:r w:rsidRPr="00E163F0">
        <w:t xml:space="preserve">. </w:t>
      </w:r>
      <w:r w:rsidR="00013228" w:rsidRPr="00013228">
        <w:t>mycoplasma</w:t>
      </w:r>
      <w:r w:rsidR="00013228" w:rsidRPr="00E163F0">
        <w:t xml:space="preserve"> </w:t>
      </w:r>
      <w:r w:rsidRPr="00E163F0">
        <w:t xml:space="preserve">media generally contain a </w:t>
      </w:r>
      <w:r w:rsidRPr="00DE384A">
        <w:rPr>
          <w:strike/>
        </w:rPr>
        <w:t>protein</w:t>
      </w:r>
      <w:r w:rsidRPr="00013228">
        <w:rPr>
          <w:strike/>
        </w:rPr>
        <w:t xml:space="preserve"> </w:t>
      </w:r>
      <w:r w:rsidRPr="00E163F0">
        <w:t>digest</w:t>
      </w:r>
      <w:r w:rsidR="00DE384A" w:rsidRPr="00DE384A">
        <w:rPr>
          <w:u w:val="double"/>
        </w:rPr>
        <w:t>ed</w:t>
      </w:r>
      <w:r w:rsidRPr="009760D6">
        <w:rPr>
          <w:u w:val="double"/>
        </w:rPr>
        <w:t xml:space="preserve"> </w:t>
      </w:r>
      <w:r w:rsidR="00DE384A" w:rsidRPr="00DE384A">
        <w:rPr>
          <w:u w:val="double"/>
        </w:rPr>
        <w:t>protein</w:t>
      </w:r>
      <w:r w:rsidR="00DE384A" w:rsidRPr="00E163F0">
        <w:t xml:space="preserve"> </w:t>
      </w:r>
      <w:r w:rsidRPr="00E163F0">
        <w:t xml:space="preserve">and a meat-infusion base supplemented with serum or a serum fraction, yeast factors, glucose and bacterial inhibitors. It is important that each new batch of medium be tested with recently isolated MG cultures of low </w:t>
      </w:r>
      <w:r w:rsidRPr="00E163F0">
        <w:rPr>
          <w:i/>
          <w:iCs/>
        </w:rPr>
        <w:t>in-vitro</w:t>
      </w:r>
      <w:r w:rsidRPr="00E163F0">
        <w:t xml:space="preserve"> passage because some components, especially the yeast extract and the serum may vary in their ability to support growth.</w:t>
      </w:r>
      <w:r w:rsidR="00B45E22">
        <w:t xml:space="preserve"> </w:t>
      </w:r>
    </w:p>
    <w:p w14:paraId="5AF3C582" w14:textId="7ACB8D70" w:rsidR="00186891" w:rsidRPr="00E163F0" w:rsidRDefault="00186891" w:rsidP="00A844BE">
      <w:pPr>
        <w:pStyle w:val="11Para"/>
      </w:pPr>
      <w:r w:rsidRPr="00E163F0">
        <w:t xml:space="preserve">The medium developed by Frey </w:t>
      </w:r>
      <w:r w:rsidR="00CF5CA7" w:rsidRPr="00CF5CA7">
        <w:rPr>
          <w:i/>
        </w:rPr>
        <w:t>et al</w:t>
      </w:r>
      <w:r w:rsidRPr="00E163F0">
        <w:rPr>
          <w:i/>
        </w:rPr>
        <w:t>.</w:t>
      </w:r>
      <w:r w:rsidRPr="00E163F0">
        <w:t xml:space="preserve"> is widely used in the United States of America (USA) and other countries for isolation of MG and MS </w:t>
      </w:r>
      <w:r w:rsidRPr="00E163F0">
        <w:rPr>
          <w:rFonts w:eastAsia="MS Mincho"/>
        </w:rPr>
        <w:t>(</w:t>
      </w:r>
      <w:r w:rsidR="00572B91">
        <w:rPr>
          <w:rFonts w:eastAsia="MS Mincho"/>
        </w:rPr>
        <w:t xml:space="preserve">Frey </w:t>
      </w:r>
      <w:r w:rsidR="00CF5CA7" w:rsidRPr="00CF5CA7">
        <w:rPr>
          <w:rFonts w:eastAsia="MS Mincho"/>
          <w:i/>
        </w:rPr>
        <w:t>et al</w:t>
      </w:r>
      <w:r w:rsidR="00572B91">
        <w:rPr>
          <w:rFonts w:eastAsia="MS Mincho"/>
        </w:rPr>
        <w:t>., 1968</w:t>
      </w:r>
      <w:r w:rsidR="008E533E" w:rsidRPr="00DE384A">
        <w:rPr>
          <w:rFonts w:eastAsia="MS Mincho"/>
          <w:strike/>
        </w:rPr>
        <w:t>; USDA, 2004</w:t>
      </w:r>
      <w:r w:rsidRPr="00E163F0">
        <w:rPr>
          <w:rFonts w:eastAsia="MS Mincho"/>
        </w:rPr>
        <w:t>)</w:t>
      </w:r>
      <w:r w:rsidRPr="00E163F0">
        <w:t xml:space="preserve">. Nicotinamide adenine dinucleotide (NAD) is a growth requirement for the primary isolation of MS, but it may be omitted </w:t>
      </w:r>
      <w:r w:rsidRPr="00DE384A">
        <w:rPr>
          <w:strike/>
        </w:rPr>
        <w:t xml:space="preserve">from </w:t>
      </w:r>
      <w:r w:rsidR="00DE384A" w:rsidRPr="00DE384A">
        <w:rPr>
          <w:u w:val="double"/>
        </w:rPr>
        <w:t>in</w:t>
      </w:r>
      <w:r w:rsidR="00DE384A">
        <w:t xml:space="preserve"> </w:t>
      </w:r>
      <w:r w:rsidRPr="00E163F0">
        <w:t>the medium for the cultivation of MG.</w:t>
      </w:r>
    </w:p>
    <w:p w14:paraId="54ECEE15" w14:textId="77777777" w:rsidR="00186891" w:rsidRPr="00E163F0" w:rsidRDefault="00186891" w:rsidP="00A844BE">
      <w:pPr>
        <w:pStyle w:val="11Para"/>
      </w:pPr>
      <w:r w:rsidRPr="00E163F0">
        <w:t>The following broth and agar media are also satisfactory:</w:t>
      </w:r>
    </w:p>
    <w:p w14:paraId="20767E03" w14:textId="3C4981EE" w:rsidR="00186891" w:rsidRPr="00E163F0" w:rsidRDefault="00EF16EF" w:rsidP="00BA3280">
      <w:pPr>
        <w:pStyle w:val="paraa"/>
        <w:ind w:left="1275" w:hanging="425"/>
      </w:pPr>
      <w:r>
        <w:t>i)</w:t>
      </w:r>
      <w:r w:rsidR="00186891" w:rsidRPr="00E163F0">
        <w:tab/>
        <w:t xml:space="preserve">Part A: Pleuropneumonia-like organism (PPLO) broth base without crystal violet </w:t>
      </w:r>
      <w:r w:rsidR="00186891" w:rsidRPr="009775CA">
        <w:rPr>
          <w:strike/>
        </w:rPr>
        <w:t xml:space="preserve">(Difco) </w:t>
      </w:r>
      <w:r w:rsidR="00186891" w:rsidRPr="00E163F0">
        <w:t>(14.7 g); distilled or deionised water (700 ml).</w:t>
      </w:r>
    </w:p>
    <w:p w14:paraId="7CCCFF85" w14:textId="6DCB95E6" w:rsidR="00186891" w:rsidRPr="00E163F0" w:rsidRDefault="00EF16EF" w:rsidP="00BA3280">
      <w:pPr>
        <w:pStyle w:val="paraa"/>
        <w:ind w:left="1275" w:hanging="425"/>
      </w:pPr>
      <w:r>
        <w:t>ii)</w:t>
      </w:r>
      <w:r w:rsidR="00186891" w:rsidRPr="00E163F0">
        <w:tab/>
        <w:t xml:space="preserve">Part B: Pig serum (heated at 56°C for 1 hour) (150 ml): 25% (w/v) fresh yeast extract (100 ml); 10% (w/v) glucose solution (10 ml); 5% (w/v) </w:t>
      </w:r>
      <w:r w:rsidR="00186891" w:rsidRPr="00DE384A">
        <w:rPr>
          <w:strike/>
        </w:rPr>
        <w:t xml:space="preserve">thallous </w:t>
      </w:r>
      <w:r w:rsidR="00DE384A" w:rsidRPr="00DE384A">
        <w:rPr>
          <w:u w:val="double"/>
        </w:rPr>
        <w:t>thallium</w:t>
      </w:r>
      <w:r w:rsidR="00DE384A">
        <w:t xml:space="preserve"> </w:t>
      </w:r>
      <w:r w:rsidR="00186891" w:rsidRPr="00E163F0">
        <w:t xml:space="preserve">acetate (10 ml); 200,000 International Units (IU)/ml penicillin G (5 ml); and 0.1% (w/v) phenol red solution (20 ml). </w:t>
      </w:r>
      <w:r w:rsidR="00102617" w:rsidRPr="00DE384A">
        <w:rPr>
          <w:u w:val="double"/>
        </w:rPr>
        <w:t>Thallium</w:t>
      </w:r>
      <w:r w:rsidR="00102617">
        <w:t xml:space="preserve"> </w:t>
      </w:r>
      <w:r w:rsidR="00102617" w:rsidRPr="00102617">
        <w:rPr>
          <w:strike/>
        </w:rPr>
        <w:t>thallous</w:t>
      </w:r>
      <w:r w:rsidR="00102617">
        <w:t xml:space="preserve"> </w:t>
      </w:r>
      <w:r w:rsidR="00750F8F">
        <w:t xml:space="preserve">acetate can be toxic to humans and the precautions for its use should be followed. </w:t>
      </w:r>
      <w:r w:rsidR="00186891" w:rsidRPr="00E163F0">
        <w:t xml:space="preserve">The pH is adjusted to 7.8. </w:t>
      </w:r>
      <w:r w:rsidR="00750F8F">
        <w:t>P</w:t>
      </w:r>
      <w:r w:rsidR="00186891" w:rsidRPr="00E163F0">
        <w:t>ig serum may be replaced by horse serum, but it is important to ascertain that it supports the growth of MG.</w:t>
      </w:r>
      <w:r w:rsidR="00102617">
        <w:t xml:space="preserve"> </w:t>
      </w:r>
      <w:r w:rsidR="00102617" w:rsidRPr="00102617">
        <w:rPr>
          <w:u w:val="double"/>
        </w:rPr>
        <w:t>For primary isolation of MS in this medium</w:t>
      </w:r>
      <w:r w:rsidR="00013228">
        <w:rPr>
          <w:u w:val="double"/>
        </w:rPr>
        <w:t>,</w:t>
      </w:r>
      <w:r w:rsidR="00102617" w:rsidRPr="00102617">
        <w:rPr>
          <w:u w:val="double"/>
        </w:rPr>
        <w:t xml:space="preserve"> a mix of 10% (v/v) NAD solution (1</w:t>
      </w:r>
      <w:r w:rsidR="00102617">
        <w:rPr>
          <w:u w:val="double"/>
        </w:rPr>
        <w:t> </w:t>
      </w:r>
      <w:r w:rsidR="00102617" w:rsidRPr="00102617">
        <w:rPr>
          <w:u w:val="double"/>
        </w:rPr>
        <w:t>ml) and 10% (v/v) cysteine solution (1</w:t>
      </w:r>
      <w:r w:rsidR="00102617">
        <w:rPr>
          <w:u w:val="double"/>
        </w:rPr>
        <w:t> </w:t>
      </w:r>
      <w:r w:rsidR="00102617" w:rsidRPr="00102617">
        <w:rPr>
          <w:u w:val="double"/>
        </w:rPr>
        <w:t>ml)</w:t>
      </w:r>
      <w:r w:rsidR="00013228">
        <w:rPr>
          <w:u w:val="double"/>
        </w:rPr>
        <w:t xml:space="preserve"> is</w:t>
      </w:r>
      <w:r w:rsidR="00013228" w:rsidRPr="00013228">
        <w:rPr>
          <w:u w:val="double"/>
        </w:rPr>
        <w:t xml:space="preserve"> </w:t>
      </w:r>
      <w:r w:rsidR="00013228" w:rsidRPr="00102617">
        <w:rPr>
          <w:u w:val="double"/>
        </w:rPr>
        <w:t>also add</w:t>
      </w:r>
      <w:r w:rsidR="00013228">
        <w:rPr>
          <w:u w:val="double"/>
        </w:rPr>
        <w:t>ed.</w:t>
      </w:r>
    </w:p>
    <w:p w14:paraId="5F7387A0" w14:textId="77777777" w:rsidR="00186891" w:rsidRPr="00E163F0" w:rsidRDefault="00186891" w:rsidP="00A844BE">
      <w:pPr>
        <w:pStyle w:val="11Para"/>
      </w:pPr>
      <w:r w:rsidRPr="00E163F0">
        <w:t>Part A is autoclaved at 121°C, at 1 atmospheric pressure for 15 minutes and, after cooling, is added to Part B, which has previously been sterilised by filtration.</w:t>
      </w:r>
    </w:p>
    <w:p w14:paraId="6E26FE22" w14:textId="6039DA6F" w:rsidR="00186891" w:rsidRPr="00E163F0" w:rsidRDefault="00186891" w:rsidP="00A844BE">
      <w:pPr>
        <w:pStyle w:val="11Para"/>
      </w:pPr>
      <w:r w:rsidRPr="00E163F0">
        <w:t xml:space="preserve">For the corresponding solid medium, 10 g of purified agar, known to support the growth of </w:t>
      </w:r>
      <w:r w:rsidR="009979F1" w:rsidRPr="009979F1">
        <w:rPr>
          <w:u w:val="double"/>
        </w:rPr>
        <w:t>mycoplasma</w:t>
      </w:r>
      <w:r w:rsidR="009979F1" w:rsidRPr="00E163F0">
        <w:t xml:space="preserve"> </w:t>
      </w:r>
      <w:r w:rsidRPr="009979F1">
        <w:rPr>
          <w:strike/>
        </w:rPr>
        <w:t>MG</w:t>
      </w:r>
      <w:r w:rsidRPr="00E163F0">
        <w:t xml:space="preserve">, is added to part A above. The mixture is autoclaved as before and kept in a water bath at 56°C. The constituents of part B, omitting the phenol red, are mixed separately and then incubated at 56°C. Parts A and B are mixed carefully to avoid the production of air bubbles, and are dispensed into 50 mm dishes using 7–9 ml/dish. Excess surface moisture can be removed by a short incubation at 37°C. Plates are stored in an airtight container at approximately 4°C for up to </w:t>
      </w:r>
      <w:r w:rsidRPr="009979F1">
        <w:rPr>
          <w:strike/>
        </w:rPr>
        <w:t>2</w:t>
      </w:r>
      <w:r w:rsidR="009979F1" w:rsidRPr="009979F1">
        <w:rPr>
          <w:strike/>
        </w:rPr>
        <w:t xml:space="preserve"> </w:t>
      </w:r>
      <w:r w:rsidR="009979F1" w:rsidRPr="009979F1">
        <w:rPr>
          <w:u w:val="double"/>
        </w:rPr>
        <w:t>4</w:t>
      </w:r>
      <w:r w:rsidRPr="00E163F0">
        <w:t> weeks.</w:t>
      </w:r>
    </w:p>
    <w:p w14:paraId="68F0459A" w14:textId="1A34ED96" w:rsidR="00186891" w:rsidRPr="00E163F0" w:rsidRDefault="00186891" w:rsidP="00A844BE">
      <w:pPr>
        <w:pStyle w:val="11Para"/>
      </w:pPr>
      <w:r w:rsidRPr="00E163F0">
        <w:t>Fresh yeast extract is available commercially, although it is preferable to prepare it ‘in-house’ by taking active dry baker’s yeast (250 g) and suspending it in distilled water (1 litre). This is heated to boiling point, cooled and then centrifuged for 20 minutes at 3000 </w:t>
      </w:r>
      <w:r w:rsidRPr="00E163F0">
        <w:rPr>
          <w:b/>
          <w:bCs/>
          <w:i/>
          <w:iCs/>
        </w:rPr>
        <w:t>g</w:t>
      </w:r>
      <w:r w:rsidRPr="00E163F0">
        <w:t xml:space="preserve">. The supernatant fluid is decanted and adjusted to pH 8.0 with 0.1 M NaOH. This is clarified by centrifugation or by filtration, and then sterilised by filtration. The extract is stored at –20°C. Reagent grade glucose (10 g) is dissolved in distilled or deionised water (100 ml) and adjusted to pH 7.8–8.0 with 0.1 M NaOH. It is sterilised by filtration and stored at 4°C. Reagent grade </w:t>
      </w:r>
      <w:r w:rsidR="009979F1" w:rsidRPr="00DE384A">
        <w:rPr>
          <w:strike/>
        </w:rPr>
        <w:t xml:space="preserve">thallous </w:t>
      </w:r>
      <w:r w:rsidR="009979F1" w:rsidRPr="00DE384A">
        <w:rPr>
          <w:u w:val="double"/>
        </w:rPr>
        <w:t>thallium</w:t>
      </w:r>
      <w:r w:rsidR="009979F1">
        <w:t xml:space="preserve"> </w:t>
      </w:r>
      <w:r w:rsidRPr="00E163F0">
        <w:t>acetate is dissolved (5 g) in distilled or deionised water (100 ml), filter-sterilised and stored at –20°C. Penicillin solution (10</w:t>
      </w:r>
      <w:r w:rsidRPr="00E51C77">
        <w:rPr>
          <w:vertAlign w:val="superscript"/>
        </w:rPr>
        <w:t>6 </w:t>
      </w:r>
      <w:r w:rsidRPr="00E163F0">
        <w:t xml:space="preserve">IU benzyl penicillin in 5 ml distilled water) is stored at 4°C, and has a shelf life of 1 week. For isolation from heavily contaminated samples, penicillin concentration can be increased to 2000 units/ml or ampicillin, 0.5–1.0 mg/ml, maybe used instead. Phenol red (0.1 g) is ground in 0.1 M NaOH (2.8 ml), and then made up to 100 ml in sterile distilled water and autoclaved at 115°C at 1 atmosphere for 30 minutes. It is stored at 4°C. (Note: </w:t>
      </w:r>
      <w:r w:rsidR="009979F1" w:rsidRPr="00DE384A">
        <w:rPr>
          <w:strike/>
        </w:rPr>
        <w:t xml:space="preserve">thallous </w:t>
      </w:r>
      <w:r w:rsidR="009979F1" w:rsidRPr="00DE384A">
        <w:rPr>
          <w:u w:val="double"/>
        </w:rPr>
        <w:t>thallium</w:t>
      </w:r>
      <w:r w:rsidR="009979F1">
        <w:t xml:space="preserve"> </w:t>
      </w:r>
      <w:r w:rsidRPr="00E163F0">
        <w:t>acetate is highly toxic and care should be taken, especially when preparing the stock solution.)</w:t>
      </w:r>
    </w:p>
    <w:p w14:paraId="64AB0A79" w14:textId="5D2F7C25" w:rsidR="00186891" w:rsidRPr="00E163F0" w:rsidRDefault="00186891" w:rsidP="00A844BE">
      <w:pPr>
        <w:pStyle w:val="11Para"/>
      </w:pPr>
      <w:r w:rsidRPr="00E163F0">
        <w:t xml:space="preserve">Specimens are inoculated on to </w:t>
      </w:r>
      <w:r w:rsidR="009979F1" w:rsidRPr="009979F1">
        <w:rPr>
          <w:u w:val="double"/>
        </w:rPr>
        <w:t>both</w:t>
      </w:r>
      <w:r w:rsidR="009979F1">
        <w:t xml:space="preserve"> </w:t>
      </w:r>
      <w:r w:rsidRPr="00E163F0">
        <w:t>mycoplasma agar and into broth. Solid medium may help detection of slow-growing mycoplasma</w:t>
      </w:r>
      <w:r w:rsidR="009979F1" w:rsidRPr="009979F1">
        <w:rPr>
          <w:u w:val="double"/>
        </w:rPr>
        <w:t>s</w:t>
      </w:r>
      <w:r w:rsidRPr="009979F1">
        <w:rPr>
          <w:strike/>
        </w:rPr>
        <w:t xml:space="preserve"> colonies</w:t>
      </w:r>
      <w:r w:rsidRPr="00E163F0">
        <w:t>, which can be overgrown by saprophytes in broth. It may be necessary to make serial dilutions up to 10</w:t>
      </w:r>
      <w:r w:rsidRPr="00E51C77">
        <w:rPr>
          <w:vertAlign w:val="superscript"/>
        </w:rPr>
        <w:t>–3</w:t>
      </w:r>
      <w:r w:rsidRPr="00E163F0">
        <w:t xml:space="preserve"> for successful isolation. Inoculated plates are incubated at 37°C in sealed containers. Increased humidity and CO</w:t>
      </w:r>
      <w:r w:rsidRPr="00E51C77">
        <w:rPr>
          <w:vertAlign w:val="subscript"/>
        </w:rPr>
        <w:t>2</w:t>
      </w:r>
      <w:r w:rsidRPr="00E163F0">
        <w:t xml:space="preserve"> tension in the atmosphere have been reported to enhance growth; these conditions may be obtained by</w:t>
      </w:r>
      <w:r w:rsidR="009979F1" w:rsidRPr="009979F1">
        <w:rPr>
          <w:u w:val="double"/>
        </w:rPr>
        <w:t>:</w:t>
      </w:r>
      <w:r w:rsidRPr="00E163F0">
        <w:t xml:space="preserve"> the inclusion of damp paper or cotton wool</w:t>
      </w:r>
      <w:r w:rsidR="009979F1" w:rsidRPr="009979F1">
        <w:rPr>
          <w:u w:val="double"/>
        </w:rPr>
        <w:t>;</w:t>
      </w:r>
      <w:r w:rsidRPr="00E163F0">
        <w:t xml:space="preserve"> </w:t>
      </w:r>
      <w:r w:rsidRPr="009979F1">
        <w:rPr>
          <w:strike/>
        </w:rPr>
        <w:t xml:space="preserve">and by </w:t>
      </w:r>
      <w:r w:rsidRPr="00E163F0">
        <w:t>flushing the container with 5–10% CO</w:t>
      </w:r>
      <w:r w:rsidRPr="00E51C77">
        <w:rPr>
          <w:vertAlign w:val="subscript"/>
        </w:rPr>
        <w:t>2</w:t>
      </w:r>
      <w:r w:rsidRPr="00E163F0">
        <w:t xml:space="preserve"> in nitrogen, </w:t>
      </w:r>
      <w:r w:rsidRPr="009979F1">
        <w:rPr>
          <w:strike/>
        </w:rPr>
        <w:t xml:space="preserve">by </w:t>
      </w:r>
      <w:r w:rsidRPr="00E163F0">
        <w:t>placing a lighted candle in the container</w:t>
      </w:r>
      <w:r w:rsidR="009979F1" w:rsidRPr="009979F1">
        <w:rPr>
          <w:u w:val="double"/>
        </w:rPr>
        <w:t>;</w:t>
      </w:r>
      <w:r w:rsidRPr="00E163F0">
        <w:t xml:space="preserve"> or by using a CO</w:t>
      </w:r>
      <w:r w:rsidRPr="00E51C77">
        <w:rPr>
          <w:vertAlign w:val="subscript"/>
        </w:rPr>
        <w:t>2</w:t>
      </w:r>
      <w:r w:rsidRPr="00E163F0">
        <w:t xml:space="preserve"> incubator or suitable gas-generating system.</w:t>
      </w:r>
    </w:p>
    <w:p w14:paraId="10BDA285" w14:textId="2C9359B7" w:rsidR="00186891" w:rsidRPr="00E163F0" w:rsidRDefault="00186891" w:rsidP="00A844BE">
      <w:pPr>
        <w:pStyle w:val="11Para"/>
      </w:pPr>
      <w:r w:rsidRPr="00E163F0">
        <w:t xml:space="preserve">The caps of liquid medium containers should be tightly sealed before incubation at 37°C to avoid spurious changes in pH. For the first few days, the plates are examined daily for colonies with a stereoscopic microscope; after that they are examined less frequently. Cultures from field material should </w:t>
      </w:r>
      <w:r w:rsidRPr="009979F1">
        <w:rPr>
          <w:strike/>
        </w:rPr>
        <w:t xml:space="preserve">not be discarded as negative </w:t>
      </w:r>
      <w:r w:rsidR="009979F1" w:rsidRPr="009979F1">
        <w:rPr>
          <w:u w:val="double"/>
        </w:rPr>
        <w:t>be kept</w:t>
      </w:r>
      <w:r w:rsidR="009979F1">
        <w:t xml:space="preserve"> f</w:t>
      </w:r>
      <w:r w:rsidRPr="00E163F0">
        <w:t>or at least 20 days</w:t>
      </w:r>
      <w:r w:rsidR="009979F1">
        <w:t xml:space="preserve"> </w:t>
      </w:r>
      <w:r w:rsidR="009979F1" w:rsidRPr="009979F1">
        <w:rPr>
          <w:u w:val="double"/>
        </w:rPr>
        <w:t>before discarding</w:t>
      </w:r>
      <w:r w:rsidRPr="00E163F0">
        <w:t>.</w:t>
      </w:r>
    </w:p>
    <w:p w14:paraId="06857FA5" w14:textId="28404792" w:rsidR="00E53ED2" w:rsidRPr="00E163F0" w:rsidRDefault="00E53ED2" w:rsidP="00E53ED2">
      <w:pPr>
        <w:pStyle w:val="11Para"/>
      </w:pPr>
      <w:r w:rsidRPr="00E163F0">
        <w:t xml:space="preserve">Broth </w:t>
      </w:r>
      <w:r w:rsidRPr="00E53ED2">
        <w:rPr>
          <w:strike/>
        </w:rPr>
        <w:t xml:space="preserve">medium </w:t>
      </w:r>
      <w:r w:rsidRPr="00E53ED2">
        <w:rPr>
          <w:u w:val="double"/>
        </w:rPr>
        <w:t>cultures</w:t>
      </w:r>
      <w:r w:rsidRPr="00E163F0">
        <w:t xml:space="preserve"> should be examined daily for </w:t>
      </w:r>
      <w:r w:rsidRPr="00E53ED2">
        <w:rPr>
          <w:strike/>
        </w:rPr>
        <w:t xml:space="preserve">acidity, indicated by a change from red to orange or yellow in the indicator </w:t>
      </w:r>
      <w:r w:rsidRPr="00E53ED2">
        <w:rPr>
          <w:u w:val="double"/>
        </w:rPr>
        <w:t>changes in colour and/or in turbidity. Most mycoplasmas</w:t>
      </w:r>
      <w:r w:rsidR="00835A36">
        <w:rPr>
          <w:u w:val="double"/>
        </w:rPr>
        <w:t>,</w:t>
      </w:r>
      <w:r w:rsidRPr="00E53ED2">
        <w:rPr>
          <w:u w:val="double"/>
        </w:rPr>
        <w:t xml:space="preserve"> including MG and MS, metabolise sugar</w:t>
      </w:r>
      <w:r w:rsidR="00835A36">
        <w:rPr>
          <w:u w:val="double"/>
        </w:rPr>
        <w:t>-</w:t>
      </w:r>
      <w:r w:rsidRPr="00E53ED2">
        <w:rPr>
          <w:u w:val="double"/>
        </w:rPr>
        <w:t xml:space="preserve">producing acid causing a change in the pH of the medium from red/orange to yellow. Other mycoplasmas hydrolyse arginine creating alkaline conditions causing a change </w:t>
      </w:r>
      <w:r w:rsidR="00835A36">
        <w:rPr>
          <w:u w:val="double"/>
        </w:rPr>
        <w:t>in</w:t>
      </w:r>
      <w:r w:rsidRPr="00E53ED2">
        <w:rPr>
          <w:u w:val="double"/>
        </w:rPr>
        <w:t xml:space="preserve"> pH and consequentially of broth colour from red/orange to strong red or fuchsia</w:t>
      </w:r>
      <w:r>
        <w:t>.</w:t>
      </w:r>
      <w:r w:rsidRPr="00E163F0">
        <w:t xml:space="preserve"> Any observable growth </w:t>
      </w:r>
      <w:r w:rsidRPr="00E53ED2">
        <w:rPr>
          <w:u w:val="double"/>
        </w:rPr>
        <w:t>in broth</w:t>
      </w:r>
      <w:r>
        <w:t xml:space="preserve"> </w:t>
      </w:r>
      <w:r w:rsidRPr="00E163F0">
        <w:lastRenderedPageBreak/>
        <w:t xml:space="preserve">is subcultured onto solid medium immediately. </w:t>
      </w:r>
      <w:r w:rsidRPr="00E53ED2">
        <w:rPr>
          <w:strike/>
        </w:rPr>
        <w:t xml:space="preserve">Even </w:t>
      </w:r>
      <w:r>
        <w:t>I</w:t>
      </w:r>
      <w:r w:rsidRPr="00E163F0">
        <w:t>f</w:t>
      </w:r>
      <w:r>
        <w:t xml:space="preserve"> </w:t>
      </w:r>
      <w:r w:rsidRPr="00E53ED2">
        <w:rPr>
          <w:u w:val="double"/>
        </w:rPr>
        <w:t>there is</w:t>
      </w:r>
      <w:r w:rsidRPr="00E163F0">
        <w:t xml:space="preserve"> no colour change </w:t>
      </w:r>
      <w:r w:rsidRPr="00E53ED2">
        <w:rPr>
          <w:strike/>
        </w:rPr>
        <w:t xml:space="preserve">occurs </w:t>
      </w:r>
      <w:r w:rsidRPr="00E53ED2">
        <w:rPr>
          <w:u w:val="double"/>
        </w:rPr>
        <w:t>after 7–14 days, the broth should be</w:t>
      </w:r>
      <w:r w:rsidRPr="00E53ED2">
        <w:t xml:space="preserve"> </w:t>
      </w:r>
      <w:r w:rsidRPr="00E163F0">
        <w:t>subculture</w:t>
      </w:r>
      <w:r w:rsidRPr="00E53ED2">
        <w:rPr>
          <w:u w:val="double"/>
        </w:rPr>
        <w:t>d</w:t>
      </w:r>
      <w:r w:rsidRPr="00E163F0">
        <w:t xml:space="preserve"> onto solid medium</w:t>
      </w:r>
      <w:r w:rsidR="00556817" w:rsidRPr="00556817">
        <w:rPr>
          <w:strike/>
        </w:rPr>
        <w:t xml:space="preserve"> should be made after 7–10 days or earlier as</w:t>
      </w:r>
      <w:r w:rsidRPr="00556817">
        <w:rPr>
          <w:u w:val="double"/>
        </w:rPr>
        <w:t>.</w:t>
      </w:r>
      <w:r>
        <w:t xml:space="preserve"> </w:t>
      </w:r>
      <w:r w:rsidRPr="00556817">
        <w:rPr>
          <w:u w:val="double"/>
        </w:rPr>
        <w:t>This should be done because</w:t>
      </w:r>
      <w:r w:rsidRPr="00E163F0">
        <w:t xml:space="preserve"> the presence of an arginine-hydrolysing (alkali-producing) mycoplasma species may mask the acid colour change produced by MG</w:t>
      </w:r>
      <w:r>
        <w:t xml:space="preserve"> </w:t>
      </w:r>
      <w:r w:rsidRPr="00556817">
        <w:rPr>
          <w:u w:val="double"/>
        </w:rPr>
        <w:t>or MS, or because there might be mycoplasma strains with less active metabolism</w:t>
      </w:r>
      <w:r>
        <w:t xml:space="preserve">. </w:t>
      </w:r>
    </w:p>
    <w:p w14:paraId="52BD1D28" w14:textId="77777777" w:rsidR="00186891" w:rsidRPr="00E163F0" w:rsidRDefault="00186891" w:rsidP="00A844BE">
      <w:pPr>
        <w:pStyle w:val="11Para"/>
      </w:pPr>
      <w:r w:rsidRPr="00E163F0">
        <w:t>Mycoplasma colonies on solid medium can usually be recognised, although they may not have the typical ‘fried egg’ appearance. Bacterial colonies may appear on the first passage, but they are often more pigmented and fail to passage on mycoplasma media.</w:t>
      </w:r>
    </w:p>
    <w:p w14:paraId="3C146D5C" w14:textId="77777777" w:rsidR="00186891" w:rsidRPr="00E163F0" w:rsidRDefault="00186891" w:rsidP="00A844BE">
      <w:pPr>
        <w:pStyle w:val="11Para"/>
      </w:pPr>
      <w:r w:rsidRPr="00E163F0">
        <w:t>Biochemical reactions (e.g. fermentation of glucose and failure to hydrolyse arginine) can assist in identification, but they are not specific for MG or MS and necessitate purification of the culture by cloning.</w:t>
      </w:r>
    </w:p>
    <w:p w14:paraId="76B4367D" w14:textId="677DBF58" w:rsidR="00186891" w:rsidRPr="00E163F0" w:rsidRDefault="00186891" w:rsidP="00A844BE">
      <w:pPr>
        <w:pStyle w:val="11Para"/>
      </w:pPr>
      <w:r w:rsidRPr="00E163F0">
        <w:t xml:space="preserve">Immunological and DNA detection methods can be used to identify mycoplasma isolates. They include the </w:t>
      </w:r>
      <w:r w:rsidR="00F46D4D" w:rsidRPr="00F46D4D">
        <w:rPr>
          <w:u w:val="double"/>
        </w:rPr>
        <w:t>growth inhibition (GI); and metabolism inhibition (MI)</w:t>
      </w:r>
      <w:r w:rsidR="00F46D4D" w:rsidRPr="00F46D4D">
        <w:t xml:space="preserve"> </w:t>
      </w:r>
      <w:r w:rsidRPr="00E163F0">
        <w:t xml:space="preserve">indirect fluorescent antibody (IFA) and immunoperoxidase (IP) tests, </w:t>
      </w:r>
      <w:r w:rsidRPr="00F46D4D">
        <w:rPr>
          <w:strike/>
        </w:rPr>
        <w:t xml:space="preserve">both of which are </w:t>
      </w:r>
      <w:r w:rsidR="00F46D4D" w:rsidRPr="00F46D4D">
        <w:rPr>
          <w:u w:val="double"/>
        </w:rPr>
        <w:t>the latter two can be considered</w:t>
      </w:r>
      <w:r w:rsidR="00F46D4D">
        <w:t xml:space="preserve"> </w:t>
      </w:r>
      <w:r w:rsidRPr="00E163F0">
        <w:t xml:space="preserve">simple, sensitive </w:t>
      </w:r>
      <w:r w:rsidR="00F46D4D" w:rsidRPr="00F46D4D">
        <w:rPr>
          <w:u w:val="double"/>
        </w:rPr>
        <w:t>and</w:t>
      </w:r>
      <w:r w:rsidR="00F46D4D">
        <w:t xml:space="preserve"> </w:t>
      </w:r>
      <w:r w:rsidRPr="00E163F0">
        <w:t xml:space="preserve">specific </w:t>
      </w:r>
      <w:r w:rsidRPr="00F46D4D">
        <w:rPr>
          <w:strike/>
        </w:rPr>
        <w:t>and rapid to perform; growth inhibition (GI); and metabolism inhibition (MI)</w:t>
      </w:r>
      <w:r w:rsidRPr="00E163F0">
        <w:t xml:space="preserve">. Purified </w:t>
      </w:r>
      <w:r w:rsidRPr="00F46D4D">
        <w:rPr>
          <w:strike/>
        </w:rPr>
        <w:t xml:space="preserve">(cloned) </w:t>
      </w:r>
      <w:r w:rsidRPr="00E163F0">
        <w:t xml:space="preserve">cultures </w:t>
      </w:r>
      <w:r w:rsidR="00F46D4D" w:rsidRPr="00F46D4D">
        <w:rPr>
          <w:u w:val="double"/>
        </w:rPr>
        <w:t>(produced by one colony)</w:t>
      </w:r>
      <w:r w:rsidR="00F46D4D" w:rsidRPr="00E163F0">
        <w:t xml:space="preserve"> </w:t>
      </w:r>
      <w:r w:rsidRPr="00E163F0">
        <w:t>are required for the GI and MI tests, but not for the IFA or IP test. IFA and IP can detect the presence of more than one species of mycoplasma, as</w:t>
      </w:r>
      <w:r w:rsidR="00F46D4D">
        <w:t xml:space="preserve"> </w:t>
      </w:r>
      <w:r w:rsidR="00F46D4D" w:rsidRPr="00F46D4D">
        <w:rPr>
          <w:u w:val="double"/>
        </w:rPr>
        <w:t>only</w:t>
      </w:r>
      <w:r w:rsidRPr="00E163F0">
        <w:t xml:space="preserve"> the colonies specific for the antiserum will react</w:t>
      </w:r>
      <w:r w:rsidRPr="00F46D4D">
        <w:rPr>
          <w:strike/>
        </w:rPr>
        <w:t xml:space="preserve"> while the others will not</w:t>
      </w:r>
      <w:r w:rsidRPr="00E163F0">
        <w:t xml:space="preserve">. However, </w:t>
      </w:r>
      <w:r w:rsidRPr="00E163F0">
        <w:rPr>
          <w:i/>
          <w:iCs/>
        </w:rPr>
        <w:t>M. imitans</w:t>
      </w:r>
      <w:r w:rsidRPr="00E163F0">
        <w:t xml:space="preserve">, a mycoplasma species that is serologically </w:t>
      </w:r>
      <w:r w:rsidR="00F46D4D" w:rsidRPr="00F46D4D">
        <w:rPr>
          <w:u w:val="double"/>
        </w:rPr>
        <w:t>and biochemically similar</w:t>
      </w:r>
      <w:r w:rsidR="00F46D4D">
        <w:t xml:space="preserve"> </w:t>
      </w:r>
      <w:r w:rsidRPr="00F46D4D">
        <w:rPr>
          <w:strike/>
        </w:rPr>
        <w:t xml:space="preserve">related </w:t>
      </w:r>
      <w:r w:rsidRPr="00E163F0">
        <w:t xml:space="preserve">to MG </w:t>
      </w:r>
      <w:r w:rsidRPr="00F46D4D">
        <w:rPr>
          <w:strike/>
        </w:rPr>
        <w:t xml:space="preserve">and that presents the same biochemical properties </w:t>
      </w:r>
      <w:r w:rsidRPr="00E163F0">
        <w:t xml:space="preserve">has been isolated from ducks, geese and sometimes from other nondomestic bird species in some countries. It may be distinguished from MG by use of </w:t>
      </w:r>
      <w:r w:rsidR="00F46D4D" w:rsidRPr="00F46D4D">
        <w:rPr>
          <w:u w:val="double"/>
        </w:rPr>
        <w:t>specific biomolecular methods</w:t>
      </w:r>
      <w:r w:rsidR="00F46D4D" w:rsidRPr="00F46D4D">
        <w:rPr>
          <w:strike/>
        </w:rPr>
        <w:t xml:space="preserve"> </w:t>
      </w:r>
      <w:r w:rsidRPr="00F46D4D">
        <w:rPr>
          <w:strike/>
        </w:rPr>
        <w:t xml:space="preserve">a PCR-RFLP (polymerase chain reaction/restriction fragment length polymorphism), as described by Kempf </w:t>
      </w:r>
      <w:r w:rsidRPr="00F46D4D">
        <w:rPr>
          <w:rFonts w:eastAsia="MS Mincho"/>
          <w:strike/>
        </w:rPr>
        <w:t>(</w:t>
      </w:r>
      <w:r w:rsidR="00572B91" w:rsidRPr="00F46D4D">
        <w:rPr>
          <w:rFonts w:eastAsia="MS Mincho"/>
          <w:strike/>
        </w:rPr>
        <w:t>1998</w:t>
      </w:r>
      <w:r w:rsidRPr="00F46D4D">
        <w:rPr>
          <w:rFonts w:eastAsia="MS Mincho"/>
          <w:strike/>
        </w:rPr>
        <w:t>)</w:t>
      </w:r>
      <w:r w:rsidRPr="00E163F0">
        <w:t xml:space="preserve">. Alternatively, colonies of the isolate can be examined by immunofluorescence using serial dilutions of antisera to MG and </w:t>
      </w:r>
      <w:r w:rsidRPr="00E163F0">
        <w:rPr>
          <w:i/>
          <w:iCs/>
        </w:rPr>
        <w:t>M. imitans</w:t>
      </w:r>
      <w:r w:rsidRPr="00E163F0">
        <w:t xml:space="preserve"> in parallel. The homologous antiserum should have a considerably higher titre.</w:t>
      </w:r>
    </w:p>
    <w:p w14:paraId="7A9B51F7" w14:textId="30D9E7AF" w:rsidR="00186891" w:rsidRPr="00ED55BE" w:rsidRDefault="00186891" w:rsidP="00A844BE">
      <w:pPr>
        <w:pStyle w:val="11Para"/>
      </w:pPr>
      <w:r w:rsidRPr="00E163F0">
        <w:t xml:space="preserve">DNA detection methods for identifying MG or MS directly in tissues or for identifying laboratory isolates are discussed below and are usually based on the </w:t>
      </w:r>
      <w:r w:rsidR="00ED55BE" w:rsidRPr="00ED55BE">
        <w:t xml:space="preserve">polymerase chain reaction </w:t>
      </w:r>
      <w:r w:rsidR="00ED55BE">
        <w:t>(</w:t>
      </w:r>
      <w:r w:rsidR="00ED55BE" w:rsidRPr="00ED55BE">
        <w:t>PCR</w:t>
      </w:r>
      <w:r w:rsidR="00ED55BE">
        <w:t>)</w:t>
      </w:r>
      <w:r w:rsidRPr="00ED55BE">
        <w:t>.</w:t>
      </w:r>
    </w:p>
    <w:p w14:paraId="33A47AF9" w14:textId="34D0663F" w:rsidR="00186891" w:rsidRPr="00E163F0" w:rsidRDefault="00186891" w:rsidP="00A844BE">
      <w:pPr>
        <w:pStyle w:val="11Para"/>
      </w:pPr>
      <w:r w:rsidRPr="00E163F0">
        <w:t xml:space="preserve">In certain circumstances where results of the above methods are not conclusive, inoculation of chick embryos or bioassays in live chicks may be appropriate. </w:t>
      </w:r>
      <w:r w:rsidR="00923708" w:rsidRPr="00E163F0">
        <w:t>However,</w:t>
      </w:r>
      <w:r w:rsidRPr="00E163F0">
        <w:t xml:space="preserve"> these techniques are time-consuming and costly</w:t>
      </w:r>
      <w:r w:rsidR="00A46E21">
        <w:t>,</w:t>
      </w:r>
      <w:r w:rsidRPr="00E163F0">
        <w:t xml:space="preserve"> and </w:t>
      </w:r>
      <w:r w:rsidRPr="00A46E21">
        <w:rPr>
          <w:strike/>
        </w:rPr>
        <w:t xml:space="preserve">tend to </w:t>
      </w:r>
      <w:r w:rsidRPr="00E163F0">
        <w:t xml:space="preserve">have </w:t>
      </w:r>
      <w:r w:rsidR="00A46E21" w:rsidRPr="00A46E21">
        <w:rPr>
          <w:u w:val="double"/>
        </w:rPr>
        <w:t>largely</w:t>
      </w:r>
      <w:r w:rsidR="00A46E21">
        <w:t xml:space="preserve"> </w:t>
      </w:r>
      <w:r w:rsidRPr="00E163F0">
        <w:t xml:space="preserve">been replaced by PCR technology, although they remain a useful research tool. The specimens required for inoculation of chicken embryos are the same as those used for the inoculation of artificial media. They are prepared in broth from which </w:t>
      </w:r>
      <w:r w:rsidR="00A46E21" w:rsidRPr="00DE384A">
        <w:rPr>
          <w:strike/>
        </w:rPr>
        <w:t xml:space="preserve">thallous </w:t>
      </w:r>
      <w:r w:rsidR="00A46E21" w:rsidRPr="00DE384A">
        <w:rPr>
          <w:u w:val="double"/>
        </w:rPr>
        <w:t>thallium</w:t>
      </w:r>
      <w:r w:rsidR="00A46E21">
        <w:t xml:space="preserve"> </w:t>
      </w:r>
      <w:r w:rsidRPr="00E163F0">
        <w:t>acetate is omitted, incubated for 30–60 minutes at 37°C, and then a 0.05–0.1 ml aliquot is inoculated into the yolk sac of several 6</w:t>
      </w:r>
      <w:r w:rsidR="00F46D4D">
        <w:t xml:space="preserve">- to </w:t>
      </w:r>
      <w:r w:rsidRPr="00E163F0">
        <w:t>8-day-old chicken embryos derived from mycoplasma-free flocks. The eggs are candled daily and embryos that die within 24 hours of inoculation are discarded. Any further dead embryos are kept refrigerated until cultured and those surviving after 5 days are placed at 4°C for 4 hours to kill them and to reduce haemorrhages on opening. The yolk is subcultured into broth and on to agar. Yolk lipid tends to obscure colonies</w:t>
      </w:r>
      <w:r w:rsidR="00722D5D">
        <w:t>,</w:t>
      </w:r>
      <w:r w:rsidRPr="00E163F0">
        <w:t xml:space="preserve"> so it is essential to streak the yolk thinly or, preferably, to dilute it first in mycoplasma broth.</w:t>
      </w:r>
    </w:p>
    <w:p w14:paraId="480E813E" w14:textId="77777777" w:rsidR="00186891" w:rsidRPr="00E32E9E" w:rsidRDefault="00186891" w:rsidP="00A844BE">
      <w:pPr>
        <w:pStyle w:val="11Para"/>
        <w:rPr>
          <w:strike/>
        </w:rPr>
      </w:pPr>
      <w:r w:rsidRPr="00E32E9E">
        <w:rPr>
          <w:strike/>
        </w:rPr>
        <w:t xml:space="preserve">Bioassays may be performed by the inoculation of a homogenate of suspect material into at least four 8–16 week-old susceptible mycoplasma-free chickens. Diagnosis is confirmed by the recovery of the mycoplasma from these birds, demonstration of its DNA and/or the demonstration of specific antibodies </w:t>
      </w:r>
      <w:r w:rsidRPr="00E32E9E">
        <w:rPr>
          <w:rFonts w:eastAsia="MS Mincho"/>
          <w:strike/>
        </w:rPr>
        <w:t>(</w:t>
      </w:r>
      <w:r w:rsidR="00572B91" w:rsidRPr="00E32E9E">
        <w:rPr>
          <w:rFonts w:eastAsia="MS Mincho"/>
          <w:strike/>
        </w:rPr>
        <w:t xml:space="preserve">Mallinson </w:t>
      </w:r>
      <w:r w:rsidR="00CF5CA7" w:rsidRPr="00E32E9E">
        <w:rPr>
          <w:rFonts w:eastAsia="MS Mincho"/>
          <w:i/>
          <w:strike/>
        </w:rPr>
        <w:t>et al</w:t>
      </w:r>
      <w:r w:rsidR="00572B91" w:rsidRPr="00E32E9E">
        <w:rPr>
          <w:rFonts w:eastAsia="MS Mincho"/>
          <w:strike/>
        </w:rPr>
        <w:t>., 1981</w:t>
      </w:r>
      <w:r w:rsidRPr="00E32E9E">
        <w:rPr>
          <w:rFonts w:eastAsia="MS Mincho"/>
          <w:strike/>
        </w:rPr>
        <w:t>)</w:t>
      </w:r>
      <w:r w:rsidRPr="00E32E9E">
        <w:rPr>
          <w:strike/>
        </w:rPr>
        <w:t>.</w:t>
      </w:r>
    </w:p>
    <w:p w14:paraId="6F80F8BE" w14:textId="253B18FB" w:rsidR="00186891" w:rsidRPr="00E163F0" w:rsidRDefault="00D609A7" w:rsidP="00A844BE">
      <w:pPr>
        <w:pStyle w:val="11"/>
      </w:pPr>
      <w:r>
        <w:t>1.2.</w:t>
      </w:r>
      <w:r w:rsidR="00186891" w:rsidRPr="00E163F0">
        <w:tab/>
      </w:r>
      <w:r w:rsidR="00E32E9E" w:rsidRPr="00E32E9E">
        <w:rPr>
          <w:u w:val="double"/>
        </w:rPr>
        <w:t>Antigen detection</w:t>
      </w:r>
      <w:r w:rsidR="00E32E9E">
        <w:t xml:space="preserve"> </w:t>
      </w:r>
      <w:r w:rsidR="00186891" w:rsidRPr="00E32E9E">
        <w:rPr>
          <w:strike/>
        </w:rPr>
        <w:t>Immunological methods</w:t>
      </w:r>
    </w:p>
    <w:p w14:paraId="41D38D54" w14:textId="6CDFC980" w:rsidR="00186891" w:rsidRPr="00E163F0" w:rsidRDefault="00186891" w:rsidP="00A844BE">
      <w:pPr>
        <w:pStyle w:val="11Para"/>
      </w:pPr>
      <w:r w:rsidRPr="00E163F0">
        <w:t xml:space="preserve">Immunofluorescence and IP procedures for diagnosis are generally applied to suspect </w:t>
      </w:r>
      <w:r w:rsidRPr="00E32E9E">
        <w:rPr>
          <w:strike/>
        </w:rPr>
        <w:t xml:space="preserve">laboratory </w:t>
      </w:r>
      <w:r w:rsidRPr="00E163F0">
        <w:t xml:space="preserve">isolates rather than directly to infected exudates or tissues. This is because the organisms are too small to recognise conclusively under the light microscope and because </w:t>
      </w:r>
      <w:r w:rsidRPr="00E32E9E">
        <w:rPr>
          <w:strike/>
        </w:rPr>
        <w:t xml:space="preserve">the </w:t>
      </w:r>
      <w:r w:rsidRPr="00E163F0">
        <w:t xml:space="preserve">corresponding negative and positive control </w:t>
      </w:r>
      <w:r w:rsidRPr="00E32E9E">
        <w:rPr>
          <w:strike/>
        </w:rPr>
        <w:t xml:space="preserve">exudate/tissue is </w:t>
      </w:r>
      <w:r w:rsidR="00E32E9E" w:rsidRPr="00E32E9E">
        <w:rPr>
          <w:u w:val="double"/>
        </w:rPr>
        <w:t>samples are</w:t>
      </w:r>
      <w:r w:rsidR="00E32E9E">
        <w:t xml:space="preserve"> </w:t>
      </w:r>
      <w:r w:rsidRPr="00E163F0">
        <w:t>unlikely to be readily available.</w:t>
      </w:r>
    </w:p>
    <w:p w14:paraId="6BE1B68A" w14:textId="77777777" w:rsidR="00186891" w:rsidRPr="00E163F0" w:rsidRDefault="00D609A7" w:rsidP="00F56D25">
      <w:pPr>
        <w:pStyle w:val="111"/>
      </w:pPr>
      <w:r>
        <w:t>1.</w:t>
      </w:r>
      <w:r w:rsidR="008E533E">
        <w:t>2.1.</w:t>
      </w:r>
      <w:r w:rsidR="00186891" w:rsidRPr="00E163F0">
        <w:tab/>
        <w:t>Indirect fluorescent antibody test</w:t>
      </w:r>
    </w:p>
    <w:p w14:paraId="4D24C2F8" w14:textId="0B6ED271" w:rsidR="00186891" w:rsidRPr="00E163F0" w:rsidRDefault="00186891" w:rsidP="00F56D25">
      <w:pPr>
        <w:pStyle w:val="111Para"/>
      </w:pPr>
      <w:r w:rsidRPr="00E163F0">
        <w:t xml:space="preserve">The recommended technique for the IFA test </w:t>
      </w:r>
      <w:r w:rsidRPr="00E163F0">
        <w:rPr>
          <w:rFonts w:eastAsia="MS Mincho"/>
        </w:rPr>
        <w:t>(</w:t>
      </w:r>
      <w:r w:rsidR="00572B91" w:rsidRPr="00572B91">
        <w:t>Rosendal &amp; Black, 1972</w:t>
      </w:r>
      <w:r w:rsidRPr="00E163F0">
        <w:rPr>
          <w:rFonts w:eastAsia="MS Mincho"/>
        </w:rPr>
        <w:t>)</w:t>
      </w:r>
      <w:r w:rsidRPr="00E163F0">
        <w:t xml:space="preserve"> requires an agar culture of the unknown isolate, consisting of numerous small discrete colonies, a known MG or MS culture as a positive control, and a culture of another mycoplasma species, such as </w:t>
      </w:r>
      <w:r w:rsidRPr="00E163F0">
        <w:rPr>
          <w:i/>
          <w:iCs/>
        </w:rPr>
        <w:t>M. gallinaceum</w:t>
      </w:r>
      <w:r w:rsidRPr="00E163F0">
        <w:t xml:space="preserve"> or </w:t>
      </w:r>
      <w:r w:rsidRPr="00E163F0">
        <w:rPr>
          <w:i/>
          <w:iCs/>
        </w:rPr>
        <w:t>M. gallinarum</w:t>
      </w:r>
      <w:r w:rsidRPr="00E163F0">
        <w:t xml:space="preserve"> as a negative control. Also required are polyclonal rabbit anti-MG or MS serum, a normal rabbit serum and an anti-rabbit immunoglobulin fluorochrome-conjugated serum. Sera may be prepared in species other than rabbits, but monoclonal antibodies (MAbs) should not be used because MG or MS demonstrate</w:t>
      </w:r>
      <w:r w:rsidRPr="00E32E9E">
        <w:rPr>
          <w:strike/>
        </w:rPr>
        <w:t>s</w:t>
      </w:r>
      <w:r w:rsidRPr="00E163F0">
        <w:t xml:space="preserve"> variable expression of </w:t>
      </w:r>
      <w:r w:rsidRPr="00E32E9E">
        <w:rPr>
          <w:strike/>
        </w:rPr>
        <w:t xml:space="preserve">its </w:t>
      </w:r>
      <w:r w:rsidR="00E32E9E" w:rsidRPr="00E32E9E">
        <w:rPr>
          <w:u w:val="double"/>
        </w:rPr>
        <w:t>their</w:t>
      </w:r>
      <w:r w:rsidR="00E32E9E">
        <w:t xml:space="preserve"> </w:t>
      </w:r>
      <w:r w:rsidRPr="00E163F0">
        <w:t>surface epitopes and an MA</w:t>
      </w:r>
      <w:r w:rsidR="00590D68">
        <w:t>b</w:t>
      </w:r>
      <w:r w:rsidRPr="00E163F0">
        <w:t xml:space="preserve"> may fail to recognise the</w:t>
      </w:r>
      <w:r w:rsidR="00E32E9E">
        <w:t xml:space="preserve"> </w:t>
      </w:r>
      <w:r w:rsidR="00E32E9E" w:rsidRPr="00E32E9E">
        <w:rPr>
          <w:u w:val="double"/>
        </w:rPr>
        <w:t>target</w:t>
      </w:r>
      <w:r w:rsidRPr="00E32E9E">
        <w:rPr>
          <w:u w:val="double"/>
        </w:rPr>
        <w:t xml:space="preserve"> </w:t>
      </w:r>
      <w:r w:rsidR="00E32E9E" w:rsidRPr="00E32E9E">
        <w:rPr>
          <w:u w:val="double"/>
        </w:rPr>
        <w:t>micro</w:t>
      </w:r>
      <w:r w:rsidRPr="00E163F0">
        <w:t xml:space="preserve">organism. Suitable working dilutions in sterile </w:t>
      </w:r>
      <w:r w:rsidRPr="00E163F0">
        <w:lastRenderedPageBreak/>
        <w:t xml:space="preserve">phosphate buffered saline (PBS; 0.01 M, pH 7.2) of the anti-MG or MS serum and the conjugate are first determined by cross-titration, and are selected for use at two-to-four-fold dilutions less than the actual end-points. These are applied to the </w:t>
      </w:r>
      <w:r w:rsidR="00E32E9E" w:rsidRPr="00E32E9E">
        <w:rPr>
          <w:u w:val="double"/>
        </w:rPr>
        <w:t>unknown mycoplasma</w:t>
      </w:r>
      <w:r w:rsidR="00E32E9E" w:rsidRPr="00E163F0">
        <w:t xml:space="preserve"> </w:t>
      </w:r>
      <w:r w:rsidRPr="00E163F0">
        <w:t xml:space="preserve">colonies </w:t>
      </w:r>
      <w:r w:rsidRPr="00E32E9E">
        <w:rPr>
          <w:strike/>
        </w:rPr>
        <w:t xml:space="preserve">of mycoplasmas to be identified </w:t>
      </w:r>
      <w:r w:rsidRPr="00E163F0">
        <w:t>that have been previously grown on agar plates as indicated below.</w:t>
      </w:r>
    </w:p>
    <w:p w14:paraId="1658813C" w14:textId="77777777" w:rsidR="00186891" w:rsidRPr="00E163F0" w:rsidRDefault="00D609A7" w:rsidP="00F56D25">
      <w:pPr>
        <w:pStyle w:val="afourthlevel"/>
      </w:pPr>
      <w:r>
        <w:t>1.</w:t>
      </w:r>
      <w:r w:rsidR="008E533E">
        <w:t>2.1</w:t>
      </w:r>
      <w:r>
        <w:t>.1.</w:t>
      </w:r>
      <w:r w:rsidR="008E533E">
        <w:t xml:space="preserve"> </w:t>
      </w:r>
      <w:r w:rsidR="00186891" w:rsidRPr="00E163F0">
        <w:t>Test procedure</w:t>
      </w:r>
    </w:p>
    <w:p w14:paraId="5C6285CE" w14:textId="77777777" w:rsidR="00186891" w:rsidRPr="00E163F0" w:rsidRDefault="00186891" w:rsidP="00E163F0">
      <w:pPr>
        <w:pStyle w:val="i"/>
      </w:pPr>
      <w:r w:rsidRPr="00E163F0">
        <w:t>i)</w:t>
      </w:r>
      <w:r w:rsidRPr="00E163F0">
        <w:tab/>
        <w:t>From colony-bearing agar plates, cut blocks of about 1.0 × 0.5 cm and place them on to labelled microscope slides with the colonies uppermost.</w:t>
      </w:r>
    </w:p>
    <w:p w14:paraId="4AB413B7" w14:textId="4025AFB9" w:rsidR="00186891" w:rsidRPr="00E163F0" w:rsidRDefault="00186891" w:rsidP="00E163F0">
      <w:pPr>
        <w:pStyle w:val="i"/>
      </w:pPr>
      <w:r w:rsidRPr="00E163F0">
        <w:t>ii)</w:t>
      </w:r>
      <w:r w:rsidRPr="00E163F0">
        <w:tab/>
        <w:t xml:space="preserve">To make subsequent orientation possible, cut off the lower </w:t>
      </w:r>
      <w:r w:rsidR="00590D68" w:rsidRPr="00E163F0">
        <w:t>right-hand</w:t>
      </w:r>
      <w:r w:rsidRPr="00E163F0">
        <w:t xml:space="preserve"> corner of the blocks. One block with the unknown isolate, a block with the known MG culture, a block with the known MS culture and a block with a different but known mycoplasma culture are placed on one slide. A block of the unknown isolate is placed on another slide.</w:t>
      </w:r>
    </w:p>
    <w:p w14:paraId="79653230" w14:textId="77777777" w:rsidR="00186891" w:rsidRPr="00E163F0" w:rsidRDefault="00186891" w:rsidP="00E163F0">
      <w:pPr>
        <w:pStyle w:val="i"/>
      </w:pPr>
      <w:r w:rsidRPr="00E163F0">
        <w:t>iii)</w:t>
      </w:r>
      <w:r w:rsidRPr="00E163F0">
        <w:tab/>
        <w:t>Add a drop of suitably diluted MG (or MS) antiserum to the surface of each block of the first slide and add normal rabbit serum to the single block on the second slide.</w:t>
      </w:r>
    </w:p>
    <w:p w14:paraId="3A434C0E" w14:textId="77777777" w:rsidR="00186891" w:rsidRPr="00E163F0" w:rsidRDefault="00186891" w:rsidP="00E163F0">
      <w:pPr>
        <w:pStyle w:val="i"/>
      </w:pPr>
      <w:r w:rsidRPr="00E163F0">
        <w:t>iv)</w:t>
      </w:r>
      <w:r w:rsidRPr="00E163F0">
        <w:tab/>
        <w:t>Incubate all blocks for 30 minutes at room temperature in a humid atmosphere.</w:t>
      </w:r>
    </w:p>
    <w:p w14:paraId="42C98F3A" w14:textId="7943D24F" w:rsidR="00186891" w:rsidRPr="00E163F0" w:rsidRDefault="00186891" w:rsidP="00E163F0">
      <w:pPr>
        <w:pStyle w:val="i"/>
      </w:pPr>
      <w:r w:rsidRPr="00E163F0">
        <w:t>v)</w:t>
      </w:r>
      <w:r w:rsidRPr="00E163F0">
        <w:tab/>
        <w:t xml:space="preserve">Place each block in a labelled tube containing PBS, pH 7.2 and wash </w:t>
      </w:r>
      <w:r w:rsidR="00D5096C" w:rsidRPr="00D5096C">
        <w:rPr>
          <w:u w:val="double"/>
        </w:rPr>
        <w:t>gently</w:t>
      </w:r>
      <w:r w:rsidR="00D5096C">
        <w:t xml:space="preserve"> </w:t>
      </w:r>
      <w:r w:rsidRPr="00E163F0">
        <w:t xml:space="preserve">for 10 minutes </w:t>
      </w:r>
      <w:r w:rsidRPr="00D5096C">
        <w:rPr>
          <w:strike/>
        </w:rPr>
        <w:t xml:space="preserve">in </w:t>
      </w:r>
      <w:r w:rsidR="00D5096C" w:rsidRPr="00D5096C">
        <w:rPr>
          <w:u w:val="double"/>
        </w:rPr>
        <w:t>on</w:t>
      </w:r>
      <w:r w:rsidR="00D5096C">
        <w:t xml:space="preserve"> </w:t>
      </w:r>
      <w:r w:rsidRPr="00E163F0">
        <w:t xml:space="preserve">a rotary mixer, then </w:t>
      </w:r>
      <w:r w:rsidRPr="00D5096C">
        <w:rPr>
          <w:strike/>
        </w:rPr>
        <w:t xml:space="preserve">similarly </w:t>
      </w:r>
      <w:r w:rsidRPr="00E163F0">
        <w:t>rewash</w:t>
      </w:r>
      <w:r w:rsidR="00D5096C">
        <w:t xml:space="preserve"> </w:t>
      </w:r>
      <w:r w:rsidR="00D5096C" w:rsidRPr="00D5096C">
        <w:rPr>
          <w:u w:val="double"/>
        </w:rPr>
        <w:t>as before</w:t>
      </w:r>
      <w:r w:rsidRPr="00E163F0">
        <w:t>, and finally return the blocks to the original microscope slides.</w:t>
      </w:r>
    </w:p>
    <w:p w14:paraId="49886B40" w14:textId="77777777" w:rsidR="00186891" w:rsidRPr="00E163F0" w:rsidRDefault="00186891" w:rsidP="00E163F0">
      <w:pPr>
        <w:pStyle w:val="i"/>
      </w:pPr>
      <w:r w:rsidRPr="00E163F0">
        <w:t>vi)</w:t>
      </w:r>
      <w:r w:rsidRPr="00E163F0">
        <w:tab/>
        <w:t>Blot excess moisture from the sides of the blocks. Add one drop of the diluted conjugate to each block, and incubate and wash as before.</w:t>
      </w:r>
    </w:p>
    <w:p w14:paraId="11876586" w14:textId="77777777" w:rsidR="00186891" w:rsidRPr="00E163F0" w:rsidRDefault="00186891" w:rsidP="00E163F0">
      <w:pPr>
        <w:pStyle w:val="iparalast"/>
      </w:pPr>
      <w:r w:rsidRPr="00E163F0">
        <w:t>vii)</w:t>
      </w:r>
      <w:r w:rsidRPr="00E163F0">
        <w:tab/>
        <w:t>Return the blocks to their original slides, and examine the colonies by incident light using fluorescence microscopy.</w:t>
      </w:r>
    </w:p>
    <w:p w14:paraId="124E6F0B" w14:textId="367D1D54" w:rsidR="00186891" w:rsidRPr="00E163F0" w:rsidRDefault="00186891" w:rsidP="00F56D25">
      <w:pPr>
        <w:pStyle w:val="111Para"/>
      </w:pPr>
      <w:r w:rsidRPr="00E163F0">
        <w:t xml:space="preserve">Interpretation of the results is subjective and requires some expertise; comparisons with the controls </w:t>
      </w:r>
      <w:r w:rsidR="00D5096C" w:rsidRPr="00E163F0">
        <w:t xml:space="preserve">must give the correct reactions and </w:t>
      </w:r>
      <w:r w:rsidRPr="00E163F0">
        <w:t>are essential.</w:t>
      </w:r>
    </w:p>
    <w:p w14:paraId="6606B6A9" w14:textId="77777777" w:rsidR="00186891" w:rsidRPr="00E163F0" w:rsidRDefault="00186891" w:rsidP="00F56D25">
      <w:pPr>
        <w:pStyle w:val="111Para"/>
      </w:pPr>
      <w:r w:rsidRPr="00E163F0">
        <w:t>Some laboratories use fluorescein-conjugated antiserum in a direct fluorescent antibody test (DFA). A technique that is widely used for DFA is one in which the reagents are applied successively within stainless steel cylinders placed on the original mycoplasma agar plate</w:t>
      </w:r>
      <w:r w:rsidRPr="00D5096C">
        <w:rPr>
          <w:strike/>
        </w:rPr>
        <w:t xml:space="preserve"> (</w:t>
      </w:r>
      <w:r w:rsidR="00572B91" w:rsidRPr="00D5096C">
        <w:rPr>
          <w:strike/>
        </w:rPr>
        <w:t>Talkington &amp; Kleven, 1983</w:t>
      </w:r>
      <w:r w:rsidRPr="00D5096C">
        <w:rPr>
          <w:strike/>
        </w:rPr>
        <w:t>)</w:t>
      </w:r>
      <w:r w:rsidRPr="00E163F0">
        <w:t>. Although this is quick and easy to perform, the results obtained are less specific than using the indirect method, which is therefore preferred.</w:t>
      </w:r>
    </w:p>
    <w:p w14:paraId="2A9A5E0B" w14:textId="73E24210" w:rsidR="00186891" w:rsidRPr="00E163F0" w:rsidRDefault="00D609A7" w:rsidP="009419E4">
      <w:pPr>
        <w:pStyle w:val="111"/>
        <w:keepNext/>
      </w:pPr>
      <w:r>
        <w:t>1.</w:t>
      </w:r>
      <w:r w:rsidR="008E533E">
        <w:t>2.2.</w:t>
      </w:r>
      <w:r w:rsidR="00186891" w:rsidRPr="00E163F0">
        <w:tab/>
        <w:t>Indirect immunoperoxidase</w:t>
      </w:r>
      <w:r w:rsidR="00D5096C" w:rsidRPr="00D5096C">
        <w:rPr>
          <w:u w:val="double"/>
        </w:rPr>
        <w:t>/immunobinding</w:t>
      </w:r>
      <w:r w:rsidR="00186891" w:rsidRPr="00E163F0">
        <w:t xml:space="preserve"> test</w:t>
      </w:r>
    </w:p>
    <w:p w14:paraId="7F168E01" w14:textId="0EED0CDE" w:rsidR="00186891" w:rsidRPr="00E163F0" w:rsidRDefault="00590D68" w:rsidP="009419E4">
      <w:pPr>
        <w:pStyle w:val="111Para"/>
        <w:spacing w:after="200"/>
      </w:pPr>
      <w:r>
        <w:t>The indirect IP test</w:t>
      </w:r>
      <w:r w:rsidR="00186891" w:rsidRPr="00E163F0">
        <w:t xml:space="preserve"> </w:t>
      </w:r>
      <w:r w:rsidR="00ED55BE">
        <w:t>follows</w:t>
      </w:r>
      <w:r w:rsidR="00186891" w:rsidRPr="00E163F0">
        <w:t xml:space="preserve"> a similar principle to the IFA test except that the binding of specific antibodies to colonies </w:t>
      </w:r>
      <w:r w:rsidR="00186891" w:rsidRPr="00E163F0">
        <w:rPr>
          <w:i/>
          <w:iCs/>
        </w:rPr>
        <w:t xml:space="preserve">in situ </w:t>
      </w:r>
      <w:r w:rsidR="00186891" w:rsidRPr="00E163F0">
        <w:t xml:space="preserve">is detected by adding an anti-rabbit immunoglobulin that has been conjugated to the enzyme peroxidase. A positive reaction is then </w:t>
      </w:r>
      <w:r w:rsidR="00186891" w:rsidRPr="00D5096C">
        <w:rPr>
          <w:strike/>
        </w:rPr>
        <w:t xml:space="preserve">developed </w:t>
      </w:r>
      <w:r w:rsidR="00D5096C" w:rsidRPr="00D5096C">
        <w:rPr>
          <w:u w:val="double"/>
        </w:rPr>
        <w:t>visualised</w:t>
      </w:r>
      <w:r w:rsidR="00D5096C" w:rsidRPr="00E163F0">
        <w:t xml:space="preserve"> </w:t>
      </w:r>
      <w:r w:rsidR="00186891" w:rsidRPr="00E163F0">
        <w:t xml:space="preserve">by adding an appropriate substrate which, on oxidation, produces coloured colonies. An immunobinding procedure can also be used in which the test colonies are blotted on to nitrocellulose </w:t>
      </w:r>
      <w:r w:rsidR="00186891" w:rsidRPr="00E163F0">
        <w:rPr>
          <w:rFonts w:eastAsia="MS Mincho"/>
        </w:rPr>
        <w:t>(</w:t>
      </w:r>
      <w:r w:rsidR="00572B91" w:rsidRPr="00572B91">
        <w:t>Kotani &amp; McGarrity, 1985</w:t>
      </w:r>
      <w:r w:rsidR="00186891" w:rsidRPr="00E163F0">
        <w:rPr>
          <w:rFonts w:eastAsia="MS Mincho"/>
        </w:rPr>
        <w:t>)</w:t>
      </w:r>
      <w:r w:rsidR="00186891" w:rsidRPr="00E163F0">
        <w:t xml:space="preserve"> and then reacted in a similar manner. As with IFA, polyclonal sera should be used for serotyping isolates by IP. The advantage of the IP test over immunofluorescence is that the IP test does not require an expensive fluorescence microscope.</w:t>
      </w:r>
    </w:p>
    <w:p w14:paraId="1F52BD8B" w14:textId="77777777" w:rsidR="00186891" w:rsidRPr="00E163F0" w:rsidRDefault="00D609A7" w:rsidP="00F56D25">
      <w:pPr>
        <w:pStyle w:val="111"/>
      </w:pPr>
      <w:r>
        <w:t>1.</w:t>
      </w:r>
      <w:r w:rsidR="008E533E">
        <w:t>2.3.</w:t>
      </w:r>
      <w:r w:rsidR="00186891" w:rsidRPr="00E163F0">
        <w:tab/>
        <w:t>Growth inhibition test</w:t>
      </w:r>
    </w:p>
    <w:p w14:paraId="443E36AB" w14:textId="77777777" w:rsidR="00186891" w:rsidRPr="00E163F0" w:rsidRDefault="00186891" w:rsidP="00F56D25">
      <w:pPr>
        <w:pStyle w:val="111Para"/>
      </w:pPr>
      <w:r w:rsidRPr="00E163F0">
        <w:t>In the GI test, the growth of mycoplasmas is inhibited by specific antiserum, enabling species to be identified. It is relatively insensitive and sera must be high-titred, monospecific and prepared in mammalian hosts as poultry sera do not always inhibit mycoplasma growth efficiently. The organism under test must be in pure culture (cloned) and several dilutions should be tested; a concentration of 10</w:t>
      </w:r>
      <w:r w:rsidRPr="00E51C77">
        <w:rPr>
          <w:vertAlign w:val="superscript"/>
        </w:rPr>
        <w:t>4 </w:t>
      </w:r>
      <w:r w:rsidRPr="00E163F0">
        <w:t xml:space="preserve">colony-forming units (CFU/ml) is optimal. The rate of growth of the organism may influence growth inhibition, and it is helpful to retard growth initially by incubating at 27°C for 24 hours, followed by incubation at 37°C thereafter. Details of the test and its interpretation are published elsewhere </w:t>
      </w:r>
      <w:r w:rsidRPr="00E163F0">
        <w:rPr>
          <w:rFonts w:eastAsia="MS Mincho"/>
        </w:rPr>
        <w:t>(</w:t>
      </w:r>
      <w:r w:rsidR="00D41FBE">
        <w:rPr>
          <w:rFonts w:eastAsia="MS Mincho"/>
        </w:rPr>
        <w:t>Clyde, 1983</w:t>
      </w:r>
      <w:r w:rsidRPr="00E163F0">
        <w:rPr>
          <w:rFonts w:eastAsia="MS Mincho"/>
        </w:rPr>
        <w:t>)</w:t>
      </w:r>
      <w:r w:rsidRPr="00E163F0">
        <w:t>.</w:t>
      </w:r>
    </w:p>
    <w:p w14:paraId="21C4084D" w14:textId="326B1942" w:rsidR="00186891" w:rsidRPr="00E163F0" w:rsidRDefault="00B3782D" w:rsidP="00B3782D">
      <w:pPr>
        <w:pStyle w:val="11"/>
      </w:pPr>
      <w:r w:rsidRPr="00B3782D">
        <w:rPr>
          <w:u w:val="double"/>
        </w:rPr>
        <w:t>1.3</w:t>
      </w:r>
      <w:r w:rsidR="00D609A7" w:rsidRPr="00B3782D">
        <w:rPr>
          <w:u w:val="double"/>
        </w:rPr>
        <w:t>.</w:t>
      </w:r>
      <w:r w:rsidR="00186891" w:rsidRPr="00B3782D">
        <w:rPr>
          <w:u w:val="double"/>
        </w:rPr>
        <w:tab/>
      </w:r>
      <w:r w:rsidRPr="00B3782D">
        <w:rPr>
          <w:u w:val="double"/>
        </w:rPr>
        <w:t>Molecular methods – detection of nucleic acids</w:t>
      </w:r>
      <w:r w:rsidRPr="00E163F0">
        <w:t xml:space="preserve"> </w:t>
      </w:r>
      <w:r w:rsidR="00186891" w:rsidRPr="00B3782D">
        <w:rPr>
          <w:strike/>
        </w:rPr>
        <w:t>Nucleic acid detection methods</w:t>
      </w:r>
    </w:p>
    <w:p w14:paraId="787F4511" w14:textId="56274174" w:rsidR="00186891" w:rsidRDefault="00186891" w:rsidP="009419E4">
      <w:pPr>
        <w:pStyle w:val="para1"/>
        <w:spacing w:after="200"/>
        <w:rPr>
          <w:strike/>
        </w:rPr>
      </w:pPr>
      <w:r w:rsidRPr="00B3782D">
        <w:rPr>
          <w:strike/>
        </w:rPr>
        <w:t xml:space="preserve">An alternative to conventional culture and identification is the use of specific DNA detection methods. MG or MS may be detected by hybridisation with DNA probes, but now it is much more common to use the PCR to amplify specific portions of DNA in the test material. At least one commercial MG DNA test kit uses a PCR directly on material extracted from swabs. One commercial company produces a kit to detect MG field strains and one that identifies the vaccine F strain. Several ‘in-house’ PCR-based tests have also been published for MG including a multiplex PCR, which is designed to detect all four avian mycoplasma pathogens </w:t>
      </w:r>
      <w:r w:rsidRPr="00B3782D">
        <w:rPr>
          <w:rFonts w:eastAsia="MS Mincho"/>
          <w:strike/>
        </w:rPr>
        <w:t>(</w:t>
      </w:r>
      <w:r w:rsidR="00572B91" w:rsidRPr="00B3782D">
        <w:rPr>
          <w:rFonts w:eastAsia="MS Mincho"/>
          <w:strike/>
        </w:rPr>
        <w:t xml:space="preserve">Wang </w:t>
      </w:r>
      <w:r w:rsidR="00CF5CA7" w:rsidRPr="00B3782D">
        <w:rPr>
          <w:rFonts w:eastAsia="MS Mincho"/>
          <w:i/>
          <w:strike/>
        </w:rPr>
        <w:t>et al</w:t>
      </w:r>
      <w:r w:rsidR="00572B91" w:rsidRPr="00B3782D">
        <w:rPr>
          <w:rFonts w:eastAsia="MS Mincho"/>
          <w:strike/>
        </w:rPr>
        <w:t>., 1997</w:t>
      </w:r>
      <w:r w:rsidRPr="00B3782D">
        <w:rPr>
          <w:rFonts w:eastAsia="MS Mincho"/>
          <w:strike/>
        </w:rPr>
        <w:t>)</w:t>
      </w:r>
      <w:r w:rsidRPr="00B3782D">
        <w:rPr>
          <w:strike/>
        </w:rPr>
        <w:t xml:space="preserve">, but which has not been validated with clinical samples. Several methods are cited by Kempf </w:t>
      </w:r>
      <w:r w:rsidRPr="00B3782D">
        <w:rPr>
          <w:rFonts w:eastAsia="MS Mincho"/>
          <w:strike/>
        </w:rPr>
        <w:t>(</w:t>
      </w:r>
      <w:r w:rsidR="00572B91" w:rsidRPr="00B3782D">
        <w:rPr>
          <w:rFonts w:eastAsia="MS Mincho"/>
          <w:strike/>
        </w:rPr>
        <w:t>1998</w:t>
      </w:r>
      <w:r w:rsidRPr="00B3782D">
        <w:rPr>
          <w:rFonts w:eastAsia="MS Mincho"/>
          <w:strike/>
        </w:rPr>
        <w:t>)</w:t>
      </w:r>
      <w:r w:rsidRPr="00B3782D">
        <w:rPr>
          <w:strike/>
        </w:rPr>
        <w:t xml:space="preserve"> and, in addition, a manual </w:t>
      </w:r>
      <w:r w:rsidRPr="00B3782D">
        <w:rPr>
          <w:strike/>
        </w:rPr>
        <w:lastRenderedPageBreak/>
        <w:t xml:space="preserve">published by Lauerman </w:t>
      </w:r>
      <w:r w:rsidRPr="00B3782D">
        <w:rPr>
          <w:rFonts w:eastAsia="MS Mincho"/>
          <w:strike/>
        </w:rPr>
        <w:t>(</w:t>
      </w:r>
      <w:r w:rsidR="00572B91" w:rsidRPr="00B3782D">
        <w:rPr>
          <w:rFonts w:eastAsia="MS Mincho"/>
          <w:strike/>
        </w:rPr>
        <w:t>1998</w:t>
      </w:r>
      <w:r w:rsidRPr="00B3782D">
        <w:rPr>
          <w:rFonts w:eastAsia="MS Mincho"/>
          <w:strike/>
        </w:rPr>
        <w:t>)</w:t>
      </w:r>
      <w:r w:rsidRPr="00B3782D">
        <w:rPr>
          <w:strike/>
        </w:rPr>
        <w:t xml:space="preserve"> contains a validated PCR assay for MG, MS, and other avian mycoplasmas based on unique sequences contained in the 16</w:t>
      </w:r>
      <w:r w:rsidR="00596844" w:rsidRPr="00B3782D">
        <w:rPr>
          <w:strike/>
        </w:rPr>
        <w:t>S</w:t>
      </w:r>
      <w:r w:rsidRPr="00B3782D">
        <w:rPr>
          <w:strike/>
        </w:rPr>
        <w:t xml:space="preserve"> rRNA gene. This method for MG is presented below. In the USA, a PCR based on the </w:t>
      </w:r>
      <w:r w:rsidRPr="00B3782D">
        <w:rPr>
          <w:i/>
          <w:strike/>
        </w:rPr>
        <w:t>mgc2</w:t>
      </w:r>
      <w:r w:rsidRPr="00B3782D">
        <w:rPr>
          <w:strike/>
        </w:rPr>
        <w:t xml:space="preserve"> gene of MG </w:t>
      </w:r>
      <w:r w:rsidRPr="00B3782D">
        <w:rPr>
          <w:rFonts w:eastAsia="MS Mincho"/>
          <w:strike/>
        </w:rPr>
        <w:t>(</w:t>
      </w:r>
      <w:r w:rsidR="00572B91" w:rsidRPr="00B3782D">
        <w:rPr>
          <w:rFonts w:eastAsia="MS Mincho"/>
          <w:strike/>
        </w:rPr>
        <w:t xml:space="preserve">García </w:t>
      </w:r>
      <w:r w:rsidR="00CF5CA7" w:rsidRPr="00B3782D">
        <w:rPr>
          <w:rFonts w:eastAsia="MS Mincho"/>
          <w:i/>
          <w:strike/>
        </w:rPr>
        <w:t>et al</w:t>
      </w:r>
      <w:r w:rsidR="00572B91" w:rsidRPr="00B3782D">
        <w:rPr>
          <w:rFonts w:eastAsia="MS Mincho"/>
          <w:strike/>
        </w:rPr>
        <w:t>., 2005</w:t>
      </w:r>
      <w:r w:rsidRPr="00B3782D">
        <w:rPr>
          <w:rFonts w:eastAsia="MS Mincho"/>
          <w:strike/>
        </w:rPr>
        <w:t xml:space="preserve">) or the </w:t>
      </w:r>
      <w:r w:rsidRPr="00B3782D">
        <w:rPr>
          <w:rFonts w:eastAsia="MS Mincho"/>
          <w:i/>
          <w:strike/>
        </w:rPr>
        <w:t>vlhA</w:t>
      </w:r>
      <w:r w:rsidRPr="00B3782D">
        <w:rPr>
          <w:rFonts w:eastAsia="MS Mincho"/>
          <w:strike/>
        </w:rPr>
        <w:t xml:space="preserve"> gene of MS (</w:t>
      </w:r>
      <w:r w:rsidR="00572B91" w:rsidRPr="00B3782D">
        <w:rPr>
          <w:rFonts w:eastAsia="MS Mincho"/>
          <w:strike/>
        </w:rPr>
        <w:t xml:space="preserve">Hong </w:t>
      </w:r>
      <w:r w:rsidR="00CF5CA7" w:rsidRPr="00B3782D">
        <w:rPr>
          <w:rFonts w:eastAsia="MS Mincho"/>
          <w:i/>
          <w:strike/>
        </w:rPr>
        <w:t>et al</w:t>
      </w:r>
      <w:r w:rsidR="00572B91" w:rsidRPr="00B3782D">
        <w:rPr>
          <w:rFonts w:eastAsia="MS Mincho"/>
          <w:strike/>
        </w:rPr>
        <w:t>., 2004</w:t>
      </w:r>
      <w:r w:rsidRPr="00B3782D">
        <w:rPr>
          <w:rFonts w:eastAsia="MS Mincho"/>
          <w:strike/>
        </w:rPr>
        <w:t xml:space="preserve">) </w:t>
      </w:r>
      <w:r w:rsidRPr="00B3782D">
        <w:rPr>
          <w:strike/>
        </w:rPr>
        <w:t>is becoming more widely used, because preliminary strain identification can be made by sequencing of the PCR product; it must be remembered that unrelated strains may occasionally share the same sequence.</w:t>
      </w:r>
    </w:p>
    <w:p w14:paraId="32DDF601" w14:textId="7B021979" w:rsidR="00B3782D" w:rsidRPr="00B3782D" w:rsidRDefault="00B3782D" w:rsidP="00B3782D">
      <w:pPr>
        <w:pStyle w:val="11Para"/>
        <w:rPr>
          <w:u w:val="double"/>
        </w:rPr>
      </w:pPr>
      <w:r w:rsidRPr="00B3782D">
        <w:rPr>
          <w:u w:val="double"/>
        </w:rPr>
        <w:t>PCR assay</w:t>
      </w:r>
      <w:r w:rsidR="00ED55BE">
        <w:rPr>
          <w:u w:val="double"/>
        </w:rPr>
        <w:t>s</w:t>
      </w:r>
      <w:r w:rsidRPr="00B3782D">
        <w:rPr>
          <w:u w:val="double"/>
        </w:rPr>
        <w:t xml:space="preserve"> are routinely used in many laboratories and are characteri</w:t>
      </w:r>
      <w:r w:rsidR="00ED55BE">
        <w:rPr>
          <w:u w:val="double"/>
        </w:rPr>
        <w:t>s</w:t>
      </w:r>
      <w:r w:rsidRPr="00B3782D">
        <w:rPr>
          <w:u w:val="double"/>
        </w:rPr>
        <w:t xml:space="preserve">ed by good sensitivity. These methods represent a good alternative to </w:t>
      </w:r>
      <w:r w:rsidRPr="00B3782D">
        <w:rPr>
          <w:i/>
          <w:u w:val="double"/>
        </w:rPr>
        <w:t>in</w:t>
      </w:r>
      <w:r>
        <w:rPr>
          <w:i/>
          <w:u w:val="double"/>
        </w:rPr>
        <w:t>-</w:t>
      </w:r>
      <w:r w:rsidRPr="00B3782D">
        <w:rPr>
          <w:i/>
          <w:u w:val="double"/>
        </w:rPr>
        <w:t>vitro</w:t>
      </w:r>
      <w:r w:rsidRPr="00B3782D">
        <w:rPr>
          <w:u w:val="double"/>
        </w:rPr>
        <w:t xml:space="preserve"> culture of mycoplasmas because they are based on the detection of specific DNA sequences of the pathogen directly on clinical samples or isolates grown </w:t>
      </w:r>
      <w:r w:rsidRPr="00ED55BE">
        <w:rPr>
          <w:i/>
          <w:u w:val="double"/>
        </w:rPr>
        <w:t>in vitro</w:t>
      </w:r>
      <w:r w:rsidRPr="00B3782D">
        <w:rPr>
          <w:u w:val="double"/>
        </w:rPr>
        <w:t>. MG or MS DNA are amplified by PCR using species-specific primers. The real-time PCR with fluorescent labelled probes is becoming increasingly used</w:t>
      </w:r>
      <w:r w:rsidR="00ED55BE">
        <w:rPr>
          <w:u w:val="double"/>
        </w:rPr>
        <w:t>,</w:t>
      </w:r>
      <w:r w:rsidRPr="00B3782D">
        <w:rPr>
          <w:u w:val="double"/>
        </w:rPr>
        <w:t xml:space="preserve"> shortening the detection time compared </w:t>
      </w:r>
      <w:r w:rsidR="00ED55BE">
        <w:rPr>
          <w:u w:val="double"/>
        </w:rPr>
        <w:t>with</w:t>
      </w:r>
      <w:r w:rsidRPr="00B3782D">
        <w:rPr>
          <w:u w:val="double"/>
        </w:rPr>
        <w:t xml:space="preserve"> conventional PCR. Great care has to be taken to avoid contamination of samples with MG or MS DNA from nearby necropsy rooms, mycoplasma culture laboratories or from previous PCR runs (</w:t>
      </w:r>
      <w:r w:rsidRPr="006108DB">
        <w:rPr>
          <w:u w:val="double"/>
        </w:rPr>
        <w:t xml:space="preserve">see </w:t>
      </w:r>
      <w:r w:rsidR="006108DB" w:rsidRPr="006108DB">
        <w:rPr>
          <w:u w:val="double"/>
        </w:rPr>
        <w:t xml:space="preserve">Chapter 2.1.2 </w:t>
      </w:r>
      <w:r w:rsidR="006108DB" w:rsidRPr="006108DB">
        <w:rPr>
          <w:i/>
          <w:u w:val="double"/>
        </w:rPr>
        <w:t>Biotechnology in the diagnosis of infectious diseases</w:t>
      </w:r>
      <w:r w:rsidR="006108DB" w:rsidRPr="006108DB">
        <w:rPr>
          <w:u w:val="double"/>
        </w:rPr>
        <w:t xml:space="preserve"> </w:t>
      </w:r>
      <w:r w:rsidR="006108DB">
        <w:rPr>
          <w:u w:val="double"/>
        </w:rPr>
        <w:t xml:space="preserve">and </w:t>
      </w:r>
      <w:r w:rsidRPr="006108DB">
        <w:rPr>
          <w:u w:val="double"/>
        </w:rPr>
        <w:t xml:space="preserve">Chapter 1.1.9 </w:t>
      </w:r>
      <w:r w:rsidRPr="006108DB">
        <w:rPr>
          <w:i/>
          <w:u w:val="double"/>
        </w:rPr>
        <w:t>Tests for sterility and freedom from contamination of biological materials intended for veterinary use</w:t>
      </w:r>
      <w:r w:rsidRPr="006108DB">
        <w:rPr>
          <w:u w:val="double"/>
        </w:rPr>
        <w:t>). Several commercial kits for PCR and real-time PCR of both MG and MS are available and several in-house procedures have also</w:t>
      </w:r>
      <w:r w:rsidRPr="00B3782D">
        <w:rPr>
          <w:u w:val="double"/>
        </w:rPr>
        <w:t xml:space="preserve"> been published (</w:t>
      </w:r>
      <w:r w:rsidRPr="00B3782D">
        <w:rPr>
          <w:u w:val="double"/>
          <w:lang w:val="en-US"/>
        </w:rPr>
        <w:t xml:space="preserve">Dijkman </w:t>
      </w:r>
      <w:r w:rsidRPr="00B3782D">
        <w:rPr>
          <w:i/>
          <w:u w:val="double"/>
          <w:lang w:val="en-US"/>
        </w:rPr>
        <w:t>et al.,</w:t>
      </w:r>
      <w:r w:rsidRPr="00B3782D">
        <w:rPr>
          <w:u w:val="double"/>
          <w:lang w:val="en-US"/>
        </w:rPr>
        <w:t xml:space="preserve"> 2017</w:t>
      </w:r>
      <w:r w:rsidR="00722D5D">
        <w:rPr>
          <w:u w:val="double"/>
          <w:lang w:val="en-US"/>
        </w:rPr>
        <w:t>;</w:t>
      </w:r>
      <w:r w:rsidR="00722D5D" w:rsidRPr="00722D5D">
        <w:rPr>
          <w:u w:val="double"/>
          <w:lang w:val="en-US"/>
        </w:rPr>
        <w:t xml:space="preserve"> </w:t>
      </w:r>
      <w:r w:rsidR="00722D5D" w:rsidRPr="00B3782D">
        <w:rPr>
          <w:u w:val="double"/>
          <w:lang w:val="en-US"/>
        </w:rPr>
        <w:t>Raviv &amp; Kleven, 2009</w:t>
      </w:r>
      <w:r w:rsidRPr="00B3782D">
        <w:rPr>
          <w:u w:val="double"/>
          <w:lang w:val="en-US"/>
        </w:rPr>
        <w:t>)</w:t>
      </w:r>
      <w:r w:rsidRPr="00B3782D">
        <w:rPr>
          <w:u w:val="double"/>
        </w:rPr>
        <w:t>.</w:t>
      </w:r>
    </w:p>
    <w:p w14:paraId="08334E19" w14:textId="433CE21A" w:rsidR="00B3782D" w:rsidRPr="00B3782D" w:rsidRDefault="00ED55BE" w:rsidP="00B3782D">
      <w:pPr>
        <w:pStyle w:val="11Para"/>
        <w:rPr>
          <w:u w:val="double"/>
        </w:rPr>
      </w:pPr>
      <w:r>
        <w:rPr>
          <w:u w:val="double"/>
        </w:rPr>
        <w:t>A</w:t>
      </w:r>
      <w:r w:rsidR="00B3782D" w:rsidRPr="00B3782D">
        <w:rPr>
          <w:u w:val="double"/>
        </w:rPr>
        <w:t xml:space="preserve"> conventional PCR and </w:t>
      </w:r>
      <w:r>
        <w:rPr>
          <w:u w:val="double"/>
        </w:rPr>
        <w:t xml:space="preserve">a </w:t>
      </w:r>
      <w:r w:rsidR="00B3782D" w:rsidRPr="00B3782D">
        <w:rPr>
          <w:u w:val="double"/>
        </w:rPr>
        <w:t>real</w:t>
      </w:r>
      <w:r w:rsidR="00923708">
        <w:rPr>
          <w:u w:val="double"/>
        </w:rPr>
        <w:t>-</w:t>
      </w:r>
      <w:r w:rsidR="00B3782D" w:rsidRPr="00B3782D">
        <w:rPr>
          <w:u w:val="double"/>
        </w:rPr>
        <w:t>time PCR for MG and MS</w:t>
      </w:r>
      <w:r>
        <w:rPr>
          <w:u w:val="double"/>
        </w:rPr>
        <w:t xml:space="preserve"> are described below</w:t>
      </w:r>
      <w:r w:rsidR="00B3782D" w:rsidRPr="00B3782D">
        <w:rPr>
          <w:u w:val="double"/>
        </w:rPr>
        <w:t xml:space="preserve">. </w:t>
      </w:r>
      <w:r w:rsidRPr="00B3782D">
        <w:rPr>
          <w:u w:val="double"/>
        </w:rPr>
        <w:t xml:space="preserve">Within </w:t>
      </w:r>
      <w:r w:rsidR="00B3782D" w:rsidRPr="00B3782D">
        <w:rPr>
          <w:u w:val="double"/>
        </w:rPr>
        <w:t>the PCR</w:t>
      </w:r>
      <w:r w:rsidR="00923708">
        <w:rPr>
          <w:u w:val="double"/>
        </w:rPr>
        <w:t>-</w:t>
      </w:r>
      <w:r w:rsidR="00B3782D" w:rsidRPr="00B3782D">
        <w:rPr>
          <w:u w:val="double"/>
        </w:rPr>
        <w:t xml:space="preserve">based methods, the </w:t>
      </w:r>
      <w:r w:rsidRPr="00F6138E">
        <w:rPr>
          <w:u w:val="double"/>
        </w:rPr>
        <w:t>denaturing gradient gel electrophoresis (DGGE)</w:t>
      </w:r>
      <w:r>
        <w:rPr>
          <w:u w:val="double"/>
        </w:rPr>
        <w:t xml:space="preserve"> </w:t>
      </w:r>
      <w:r w:rsidR="00B3782D" w:rsidRPr="00B3782D">
        <w:rPr>
          <w:u w:val="double"/>
        </w:rPr>
        <w:t>technique could be applied for the identification of most avian mycoplasmas</w:t>
      </w:r>
      <w:r w:rsidR="00B3782D" w:rsidRPr="00B3782D">
        <w:rPr>
          <w:i/>
          <w:u w:val="double"/>
        </w:rPr>
        <w:t>,</w:t>
      </w:r>
      <w:r w:rsidR="00B3782D" w:rsidRPr="00B3782D">
        <w:rPr>
          <w:u w:val="double"/>
        </w:rPr>
        <w:t xml:space="preserve"> including </w:t>
      </w:r>
      <w:r>
        <w:rPr>
          <w:u w:val="double"/>
        </w:rPr>
        <w:t>MG</w:t>
      </w:r>
      <w:r w:rsidR="00B3782D" w:rsidRPr="00B3782D">
        <w:rPr>
          <w:u w:val="double"/>
        </w:rPr>
        <w:t xml:space="preserve"> and </w:t>
      </w:r>
      <w:r>
        <w:rPr>
          <w:u w:val="double"/>
        </w:rPr>
        <w:t>MS</w:t>
      </w:r>
      <w:r w:rsidR="00B3782D" w:rsidRPr="00B3782D">
        <w:rPr>
          <w:u w:val="double"/>
        </w:rPr>
        <w:t xml:space="preserve">, but this test is validated only on isolates from mycoplasma culture. This method is described </w:t>
      </w:r>
      <w:r w:rsidR="00B3782D">
        <w:rPr>
          <w:u w:val="double"/>
        </w:rPr>
        <w:t xml:space="preserve">in </w:t>
      </w:r>
      <w:r w:rsidR="00B3782D" w:rsidRPr="00722D5D">
        <w:rPr>
          <w:u w:val="double"/>
        </w:rPr>
        <w:t>Section B.</w:t>
      </w:r>
      <w:r w:rsidR="00722D5D" w:rsidRPr="00722D5D">
        <w:rPr>
          <w:u w:val="double"/>
        </w:rPr>
        <w:t>1.3.</w:t>
      </w:r>
      <w:r>
        <w:rPr>
          <w:u w:val="double"/>
        </w:rPr>
        <w:t>2</w:t>
      </w:r>
      <w:r w:rsidR="00722D5D" w:rsidRPr="00722D5D">
        <w:rPr>
          <w:u w:val="double"/>
        </w:rPr>
        <w:t>.</w:t>
      </w:r>
      <w:r w:rsidR="00B3782D" w:rsidRPr="00B3782D">
        <w:rPr>
          <w:u w:val="double"/>
        </w:rPr>
        <w:t xml:space="preserve"> </w:t>
      </w:r>
    </w:p>
    <w:p w14:paraId="3347BE5E" w14:textId="19AB2CC6" w:rsidR="00B3782D" w:rsidRDefault="00B3782D" w:rsidP="00B3782D">
      <w:pPr>
        <w:pStyle w:val="11Para"/>
        <w:rPr>
          <w:u w:val="double"/>
          <w:lang w:val="en-US"/>
        </w:rPr>
      </w:pPr>
      <w:r w:rsidRPr="00B3782D">
        <w:rPr>
          <w:u w:val="double"/>
          <w:lang w:val="en-US"/>
        </w:rPr>
        <w:t xml:space="preserve">Genotyping techniques based on the analysis of the </w:t>
      </w:r>
      <w:r w:rsidRPr="00B3782D">
        <w:rPr>
          <w:i/>
          <w:u w:val="double"/>
          <w:lang w:val="en-US"/>
        </w:rPr>
        <w:t>mgc2, pvpA</w:t>
      </w:r>
      <w:r w:rsidRPr="00B3782D">
        <w:rPr>
          <w:u w:val="double"/>
          <w:lang w:val="en-US"/>
        </w:rPr>
        <w:t xml:space="preserve"> and </w:t>
      </w:r>
      <w:r w:rsidRPr="00B3782D">
        <w:rPr>
          <w:i/>
          <w:u w:val="double"/>
          <w:lang w:val="en-US"/>
        </w:rPr>
        <w:t>vlh</w:t>
      </w:r>
      <w:r w:rsidRPr="00B3782D">
        <w:rPr>
          <w:u w:val="double"/>
          <w:lang w:val="en-US"/>
        </w:rPr>
        <w:t xml:space="preserve">A genes are </w:t>
      </w:r>
      <w:r w:rsidR="00ED55BE">
        <w:rPr>
          <w:u w:val="double"/>
          <w:lang w:val="en-US"/>
        </w:rPr>
        <w:t>currently</w:t>
      </w:r>
      <w:r w:rsidRPr="00B3782D">
        <w:rPr>
          <w:u w:val="double"/>
          <w:lang w:val="en-US"/>
        </w:rPr>
        <w:t xml:space="preserve"> widely applied for the classification of </w:t>
      </w:r>
      <w:r w:rsidR="00ED55BE">
        <w:rPr>
          <w:u w:val="double"/>
          <w:lang w:val="en-US"/>
        </w:rPr>
        <w:t>MG</w:t>
      </w:r>
      <w:r w:rsidRPr="00B3782D">
        <w:rPr>
          <w:u w:val="double"/>
          <w:lang w:val="en-US"/>
        </w:rPr>
        <w:t xml:space="preserve"> (Armour</w:t>
      </w:r>
      <w:r w:rsidRPr="00B3782D">
        <w:rPr>
          <w:i/>
          <w:u w:val="double"/>
          <w:lang w:val="en-US"/>
        </w:rPr>
        <w:t xml:space="preserve"> et al.,</w:t>
      </w:r>
      <w:r w:rsidRPr="00B3782D">
        <w:rPr>
          <w:u w:val="double"/>
          <w:lang w:val="en-US"/>
        </w:rPr>
        <w:t xml:space="preserve"> 2015</w:t>
      </w:r>
      <w:r>
        <w:rPr>
          <w:u w:val="double"/>
          <w:lang w:val="en-US"/>
        </w:rPr>
        <w:t xml:space="preserve">; </w:t>
      </w:r>
      <w:r w:rsidRPr="00B3782D">
        <w:rPr>
          <w:u w:val="double"/>
          <w:lang w:val="en-US"/>
        </w:rPr>
        <w:t xml:space="preserve">Garcia </w:t>
      </w:r>
      <w:r w:rsidRPr="00B3782D">
        <w:rPr>
          <w:i/>
          <w:u w:val="double"/>
          <w:lang w:val="en-US"/>
        </w:rPr>
        <w:t>et al.,</w:t>
      </w:r>
      <w:r w:rsidRPr="00B3782D">
        <w:rPr>
          <w:u w:val="double"/>
          <w:lang w:val="en-US"/>
        </w:rPr>
        <w:t xml:space="preserve"> 2005) and </w:t>
      </w:r>
      <w:r w:rsidR="00ED55BE">
        <w:rPr>
          <w:u w:val="double"/>
          <w:lang w:val="en-US"/>
        </w:rPr>
        <w:t>MS</w:t>
      </w:r>
      <w:r w:rsidRPr="00B3782D">
        <w:rPr>
          <w:u w:val="double"/>
          <w:lang w:val="en-US"/>
        </w:rPr>
        <w:t xml:space="preserve"> isolates</w:t>
      </w:r>
      <w:r w:rsidR="00ED55BE">
        <w:rPr>
          <w:u w:val="double"/>
          <w:lang w:val="en-US"/>
        </w:rPr>
        <w:t>,</w:t>
      </w:r>
      <w:r w:rsidRPr="00B3782D">
        <w:rPr>
          <w:u w:val="double"/>
          <w:lang w:val="en-US"/>
        </w:rPr>
        <w:t xml:space="preserve"> respectively (Hammond </w:t>
      </w:r>
      <w:r w:rsidRPr="00B3782D">
        <w:rPr>
          <w:i/>
          <w:u w:val="double"/>
          <w:lang w:val="en-US"/>
        </w:rPr>
        <w:t xml:space="preserve">et al., </w:t>
      </w:r>
      <w:r w:rsidRPr="00B3782D">
        <w:rPr>
          <w:u w:val="double"/>
          <w:lang w:val="en-US"/>
        </w:rPr>
        <w:t xml:space="preserve">2008). Moreover, </w:t>
      </w:r>
      <w:r w:rsidR="0065071B">
        <w:rPr>
          <w:u w:val="double"/>
          <w:lang w:val="en-US"/>
        </w:rPr>
        <w:t xml:space="preserve">a </w:t>
      </w:r>
      <w:r w:rsidRPr="00B3782D">
        <w:rPr>
          <w:u w:val="double"/>
          <w:lang w:val="en-US"/>
        </w:rPr>
        <w:t xml:space="preserve">core genome </w:t>
      </w:r>
      <w:r w:rsidR="00ED55BE" w:rsidRPr="00E90E7F">
        <w:rPr>
          <w:u w:val="double"/>
        </w:rPr>
        <w:t>multilocus sequence typing</w:t>
      </w:r>
      <w:r w:rsidR="00ED55BE" w:rsidRPr="00B3782D">
        <w:rPr>
          <w:u w:val="double"/>
          <w:lang w:val="en-US"/>
        </w:rPr>
        <w:t xml:space="preserve"> </w:t>
      </w:r>
      <w:r w:rsidR="00ED55BE">
        <w:rPr>
          <w:u w:val="double"/>
          <w:lang w:val="en-US"/>
        </w:rPr>
        <w:t>(</w:t>
      </w:r>
      <w:r w:rsidRPr="00B3782D">
        <w:rPr>
          <w:u w:val="double"/>
          <w:lang w:val="en-US"/>
        </w:rPr>
        <w:t>MLST</w:t>
      </w:r>
      <w:r w:rsidR="00ED55BE">
        <w:rPr>
          <w:u w:val="double"/>
          <w:lang w:val="en-US"/>
        </w:rPr>
        <w:t>)</w:t>
      </w:r>
      <w:r w:rsidRPr="00B3782D">
        <w:rPr>
          <w:u w:val="double"/>
          <w:lang w:val="en-US"/>
        </w:rPr>
        <w:t xml:space="preserve"> scheme for </w:t>
      </w:r>
      <w:r w:rsidRPr="0065071B">
        <w:rPr>
          <w:i/>
          <w:u w:val="double"/>
          <w:lang w:val="en-US"/>
        </w:rPr>
        <w:t>M</w:t>
      </w:r>
      <w:r w:rsidR="0065071B" w:rsidRPr="0065071B">
        <w:rPr>
          <w:i/>
          <w:u w:val="double"/>
          <w:lang w:val="en-US"/>
        </w:rPr>
        <w:t>. gallisepticum</w:t>
      </w:r>
      <w:r w:rsidRPr="00B3782D">
        <w:rPr>
          <w:u w:val="double"/>
          <w:lang w:val="en-US"/>
        </w:rPr>
        <w:t xml:space="preserve"> and two </w:t>
      </w:r>
      <w:r w:rsidRPr="00B3782D">
        <w:rPr>
          <w:i/>
          <w:u w:val="double"/>
          <w:lang w:val="en-US"/>
        </w:rPr>
        <w:t>M</w:t>
      </w:r>
      <w:r w:rsidR="00923708">
        <w:rPr>
          <w:i/>
          <w:u w:val="double"/>
          <w:lang w:val="en-US"/>
        </w:rPr>
        <w:t>.</w:t>
      </w:r>
      <w:r w:rsidRPr="00B3782D">
        <w:rPr>
          <w:i/>
          <w:u w:val="double"/>
          <w:lang w:val="en-US"/>
        </w:rPr>
        <w:t xml:space="preserve"> synoviae</w:t>
      </w:r>
      <w:r w:rsidRPr="00B3782D">
        <w:rPr>
          <w:u w:val="double"/>
          <w:lang w:val="en-US"/>
        </w:rPr>
        <w:t xml:space="preserve"> MLST schemes have </w:t>
      </w:r>
      <w:r w:rsidR="0065071B" w:rsidRPr="00B3782D">
        <w:rPr>
          <w:u w:val="double"/>
          <w:lang w:val="en-US"/>
        </w:rPr>
        <w:t xml:space="preserve">been </w:t>
      </w:r>
      <w:r w:rsidRPr="00B3782D">
        <w:rPr>
          <w:u w:val="double"/>
          <w:lang w:val="en-US"/>
        </w:rPr>
        <w:t xml:space="preserve">published (Dijkman </w:t>
      </w:r>
      <w:r w:rsidRPr="00B3782D">
        <w:rPr>
          <w:i/>
          <w:u w:val="double"/>
          <w:lang w:val="en-US"/>
        </w:rPr>
        <w:t xml:space="preserve">et al., </w:t>
      </w:r>
      <w:r w:rsidRPr="00B3782D">
        <w:rPr>
          <w:u w:val="double"/>
          <w:lang w:val="en-US"/>
        </w:rPr>
        <w:t xml:space="preserve">2016; El-Gazzar </w:t>
      </w:r>
      <w:r w:rsidRPr="00B3782D">
        <w:rPr>
          <w:i/>
          <w:u w:val="double"/>
          <w:lang w:val="en-US"/>
        </w:rPr>
        <w:t>et al.,</w:t>
      </w:r>
      <w:r w:rsidRPr="00B3782D">
        <w:rPr>
          <w:u w:val="double"/>
          <w:lang w:val="en-US"/>
        </w:rPr>
        <w:t xml:space="preserve"> 2017;</w:t>
      </w:r>
      <w:r w:rsidRPr="00B3782D">
        <w:rPr>
          <w:u w:val="double"/>
        </w:rPr>
        <w:t xml:space="preserve"> </w:t>
      </w:r>
      <w:r w:rsidRPr="00B3782D">
        <w:rPr>
          <w:u w:val="double"/>
          <w:lang w:val="en-US"/>
        </w:rPr>
        <w:t>Ghanem</w:t>
      </w:r>
      <w:r w:rsidRPr="00B3782D">
        <w:rPr>
          <w:i/>
          <w:u w:val="double"/>
          <w:lang w:val="en-US"/>
        </w:rPr>
        <w:t xml:space="preserve"> et al.,</w:t>
      </w:r>
      <w:r w:rsidRPr="00B3782D">
        <w:rPr>
          <w:u w:val="double"/>
          <w:lang w:val="en-US"/>
        </w:rPr>
        <w:t xml:space="preserve"> 2017)</w:t>
      </w:r>
      <w:r w:rsidR="0065071B">
        <w:rPr>
          <w:u w:val="double"/>
          <w:lang w:val="en-US"/>
        </w:rPr>
        <w:t xml:space="preserve"> and </w:t>
      </w:r>
      <w:r w:rsidRPr="00B3782D">
        <w:rPr>
          <w:u w:val="double"/>
          <w:lang w:val="en-US"/>
        </w:rPr>
        <w:t>are likely to become global</w:t>
      </w:r>
      <w:r w:rsidR="0065071B">
        <w:rPr>
          <w:u w:val="double"/>
          <w:lang w:val="en-US"/>
        </w:rPr>
        <w:t>ly applied</w:t>
      </w:r>
      <w:r w:rsidRPr="00B3782D">
        <w:rPr>
          <w:u w:val="double"/>
          <w:lang w:val="en-US"/>
        </w:rPr>
        <w:t xml:space="preserve"> epidemiological tools.</w:t>
      </w:r>
    </w:p>
    <w:p w14:paraId="688C5C50" w14:textId="6E5942CD" w:rsidR="00B3782D" w:rsidRPr="00B3782D" w:rsidRDefault="00B3782D" w:rsidP="00B3782D">
      <w:pPr>
        <w:pStyle w:val="111"/>
        <w:rPr>
          <w:u w:val="double"/>
        </w:rPr>
      </w:pPr>
      <w:r w:rsidRPr="00B3782D">
        <w:rPr>
          <w:u w:val="double"/>
        </w:rPr>
        <w:t>1.3.1.</w:t>
      </w:r>
      <w:r w:rsidRPr="00B3782D">
        <w:rPr>
          <w:u w:val="double"/>
        </w:rPr>
        <w:tab/>
        <w:t>Conventional polymerase chain reaction</w:t>
      </w:r>
    </w:p>
    <w:p w14:paraId="7164966D" w14:textId="3A851B86" w:rsidR="00B3782D" w:rsidRPr="00B3782D" w:rsidRDefault="00B3782D" w:rsidP="00B3782D">
      <w:pPr>
        <w:pStyle w:val="111Para"/>
        <w:rPr>
          <w:u w:val="double"/>
        </w:rPr>
      </w:pPr>
      <w:r w:rsidRPr="00B3782D">
        <w:rPr>
          <w:u w:val="double"/>
        </w:rPr>
        <w:t xml:space="preserve">The </w:t>
      </w:r>
      <w:r w:rsidR="0065071B">
        <w:rPr>
          <w:u w:val="double"/>
        </w:rPr>
        <w:t>assay described is</w:t>
      </w:r>
      <w:r w:rsidRPr="00B3782D">
        <w:rPr>
          <w:u w:val="double"/>
        </w:rPr>
        <w:t xml:space="preserve"> a validated PCR for MG and MS detection based on </w:t>
      </w:r>
      <w:r w:rsidR="0065071B">
        <w:rPr>
          <w:u w:val="double"/>
        </w:rPr>
        <w:t xml:space="preserve">a </w:t>
      </w:r>
      <w:r w:rsidRPr="00B3782D">
        <w:rPr>
          <w:u w:val="double"/>
        </w:rPr>
        <w:t>16S rRNA fragment amplification (Lauerman</w:t>
      </w:r>
      <w:r>
        <w:rPr>
          <w:u w:val="double"/>
        </w:rPr>
        <w:t xml:space="preserve">, </w:t>
      </w:r>
      <w:r w:rsidRPr="00B3782D">
        <w:rPr>
          <w:u w:val="double"/>
        </w:rPr>
        <w:t xml:space="preserve">1998). Another widely used method based on </w:t>
      </w:r>
      <w:r w:rsidRPr="006F7FF5">
        <w:rPr>
          <w:i/>
          <w:u w:val="double"/>
        </w:rPr>
        <w:t>mgc2</w:t>
      </w:r>
      <w:r w:rsidRPr="00B3782D">
        <w:rPr>
          <w:u w:val="double"/>
        </w:rPr>
        <w:t xml:space="preserve"> gene for MG detection (García </w:t>
      </w:r>
      <w:r w:rsidRPr="00923708">
        <w:rPr>
          <w:i/>
          <w:u w:val="double"/>
        </w:rPr>
        <w:t>et al.,</w:t>
      </w:r>
      <w:r w:rsidRPr="00B3782D">
        <w:rPr>
          <w:u w:val="double"/>
        </w:rPr>
        <w:t xml:space="preserve"> 2005) is reported. It must be remembered that unrelated strains may occasionally share DNA sequences and give DNA amplification bands in different lab</w:t>
      </w:r>
      <w:r w:rsidR="0065071B">
        <w:rPr>
          <w:u w:val="double"/>
        </w:rPr>
        <w:t>oratory</w:t>
      </w:r>
      <w:r w:rsidRPr="00B3782D">
        <w:rPr>
          <w:u w:val="double"/>
        </w:rPr>
        <w:t xml:space="preserve"> conditions. All new PCRs require validation using criterion in Chapter 1.1.6</w:t>
      </w:r>
      <w:r w:rsidR="00722D5D">
        <w:rPr>
          <w:u w:val="double"/>
        </w:rPr>
        <w:t xml:space="preserve"> </w:t>
      </w:r>
      <w:r w:rsidR="00722D5D" w:rsidRPr="00722D5D">
        <w:rPr>
          <w:i/>
          <w:u w:val="double"/>
        </w:rPr>
        <w:t>Principles and methods of validation of diagnostic assays for infectious diseases</w:t>
      </w:r>
      <w:r w:rsidR="00EF5AE8" w:rsidRPr="00D865A4">
        <w:rPr>
          <w:iCs/>
          <w:u w:val="double"/>
        </w:rPr>
        <w:t xml:space="preserve"> and</w:t>
      </w:r>
      <w:r w:rsidR="006B2A9B" w:rsidRPr="00D865A4">
        <w:rPr>
          <w:iCs/>
          <w:u w:val="double"/>
        </w:rPr>
        <w:t xml:space="preserve"> Chapter 2.2.3 </w:t>
      </w:r>
      <w:r w:rsidR="006B2A9B" w:rsidRPr="00D865A4">
        <w:rPr>
          <w:i/>
          <w:iCs/>
          <w:u w:val="double"/>
        </w:rPr>
        <w:t>Development and optimisation of nucleic acid detection assays</w:t>
      </w:r>
      <w:r w:rsidRPr="00B3782D">
        <w:rPr>
          <w:u w:val="double"/>
        </w:rPr>
        <w:t xml:space="preserve">. The conventional PCR for MS reported in this chapter can also detect </w:t>
      </w:r>
      <w:r w:rsidR="00923708" w:rsidRPr="00B3782D">
        <w:rPr>
          <w:i/>
          <w:u w:val="double"/>
          <w:lang w:val="en-US"/>
        </w:rPr>
        <w:t>M</w:t>
      </w:r>
      <w:r w:rsidR="00923708">
        <w:rPr>
          <w:i/>
          <w:u w:val="double"/>
          <w:lang w:val="en-US"/>
        </w:rPr>
        <w:t>.</w:t>
      </w:r>
      <w:r w:rsidR="00923708" w:rsidRPr="00B3782D">
        <w:rPr>
          <w:i/>
          <w:u w:val="double"/>
          <w:lang w:val="en-US"/>
        </w:rPr>
        <w:t xml:space="preserve"> </w:t>
      </w:r>
      <w:r w:rsidRPr="00923708">
        <w:rPr>
          <w:i/>
          <w:u w:val="double"/>
        </w:rPr>
        <w:t>bovirhinis</w:t>
      </w:r>
      <w:r w:rsidRPr="00B3782D">
        <w:rPr>
          <w:u w:val="double"/>
        </w:rPr>
        <w:t xml:space="preserve"> DNA.</w:t>
      </w:r>
    </w:p>
    <w:p w14:paraId="458987E0" w14:textId="54EAB9A3" w:rsidR="00186891" w:rsidRPr="00923708" w:rsidRDefault="00470386" w:rsidP="00C040BB">
      <w:pPr>
        <w:pStyle w:val="afourthlevel"/>
      </w:pPr>
      <w:r w:rsidRPr="00923708">
        <w:rPr>
          <w:u w:val="double"/>
        </w:rPr>
        <w:t>1.3.</w:t>
      </w:r>
      <w:r w:rsidR="00C040BB">
        <w:rPr>
          <w:u w:val="double"/>
        </w:rPr>
        <w:t>1.1</w:t>
      </w:r>
      <w:r w:rsidR="00D609A7" w:rsidRPr="00923708">
        <w:rPr>
          <w:u w:val="double"/>
        </w:rPr>
        <w:t>.</w:t>
      </w:r>
      <w:r w:rsidR="00C040BB" w:rsidRPr="00722D5D">
        <w:t xml:space="preserve"> </w:t>
      </w:r>
      <w:r w:rsidR="00186891" w:rsidRPr="00923708">
        <w:t xml:space="preserve">DNA </w:t>
      </w:r>
      <w:r w:rsidR="00D13E77" w:rsidRPr="00D13E77">
        <w:rPr>
          <w:u w:val="double"/>
        </w:rPr>
        <w:t>extraction</w:t>
      </w:r>
      <w:r w:rsidR="00D13E77" w:rsidRPr="00D13E77">
        <w:rPr>
          <w:strike/>
        </w:rPr>
        <w:t xml:space="preserve"> </w:t>
      </w:r>
      <w:r w:rsidR="00186891" w:rsidRPr="00D13E77">
        <w:rPr>
          <w:strike/>
        </w:rPr>
        <w:t>isolation</w:t>
      </w:r>
    </w:p>
    <w:p w14:paraId="482E6907" w14:textId="22F569C9" w:rsidR="00186891" w:rsidRPr="00923708" w:rsidRDefault="00D617BE" w:rsidP="00C040BB">
      <w:pPr>
        <w:pStyle w:val="afourthpara"/>
      </w:pPr>
      <w:r w:rsidRPr="00E163F0">
        <w:t xml:space="preserve">DNA is extracted from swab samples </w:t>
      </w:r>
      <w:r w:rsidRPr="00697BFC">
        <w:t>(</w:t>
      </w:r>
      <w:r w:rsidRPr="00935A7E">
        <w:rPr>
          <w:strike/>
        </w:rPr>
        <w:t xml:space="preserve">three–five </w:t>
      </w:r>
      <w:r w:rsidRPr="00935A7E">
        <w:rPr>
          <w:u w:val="double"/>
        </w:rPr>
        <w:t>up to 10 swabs</w:t>
      </w:r>
      <w:r w:rsidRPr="00E163F0">
        <w:t xml:space="preserve"> may be pooled) suspended in </w:t>
      </w:r>
      <w:r w:rsidRPr="00935A7E">
        <w:rPr>
          <w:strike/>
        </w:rPr>
        <w:t>1 ml of</w:t>
      </w:r>
      <w:r w:rsidRPr="00697BFC">
        <w:rPr>
          <w:strike/>
        </w:rPr>
        <w:t xml:space="preserve"> </w:t>
      </w:r>
      <w:r w:rsidRPr="00E163F0">
        <w:t>PCR-grade PBS in a</w:t>
      </w:r>
      <w:r>
        <w:t xml:space="preserve"> </w:t>
      </w:r>
      <w:r w:rsidRPr="001A2C73">
        <w:t>1.5</w:t>
      </w:r>
      <w:r w:rsidRPr="00E163F0">
        <w:t> </w:t>
      </w:r>
      <w:r w:rsidRPr="001A2C73">
        <w:t>ml snap-cap Eppendorf</w:t>
      </w:r>
      <w:r>
        <w:t xml:space="preserve"> tube. </w:t>
      </w:r>
      <w:r w:rsidRPr="00935A7E">
        <w:rPr>
          <w:strike/>
        </w:rPr>
        <w:t>The suspension is centrifuged for 30 minutes at 14,000 </w:t>
      </w:r>
      <w:r w:rsidRPr="00935A7E">
        <w:rPr>
          <w:b/>
          <w:i/>
          <w:strike/>
        </w:rPr>
        <w:t>g</w:t>
      </w:r>
      <w:r w:rsidRPr="00935A7E">
        <w:rPr>
          <w:strike/>
        </w:rPr>
        <w:t xml:space="preserve"> at 4°C. The supernatant is carefully removed </w:t>
      </w:r>
      <w:r>
        <w:rPr>
          <w:strike/>
        </w:rPr>
        <w:t>with a Pastor pipette and the p</w:t>
      </w:r>
      <w:r w:rsidRPr="00935A7E">
        <w:rPr>
          <w:strike/>
        </w:rPr>
        <w:t>ellet is suspended in 25 µl PCR-grade water. The tube and the contents are boiled for 10 minutes and then placed on ice for 10 minutes before centrifugation at 14,000 </w:t>
      </w:r>
      <w:r w:rsidRPr="00935A7E">
        <w:rPr>
          <w:b/>
          <w:i/>
          <w:strike/>
        </w:rPr>
        <w:t>g</w:t>
      </w:r>
      <w:r w:rsidRPr="00935A7E">
        <w:rPr>
          <w:strike/>
        </w:rPr>
        <w:t xml:space="preserve"> for 5 minutes. The DNA is in the supernatant</w:t>
      </w:r>
      <w:r>
        <w:rPr>
          <w:strike/>
        </w:rPr>
        <w:t xml:space="preserve">. </w:t>
      </w:r>
      <w:r w:rsidRPr="00935A7E">
        <w:rPr>
          <w:u w:val="double"/>
        </w:rPr>
        <w:t xml:space="preserve">Several commercial extraction kits based on </w:t>
      </w:r>
      <w:r w:rsidR="00697BFC">
        <w:rPr>
          <w:u w:val="double"/>
        </w:rPr>
        <w:t xml:space="preserve">the </w:t>
      </w:r>
      <w:r w:rsidRPr="00935A7E">
        <w:rPr>
          <w:u w:val="double"/>
        </w:rPr>
        <w:t>spin column are available for DNA extraction from swabs, tissues</w:t>
      </w:r>
      <w:r w:rsidR="00697BFC">
        <w:rPr>
          <w:u w:val="double"/>
        </w:rPr>
        <w:t>,</w:t>
      </w:r>
      <w:r w:rsidRPr="00935A7E">
        <w:rPr>
          <w:u w:val="double"/>
        </w:rPr>
        <w:t xml:space="preserve"> etc. Automated extraction of </w:t>
      </w:r>
      <w:r w:rsidRPr="00935A7E">
        <w:rPr>
          <w:i/>
          <w:u w:val="double"/>
        </w:rPr>
        <w:t>Mycoplasma</w:t>
      </w:r>
      <w:r w:rsidRPr="00935A7E">
        <w:rPr>
          <w:u w:val="double"/>
        </w:rPr>
        <w:t xml:space="preserve"> DNA is possible with specific commercial kits. The appropriate kit for the type of sample should be selected and the manufacturer’s protocol for DNA extraction should be followed.</w:t>
      </w:r>
    </w:p>
    <w:p w14:paraId="3780046A" w14:textId="52116C79" w:rsidR="00186891" w:rsidRPr="00E163F0" w:rsidRDefault="00470386" w:rsidP="00C040BB">
      <w:pPr>
        <w:pStyle w:val="afourthlevel"/>
      </w:pPr>
      <w:r>
        <w:t>1.3.</w:t>
      </w:r>
      <w:r w:rsidR="00C040BB">
        <w:t xml:space="preserve">1.2. </w:t>
      </w:r>
      <w:r w:rsidR="00186891" w:rsidRPr="00E163F0">
        <w:t>Primers</w:t>
      </w:r>
    </w:p>
    <w:p w14:paraId="45362C4D" w14:textId="276E7689" w:rsidR="00186891" w:rsidRPr="00B65CA2" w:rsidRDefault="00D617BE" w:rsidP="00E76B41">
      <w:pPr>
        <w:pStyle w:val="afourthpara"/>
        <w:spacing w:after="120"/>
        <w:rPr>
          <w:strike/>
        </w:rPr>
      </w:pPr>
      <w:r w:rsidRPr="00B65CA2">
        <w:rPr>
          <w:strike/>
        </w:rPr>
        <w:t>The MG primers consist of the following sequences</w:t>
      </w:r>
      <w:r w:rsidR="00697BFC" w:rsidRPr="00B65CA2">
        <w:rPr>
          <w:strike/>
        </w:rPr>
        <w:t>:</w:t>
      </w:r>
    </w:p>
    <w:p w14:paraId="4A4E5EFD" w14:textId="77777777" w:rsidR="00186891" w:rsidRPr="00B65CA2" w:rsidRDefault="00186891" w:rsidP="00E76B41">
      <w:pPr>
        <w:pStyle w:val="ififthpara"/>
        <w:spacing w:after="120"/>
        <w:rPr>
          <w:strike/>
        </w:rPr>
      </w:pPr>
      <w:r w:rsidRPr="00B65CA2">
        <w:rPr>
          <w:strike/>
        </w:rPr>
        <w:t>MG-14F: 5’-GAG-CTA-ATC-TGT-AAA-GTT-GGT-C-3’</w:t>
      </w:r>
    </w:p>
    <w:p w14:paraId="3B9EE1A8" w14:textId="77777777" w:rsidR="00186891" w:rsidRPr="00B65CA2" w:rsidRDefault="00186891" w:rsidP="00E76B41">
      <w:pPr>
        <w:pStyle w:val="ififthpara"/>
        <w:spacing w:after="120"/>
        <w:rPr>
          <w:strike/>
        </w:rPr>
      </w:pPr>
      <w:r w:rsidRPr="00B65CA2">
        <w:rPr>
          <w:strike/>
        </w:rPr>
        <w:t>MG-13R: 5’-GCT-TCC-TTG-CGG-TTA-GCA-AC-3’</w:t>
      </w:r>
    </w:p>
    <w:p w14:paraId="5943CA63" w14:textId="77777777" w:rsidR="00186891" w:rsidRPr="00B65CA2" w:rsidRDefault="00186891" w:rsidP="00E76B41">
      <w:pPr>
        <w:pStyle w:val="afourthpara"/>
        <w:spacing w:after="120"/>
        <w:rPr>
          <w:strike/>
        </w:rPr>
      </w:pPr>
      <w:r w:rsidRPr="00B65CA2">
        <w:rPr>
          <w:strike/>
        </w:rPr>
        <w:t>For MS, the following primers are used:</w:t>
      </w:r>
    </w:p>
    <w:p w14:paraId="18B8286F" w14:textId="77777777" w:rsidR="00186891" w:rsidRPr="00B65CA2" w:rsidRDefault="00186891" w:rsidP="00E76B41">
      <w:pPr>
        <w:pStyle w:val="ififthpara"/>
        <w:spacing w:after="120"/>
        <w:rPr>
          <w:strike/>
        </w:rPr>
      </w:pPr>
      <w:r w:rsidRPr="00B65CA2">
        <w:rPr>
          <w:strike/>
        </w:rPr>
        <w:t>MS–F: 5’-GAG-AAG-CAA-AAT-AGT-GAT-ATC-A-3’</w:t>
      </w:r>
    </w:p>
    <w:p w14:paraId="6BF3F673" w14:textId="2CA48D21" w:rsidR="00186891" w:rsidRPr="00B65CA2" w:rsidRDefault="00186891" w:rsidP="00C040BB">
      <w:pPr>
        <w:pStyle w:val="ififthpara"/>
        <w:rPr>
          <w:strike/>
        </w:rPr>
      </w:pPr>
      <w:r w:rsidRPr="00B65CA2">
        <w:rPr>
          <w:strike/>
        </w:rPr>
        <w:t>MS–R: 5’-CAG-TCG-TCT-CCG-AAG-TTA-ACA-A-3’</w:t>
      </w:r>
    </w:p>
    <w:tbl>
      <w:tblPr>
        <w:tblStyle w:val="Grilledutableau"/>
        <w:tblW w:w="0" w:type="auto"/>
        <w:tblInd w:w="704" w:type="dxa"/>
        <w:tblLook w:val="04A0" w:firstRow="1" w:lastRow="0" w:firstColumn="1" w:lastColumn="0" w:noHBand="0" w:noVBand="1"/>
      </w:tblPr>
      <w:tblGrid>
        <w:gridCol w:w="1701"/>
        <w:gridCol w:w="4961"/>
        <w:gridCol w:w="1560"/>
      </w:tblGrid>
      <w:tr w:rsidR="00F02189" w:rsidRPr="00A91C54" w14:paraId="0EA49E1E" w14:textId="77777777" w:rsidTr="00F02189">
        <w:tc>
          <w:tcPr>
            <w:tcW w:w="1701" w:type="dxa"/>
            <w:vAlign w:val="center"/>
          </w:tcPr>
          <w:p w14:paraId="52609DBD" w14:textId="4BED81BD" w:rsidR="00F02189" w:rsidRPr="00A91C54" w:rsidRDefault="00D33FE7" w:rsidP="00D33FE7">
            <w:pPr>
              <w:pStyle w:val="ififthpara"/>
              <w:spacing w:before="60" w:after="60"/>
              <w:ind w:left="0"/>
              <w:jc w:val="left"/>
              <w:rPr>
                <w:b/>
                <w:bCs/>
              </w:rPr>
            </w:pPr>
            <w:r w:rsidRPr="00A91C54">
              <w:rPr>
                <w:b/>
                <w:bCs/>
              </w:rPr>
              <w:lastRenderedPageBreak/>
              <w:t>PCR method</w:t>
            </w:r>
          </w:p>
        </w:tc>
        <w:tc>
          <w:tcPr>
            <w:tcW w:w="4961" w:type="dxa"/>
            <w:vAlign w:val="center"/>
          </w:tcPr>
          <w:p w14:paraId="49D1B88C" w14:textId="69A7E7D3" w:rsidR="00F02189" w:rsidRPr="00A91C54" w:rsidRDefault="00F02189" w:rsidP="00D33FE7">
            <w:pPr>
              <w:pStyle w:val="ififthpara"/>
              <w:spacing w:before="60" w:after="60"/>
              <w:ind w:left="0"/>
              <w:jc w:val="left"/>
              <w:rPr>
                <w:b/>
                <w:bCs/>
              </w:rPr>
            </w:pPr>
            <w:r w:rsidRPr="00A91C54">
              <w:rPr>
                <w:b/>
                <w:bCs/>
              </w:rPr>
              <w:t>PCR primer sequences</w:t>
            </w:r>
          </w:p>
        </w:tc>
        <w:tc>
          <w:tcPr>
            <w:tcW w:w="1560" w:type="dxa"/>
            <w:vAlign w:val="center"/>
          </w:tcPr>
          <w:p w14:paraId="0DA1AE33" w14:textId="6C08065D" w:rsidR="00F02189" w:rsidRPr="00A91C54" w:rsidRDefault="00F02189" w:rsidP="00B445CD">
            <w:pPr>
              <w:pStyle w:val="ififthpara"/>
              <w:spacing w:before="120" w:after="120"/>
              <w:ind w:left="0"/>
              <w:jc w:val="left"/>
              <w:rPr>
                <w:b/>
                <w:bCs/>
              </w:rPr>
            </w:pPr>
            <w:r w:rsidRPr="00A91C54">
              <w:rPr>
                <w:b/>
                <w:bCs/>
              </w:rPr>
              <w:t>Expected amplicon</w:t>
            </w:r>
          </w:p>
        </w:tc>
      </w:tr>
      <w:tr w:rsidR="00F02189" w:rsidRPr="00A91C54" w14:paraId="5DA76A79" w14:textId="77777777" w:rsidTr="00F02189">
        <w:tc>
          <w:tcPr>
            <w:tcW w:w="1701" w:type="dxa"/>
            <w:vMerge w:val="restart"/>
            <w:vAlign w:val="center"/>
          </w:tcPr>
          <w:p w14:paraId="3A476256" w14:textId="47867CCD" w:rsidR="00F02189" w:rsidRPr="00A91C54" w:rsidRDefault="00F02189" w:rsidP="00D33FE7">
            <w:pPr>
              <w:pStyle w:val="ififthpara"/>
              <w:spacing w:before="60" w:after="60"/>
              <w:ind w:left="0"/>
              <w:jc w:val="left"/>
            </w:pPr>
            <w:r w:rsidRPr="00A91C54">
              <w:rPr>
                <w:u w:val="double"/>
              </w:rPr>
              <w:t>16S rRNA for MG</w:t>
            </w:r>
          </w:p>
        </w:tc>
        <w:tc>
          <w:tcPr>
            <w:tcW w:w="4961" w:type="dxa"/>
            <w:vAlign w:val="center"/>
          </w:tcPr>
          <w:p w14:paraId="3B6E5F86" w14:textId="4A5578E5" w:rsidR="00F02189" w:rsidRPr="00A91C54" w:rsidRDefault="00F02189" w:rsidP="00D33FE7">
            <w:pPr>
              <w:pStyle w:val="ififthpara"/>
              <w:spacing w:before="60" w:after="60"/>
              <w:ind w:left="0"/>
              <w:jc w:val="left"/>
            </w:pPr>
            <w:r w:rsidRPr="00A91C54">
              <w:t>MG-14F: 5’-GAG-CTA-ATC-TGT-AAA-GTT-GGT-C-3’</w:t>
            </w:r>
          </w:p>
        </w:tc>
        <w:tc>
          <w:tcPr>
            <w:tcW w:w="1560" w:type="dxa"/>
            <w:vMerge w:val="restart"/>
            <w:vAlign w:val="center"/>
          </w:tcPr>
          <w:p w14:paraId="14536070" w14:textId="32756413" w:rsidR="00F02189" w:rsidRPr="00A91C54" w:rsidRDefault="00F02189" w:rsidP="00B445CD">
            <w:pPr>
              <w:pStyle w:val="ififthpara"/>
              <w:spacing w:before="120" w:after="120"/>
              <w:ind w:left="0"/>
              <w:jc w:val="left"/>
            </w:pPr>
            <w:r w:rsidRPr="00A91C54">
              <w:rPr>
                <w:u w:val="double"/>
              </w:rPr>
              <w:t>183 bp</w:t>
            </w:r>
          </w:p>
        </w:tc>
      </w:tr>
      <w:tr w:rsidR="00F02189" w:rsidRPr="00A91C54" w14:paraId="73CB9672" w14:textId="77777777" w:rsidTr="00F02189">
        <w:tc>
          <w:tcPr>
            <w:tcW w:w="1701" w:type="dxa"/>
            <w:vMerge/>
            <w:vAlign w:val="center"/>
          </w:tcPr>
          <w:p w14:paraId="589B7546" w14:textId="77777777" w:rsidR="00F02189" w:rsidRPr="00A91C54" w:rsidRDefault="00F02189" w:rsidP="00D33FE7">
            <w:pPr>
              <w:pStyle w:val="ififthpara"/>
              <w:spacing w:before="60" w:after="60"/>
              <w:ind w:left="0"/>
              <w:jc w:val="left"/>
            </w:pPr>
          </w:p>
        </w:tc>
        <w:tc>
          <w:tcPr>
            <w:tcW w:w="4961" w:type="dxa"/>
            <w:vAlign w:val="center"/>
          </w:tcPr>
          <w:p w14:paraId="10B0496C" w14:textId="30D4CF09" w:rsidR="00F02189" w:rsidRPr="00A91C54" w:rsidRDefault="00F02189" w:rsidP="00D33FE7">
            <w:pPr>
              <w:pStyle w:val="ififthpara"/>
              <w:spacing w:before="60" w:after="60"/>
              <w:ind w:left="0"/>
              <w:jc w:val="left"/>
            </w:pPr>
            <w:r w:rsidRPr="00A91C54">
              <w:t>MG-13R: 5’-GCT-TCC-TTG-CGG-TTA-GCA-AC-3</w:t>
            </w:r>
          </w:p>
        </w:tc>
        <w:tc>
          <w:tcPr>
            <w:tcW w:w="1560" w:type="dxa"/>
            <w:vMerge/>
            <w:vAlign w:val="center"/>
          </w:tcPr>
          <w:p w14:paraId="55FD5C52" w14:textId="77777777" w:rsidR="00F02189" w:rsidRPr="00A91C54" w:rsidRDefault="00F02189" w:rsidP="00B445CD">
            <w:pPr>
              <w:pStyle w:val="ififthpara"/>
              <w:spacing w:before="120" w:after="120"/>
              <w:ind w:left="0"/>
              <w:jc w:val="left"/>
            </w:pPr>
          </w:p>
        </w:tc>
      </w:tr>
      <w:tr w:rsidR="00F02189" w:rsidRPr="00A91C54" w14:paraId="673F2683" w14:textId="77777777" w:rsidTr="00F02189">
        <w:tc>
          <w:tcPr>
            <w:tcW w:w="1701" w:type="dxa"/>
            <w:vMerge w:val="restart"/>
            <w:vAlign w:val="center"/>
          </w:tcPr>
          <w:p w14:paraId="0E8F225A" w14:textId="20AEFBE6" w:rsidR="00F02189" w:rsidRPr="00A91C54" w:rsidRDefault="00F02189" w:rsidP="00D33FE7">
            <w:pPr>
              <w:pStyle w:val="ififthpara"/>
              <w:spacing w:before="60" w:after="60"/>
              <w:ind w:left="0"/>
              <w:jc w:val="left"/>
              <w:rPr>
                <w:u w:val="double"/>
              </w:rPr>
            </w:pPr>
            <w:r w:rsidRPr="00A91C54">
              <w:rPr>
                <w:i/>
                <w:u w:val="double"/>
              </w:rPr>
              <w:t>mgc</w:t>
            </w:r>
            <w:r w:rsidRPr="00A91C54">
              <w:rPr>
                <w:u w:val="double"/>
              </w:rPr>
              <w:t>2 for MG</w:t>
            </w:r>
          </w:p>
        </w:tc>
        <w:tc>
          <w:tcPr>
            <w:tcW w:w="4961" w:type="dxa"/>
            <w:vAlign w:val="center"/>
          </w:tcPr>
          <w:p w14:paraId="093CDF5A" w14:textId="597C262D" w:rsidR="00F02189" w:rsidRPr="00A91C54" w:rsidRDefault="00F02189" w:rsidP="00D33FE7">
            <w:pPr>
              <w:pStyle w:val="ififthpara"/>
              <w:spacing w:before="60" w:after="60"/>
              <w:ind w:left="0"/>
              <w:jc w:val="left"/>
            </w:pPr>
            <w:r w:rsidRPr="00A91C54">
              <w:rPr>
                <w:u w:val="double"/>
              </w:rPr>
              <w:t>MG-1: 5’-CGC-AAT-TTG-GTC-CTN-ATC-CCC-AAC-A-3</w:t>
            </w:r>
          </w:p>
        </w:tc>
        <w:tc>
          <w:tcPr>
            <w:tcW w:w="1560" w:type="dxa"/>
            <w:vMerge w:val="restart"/>
            <w:vAlign w:val="center"/>
          </w:tcPr>
          <w:p w14:paraId="7F512681" w14:textId="00853C91" w:rsidR="00F02189" w:rsidRPr="00A91C54" w:rsidRDefault="00F02189" w:rsidP="00B445CD">
            <w:pPr>
              <w:pStyle w:val="ififthpara"/>
              <w:spacing w:before="120" w:after="120"/>
              <w:ind w:left="0"/>
              <w:jc w:val="left"/>
            </w:pPr>
            <w:r w:rsidRPr="00A91C54">
              <w:rPr>
                <w:u w:val="double"/>
              </w:rPr>
              <w:t>236–302 bp</w:t>
            </w:r>
          </w:p>
        </w:tc>
      </w:tr>
      <w:tr w:rsidR="00F02189" w:rsidRPr="00A91C54" w14:paraId="39C6B234" w14:textId="77777777" w:rsidTr="00F02189">
        <w:tc>
          <w:tcPr>
            <w:tcW w:w="1701" w:type="dxa"/>
            <w:vMerge/>
            <w:vAlign w:val="center"/>
          </w:tcPr>
          <w:p w14:paraId="4DB9FC99" w14:textId="77777777" w:rsidR="00F02189" w:rsidRPr="00A91C54" w:rsidRDefault="00F02189" w:rsidP="00D33FE7">
            <w:pPr>
              <w:pStyle w:val="ififthpara"/>
              <w:spacing w:before="60" w:after="60"/>
              <w:ind w:left="0"/>
              <w:jc w:val="left"/>
              <w:rPr>
                <w:u w:val="double"/>
              </w:rPr>
            </w:pPr>
          </w:p>
        </w:tc>
        <w:tc>
          <w:tcPr>
            <w:tcW w:w="4961" w:type="dxa"/>
            <w:vAlign w:val="center"/>
          </w:tcPr>
          <w:p w14:paraId="6C3AC3F6" w14:textId="249E3E97" w:rsidR="00F02189" w:rsidRPr="00A91C54" w:rsidRDefault="00F02189" w:rsidP="00D33FE7">
            <w:pPr>
              <w:pStyle w:val="ififthpara"/>
              <w:spacing w:before="60" w:after="60"/>
              <w:ind w:left="0"/>
              <w:jc w:val="left"/>
            </w:pPr>
            <w:r w:rsidRPr="00A91C54">
              <w:rPr>
                <w:u w:val="double"/>
              </w:rPr>
              <w:t>MG-2: 5’-TAA-ACC-CRC-CTC-CAG-CTT-TAT-TTC-C-3’</w:t>
            </w:r>
          </w:p>
        </w:tc>
        <w:tc>
          <w:tcPr>
            <w:tcW w:w="1560" w:type="dxa"/>
            <w:vMerge/>
            <w:vAlign w:val="center"/>
          </w:tcPr>
          <w:p w14:paraId="257CA4B0" w14:textId="77777777" w:rsidR="00F02189" w:rsidRPr="00A91C54" w:rsidRDefault="00F02189" w:rsidP="00B445CD">
            <w:pPr>
              <w:pStyle w:val="ififthpara"/>
              <w:spacing w:before="120" w:after="120"/>
              <w:ind w:left="0"/>
              <w:jc w:val="left"/>
            </w:pPr>
          </w:p>
        </w:tc>
      </w:tr>
      <w:tr w:rsidR="00F02189" w:rsidRPr="00A91C54" w14:paraId="338384D9" w14:textId="77777777" w:rsidTr="00F02189">
        <w:tc>
          <w:tcPr>
            <w:tcW w:w="1701" w:type="dxa"/>
            <w:vMerge w:val="restart"/>
            <w:vAlign w:val="center"/>
          </w:tcPr>
          <w:p w14:paraId="211243E6" w14:textId="03402AE7" w:rsidR="00F02189" w:rsidRPr="00A91C54" w:rsidRDefault="00F02189" w:rsidP="00D33FE7">
            <w:pPr>
              <w:pStyle w:val="ififthpara"/>
              <w:spacing w:before="60" w:after="60"/>
              <w:ind w:left="0"/>
              <w:jc w:val="left"/>
            </w:pPr>
            <w:r w:rsidRPr="00A91C54">
              <w:rPr>
                <w:u w:val="double"/>
              </w:rPr>
              <w:t>16S rRNA for MS</w:t>
            </w:r>
          </w:p>
        </w:tc>
        <w:tc>
          <w:tcPr>
            <w:tcW w:w="4961" w:type="dxa"/>
            <w:vAlign w:val="center"/>
          </w:tcPr>
          <w:p w14:paraId="66C0B726" w14:textId="7A577E7F" w:rsidR="00F02189" w:rsidRPr="00A91C54" w:rsidRDefault="00F02189" w:rsidP="00D33FE7">
            <w:pPr>
              <w:pStyle w:val="ififthpara"/>
              <w:spacing w:before="60" w:after="60"/>
              <w:ind w:left="0"/>
              <w:jc w:val="left"/>
            </w:pPr>
            <w:r w:rsidRPr="00A91C54">
              <w:t>MS–F:5’-GAG-AAG-CAA-AAT-AGT-GAT-ATC-A-3’</w:t>
            </w:r>
          </w:p>
        </w:tc>
        <w:tc>
          <w:tcPr>
            <w:tcW w:w="1560" w:type="dxa"/>
            <w:vMerge w:val="restart"/>
            <w:vAlign w:val="center"/>
          </w:tcPr>
          <w:p w14:paraId="0A3F2538" w14:textId="0D7141D6" w:rsidR="00F02189" w:rsidRPr="00A91C54" w:rsidRDefault="00F02189" w:rsidP="00D33FE7">
            <w:pPr>
              <w:pStyle w:val="ififthpara"/>
              <w:spacing w:before="60" w:after="60"/>
              <w:ind w:left="0"/>
              <w:jc w:val="left"/>
            </w:pPr>
            <w:r w:rsidRPr="00A91C54">
              <w:rPr>
                <w:u w:val="double"/>
              </w:rPr>
              <w:t>211 bp</w:t>
            </w:r>
          </w:p>
        </w:tc>
      </w:tr>
      <w:tr w:rsidR="00F02189" w14:paraId="596C8F0C" w14:textId="77777777" w:rsidTr="00F02189">
        <w:tc>
          <w:tcPr>
            <w:tcW w:w="1701" w:type="dxa"/>
            <w:vMerge/>
          </w:tcPr>
          <w:p w14:paraId="6F2BD2DD" w14:textId="77777777" w:rsidR="00F02189" w:rsidRPr="00A91C54" w:rsidRDefault="00F02189" w:rsidP="00D33FE7">
            <w:pPr>
              <w:pStyle w:val="ififthpara"/>
              <w:spacing w:before="60" w:after="60"/>
              <w:ind w:left="0"/>
              <w:jc w:val="left"/>
            </w:pPr>
          </w:p>
        </w:tc>
        <w:tc>
          <w:tcPr>
            <w:tcW w:w="4961" w:type="dxa"/>
            <w:vAlign w:val="center"/>
          </w:tcPr>
          <w:p w14:paraId="238A3771" w14:textId="1B082797" w:rsidR="00F02189" w:rsidRDefault="00F02189" w:rsidP="00D33FE7">
            <w:pPr>
              <w:pStyle w:val="ififthpara"/>
              <w:spacing w:before="60" w:after="60"/>
              <w:ind w:left="0"/>
              <w:jc w:val="left"/>
            </w:pPr>
            <w:r w:rsidRPr="00A91C54">
              <w:t>MS–R:5’-CAG-TCG-TCT-CCG-AAG-TTA-ACA-A-3’</w:t>
            </w:r>
          </w:p>
        </w:tc>
        <w:tc>
          <w:tcPr>
            <w:tcW w:w="1560" w:type="dxa"/>
            <w:vMerge/>
            <w:vAlign w:val="center"/>
          </w:tcPr>
          <w:p w14:paraId="087DB3EF" w14:textId="77777777" w:rsidR="00F02189" w:rsidRDefault="00F02189" w:rsidP="00B445CD">
            <w:pPr>
              <w:pStyle w:val="ififthpara"/>
              <w:spacing w:before="120" w:after="120"/>
              <w:ind w:left="0"/>
              <w:jc w:val="left"/>
            </w:pPr>
          </w:p>
        </w:tc>
      </w:tr>
    </w:tbl>
    <w:p w14:paraId="0942889A" w14:textId="23104F14" w:rsidR="00186891" w:rsidRPr="00E163F0" w:rsidRDefault="00D617BE" w:rsidP="00B445CD">
      <w:pPr>
        <w:pStyle w:val="afourthlevel"/>
        <w:spacing w:before="240"/>
      </w:pPr>
      <w:r w:rsidRPr="00D617BE">
        <w:rPr>
          <w:u w:val="double"/>
        </w:rPr>
        <w:t>1.3.</w:t>
      </w:r>
      <w:r w:rsidR="00C040BB">
        <w:rPr>
          <w:u w:val="double"/>
        </w:rPr>
        <w:t>1.3</w:t>
      </w:r>
      <w:r w:rsidR="00D609A7" w:rsidRPr="00D617BE">
        <w:rPr>
          <w:u w:val="double"/>
        </w:rPr>
        <w:t>.</w:t>
      </w:r>
      <w:r w:rsidR="00C040BB">
        <w:t xml:space="preserve"> </w:t>
      </w:r>
      <w:r w:rsidR="00186891" w:rsidRPr="00E163F0">
        <w:t>Polymerase chain reaction</w:t>
      </w:r>
    </w:p>
    <w:p w14:paraId="0A9B3FC8" w14:textId="48C305E9" w:rsidR="00815ACD" w:rsidRDefault="00F949EB" w:rsidP="00F949EB">
      <w:pPr>
        <w:pStyle w:val="i"/>
      </w:pPr>
      <w:r w:rsidRPr="00F949EB">
        <w:rPr>
          <w:u w:val="double"/>
        </w:rPr>
        <w:t>i)</w:t>
      </w:r>
      <w:r>
        <w:tab/>
      </w:r>
      <w:r w:rsidRPr="002D24BB">
        <w:t>The reaction mixture should be prepared</w:t>
      </w:r>
      <w:r w:rsidRPr="00935A7E">
        <w:rPr>
          <w:u w:val="double"/>
        </w:rPr>
        <w:t>, according to the manufacturer’s instruction,</w:t>
      </w:r>
      <w:r>
        <w:t xml:space="preserve"> </w:t>
      </w:r>
      <w:r w:rsidRPr="002D24BB">
        <w:t xml:space="preserve">in a separate clean area using a set of dedicated pipettes. </w:t>
      </w:r>
      <w:r>
        <w:t xml:space="preserve">For </w:t>
      </w:r>
      <w:r w:rsidRPr="00935A7E">
        <w:rPr>
          <w:strike/>
        </w:rPr>
        <w:t xml:space="preserve">one 50 µl </w:t>
      </w:r>
      <w:r w:rsidRPr="00935A7E">
        <w:rPr>
          <w:u w:val="double"/>
        </w:rPr>
        <w:t>each sample, dispense into a</w:t>
      </w:r>
      <w:r w:rsidRPr="002D24BB">
        <w:t xml:space="preserve"> PCR </w:t>
      </w:r>
      <w:r w:rsidRPr="00935A7E">
        <w:rPr>
          <w:strike/>
        </w:rPr>
        <w:t>reaction the mixture is as follows:</w:t>
      </w:r>
      <w:r>
        <w:rPr>
          <w:strike/>
        </w:rPr>
        <w:t xml:space="preserve"> </w:t>
      </w:r>
      <w:r w:rsidRPr="00F26723">
        <w:rPr>
          <w:u w:val="double"/>
        </w:rPr>
        <w:t>tube</w:t>
      </w:r>
      <w:r w:rsidRPr="002D24BB">
        <w:t xml:space="preserve"> 45</w:t>
      </w:r>
      <w:r w:rsidRPr="00E163F0">
        <w:t> </w:t>
      </w:r>
      <w:r w:rsidRPr="002D24BB">
        <w:t xml:space="preserve">µl volume of </w:t>
      </w:r>
      <w:r w:rsidRPr="00F26723">
        <w:rPr>
          <w:strike/>
        </w:rPr>
        <w:t xml:space="preserve">the reaction mixture is dispensed into each PCR tube </w:t>
      </w:r>
      <w:r w:rsidRPr="00F26723">
        <w:rPr>
          <w:u w:val="double"/>
        </w:rPr>
        <w:t>mix containing 0</w:t>
      </w:r>
      <w:r w:rsidR="00722D5D">
        <w:rPr>
          <w:u w:val="double"/>
        </w:rPr>
        <w:t>.</w:t>
      </w:r>
      <w:r w:rsidRPr="00F26723">
        <w:rPr>
          <w:u w:val="double"/>
        </w:rPr>
        <w:t xml:space="preserve">4 µM of each primer for 16S rRNA MS and </w:t>
      </w:r>
      <w:r w:rsidRPr="00F26723">
        <w:rPr>
          <w:i/>
          <w:u w:val="double"/>
        </w:rPr>
        <w:t>mgc</w:t>
      </w:r>
      <w:r w:rsidRPr="00F26723">
        <w:rPr>
          <w:u w:val="double"/>
        </w:rPr>
        <w:t>2 MG, or 0</w:t>
      </w:r>
      <w:r w:rsidR="00722D5D">
        <w:rPr>
          <w:u w:val="double"/>
        </w:rPr>
        <w:t>.</w:t>
      </w:r>
      <w:r w:rsidRPr="00F26723">
        <w:rPr>
          <w:u w:val="double"/>
        </w:rPr>
        <w:t xml:space="preserve">2 µM for 16S rRNA MG. </w:t>
      </w:r>
      <w:r w:rsidR="00F6461A">
        <w:rPr>
          <w:u w:val="double"/>
        </w:rPr>
        <w:t>An i</w:t>
      </w:r>
      <w:r w:rsidR="00697BFC" w:rsidRPr="00504E27">
        <w:rPr>
          <w:u w:val="double"/>
        </w:rPr>
        <w:t>nternal amplification control (IAC)</w:t>
      </w:r>
      <w:r w:rsidR="00697BFC">
        <w:rPr>
          <w:u w:val="double"/>
        </w:rPr>
        <w:t xml:space="preserve"> </w:t>
      </w:r>
      <w:r w:rsidRPr="00F26723">
        <w:rPr>
          <w:u w:val="double"/>
        </w:rPr>
        <w:t>could be included as a commercial exogenous kit or using designed primers for endogenous sequence (e</w:t>
      </w:r>
      <w:r w:rsidR="00722D5D">
        <w:rPr>
          <w:u w:val="double"/>
        </w:rPr>
        <w:t>.</w:t>
      </w:r>
      <w:r w:rsidRPr="00F26723">
        <w:rPr>
          <w:u w:val="double"/>
        </w:rPr>
        <w:t>g</w:t>
      </w:r>
      <w:r w:rsidR="00722D5D">
        <w:rPr>
          <w:u w:val="double"/>
        </w:rPr>
        <w:t>.</w:t>
      </w:r>
      <w:r w:rsidRPr="00F26723">
        <w:rPr>
          <w:u w:val="double"/>
        </w:rPr>
        <w:t xml:space="preserve"> 18S rRNA for eukaryotic derived samples) amplifying at same PCR conditions</w:t>
      </w:r>
      <w:r w:rsidRPr="002D24BB">
        <w:t>. The reaction mixture should be overlaid with a few drops of light weight mineral oil unless the thermocyler is equipped with a heated lid. The tubes are taken to another clean area where the appr</w:t>
      </w:r>
      <w:r>
        <w:t xml:space="preserve">opriate </w:t>
      </w:r>
      <w:r w:rsidRPr="00F26723">
        <w:rPr>
          <w:u w:val="double"/>
        </w:rPr>
        <w:t>extracted</w:t>
      </w:r>
      <w:r>
        <w:t xml:space="preserve"> DNA sample (5</w:t>
      </w:r>
      <w:r w:rsidRPr="00E163F0">
        <w:t> </w:t>
      </w:r>
      <w:r w:rsidRPr="002D24BB">
        <w:t>µl) is added to each tube. Positive and negative control</w:t>
      </w:r>
      <w:r w:rsidRPr="00F26723">
        <w:rPr>
          <w:strike/>
        </w:rPr>
        <w:t>s</w:t>
      </w:r>
      <w:r w:rsidRPr="002D24BB">
        <w:t xml:space="preserve"> </w:t>
      </w:r>
      <w:r w:rsidRPr="00F26723">
        <w:rPr>
          <w:u w:val="double"/>
        </w:rPr>
        <w:t>DNA</w:t>
      </w:r>
      <w:r w:rsidRPr="002D24BB">
        <w:t xml:space="preserve"> should be </w:t>
      </w:r>
      <w:r w:rsidRPr="00F26723">
        <w:rPr>
          <w:strike/>
        </w:rPr>
        <w:t>used</w:t>
      </w:r>
      <w:r>
        <w:rPr>
          <w:strike/>
        </w:rPr>
        <w:t xml:space="preserve"> </w:t>
      </w:r>
      <w:r w:rsidRPr="00F26723">
        <w:rPr>
          <w:u w:val="double"/>
        </w:rPr>
        <w:t>run</w:t>
      </w:r>
      <w:r w:rsidRPr="002D24BB">
        <w:t xml:space="preserve"> in each </w:t>
      </w:r>
      <w:r w:rsidRPr="00F26723">
        <w:rPr>
          <w:strike/>
        </w:rPr>
        <w:t>run</w:t>
      </w:r>
      <w:r>
        <w:rPr>
          <w:strike/>
        </w:rPr>
        <w:t xml:space="preserve"> </w:t>
      </w:r>
      <w:r w:rsidRPr="00F26723">
        <w:rPr>
          <w:u w:val="double"/>
        </w:rPr>
        <w:t>assay</w:t>
      </w:r>
      <w:r>
        <w:rPr>
          <w:u w:val="double"/>
        </w:rPr>
        <w:t>.</w:t>
      </w:r>
      <w:r w:rsidRPr="00F949EB">
        <w:t xml:space="preserve"> </w:t>
      </w:r>
      <w:r w:rsidRPr="00E163F0">
        <w:t>The tubes are then placed in a thermal cycler for the following cycles: 40 cycles: 94°C for 30 seconds, 55°C for 30 seconds, 72°C for 60 seconds, 1 cycle (final extension): 72°C for 5 minutes and soak at 4°C.</w:t>
      </w:r>
    </w:p>
    <w:p w14:paraId="587F21EF" w14:textId="28DB04D8" w:rsidR="00186891" w:rsidRPr="00A91C54" w:rsidRDefault="00F949EB" w:rsidP="00F949EB">
      <w:pPr>
        <w:pStyle w:val="i"/>
        <w:rPr>
          <w:u w:val="double"/>
        </w:rPr>
      </w:pPr>
      <w:r w:rsidRPr="00F949EB">
        <w:rPr>
          <w:u w:val="double"/>
        </w:rPr>
        <w:t>ii)</w:t>
      </w:r>
      <w:r w:rsidRPr="00F949EB">
        <w:rPr>
          <w:u w:val="double"/>
        </w:rPr>
        <w:tab/>
      </w:r>
      <w:r w:rsidRPr="0090305D">
        <w:rPr>
          <w:u w:val="double"/>
        </w:rPr>
        <w:t xml:space="preserve">For amplification of 16s rRNA MS and </w:t>
      </w:r>
      <w:r w:rsidRPr="0090305D">
        <w:rPr>
          <w:i/>
          <w:u w:val="double"/>
        </w:rPr>
        <w:t>mgc</w:t>
      </w:r>
      <w:r w:rsidRPr="0090305D">
        <w:rPr>
          <w:u w:val="double"/>
        </w:rPr>
        <w:t>2 MG using a hot start Taq polymerase</w:t>
      </w:r>
      <w:r w:rsidR="0090305D" w:rsidRPr="0090305D">
        <w:rPr>
          <w:u w:val="double"/>
        </w:rPr>
        <w:t xml:space="preserve">, </w:t>
      </w:r>
      <w:r w:rsidR="0090305D" w:rsidRPr="00A91C54">
        <w:rPr>
          <w:u w:val="double"/>
        </w:rPr>
        <w:t>run the therm</w:t>
      </w:r>
      <w:r w:rsidR="00D33FE7" w:rsidRPr="00A91C54">
        <w:rPr>
          <w:u w:val="double"/>
        </w:rPr>
        <w:t>o</w:t>
      </w:r>
      <w:r w:rsidR="0090305D" w:rsidRPr="00A91C54">
        <w:rPr>
          <w:u w:val="double"/>
        </w:rPr>
        <w:t>cycler at the following pro</w:t>
      </w:r>
      <w:r w:rsidR="00D33FE7" w:rsidRPr="00A91C54">
        <w:rPr>
          <w:u w:val="double"/>
        </w:rPr>
        <w:t>file</w:t>
      </w:r>
      <w:r w:rsidRPr="00A91C54">
        <w:rPr>
          <w:u w:val="double"/>
        </w:rPr>
        <w:t xml:space="preserve">: </w:t>
      </w:r>
      <w:r w:rsidRPr="00A91C54">
        <w:rPr>
          <w:strike/>
        </w:rPr>
        <w:t>activation of polymerase 95°C for 10 minutes, 40 cycles of 95°C for 45 seconds, 54°C for 60 seconds, 72°C for 60 seconds, 1 cycle (final extension): 72°C for 7 minutes and soak at 4°C.</w:t>
      </w:r>
    </w:p>
    <w:tbl>
      <w:tblPr>
        <w:tblStyle w:val="Grilledutableau"/>
        <w:tblW w:w="7229" w:type="dxa"/>
        <w:tblInd w:w="1838" w:type="dxa"/>
        <w:tblLook w:val="04A0" w:firstRow="1" w:lastRow="0" w:firstColumn="1" w:lastColumn="0" w:noHBand="0" w:noVBand="1"/>
      </w:tblPr>
      <w:tblGrid>
        <w:gridCol w:w="2410"/>
        <w:gridCol w:w="1134"/>
        <w:gridCol w:w="1843"/>
        <w:gridCol w:w="1842"/>
      </w:tblGrid>
      <w:tr w:rsidR="0090305D" w:rsidRPr="00A91C54" w14:paraId="1123A309" w14:textId="77777777" w:rsidTr="00A07FA4">
        <w:tc>
          <w:tcPr>
            <w:tcW w:w="2410" w:type="dxa"/>
          </w:tcPr>
          <w:p w14:paraId="67DE36F8" w14:textId="07DA540D" w:rsidR="0090305D" w:rsidRPr="00A91C54" w:rsidRDefault="0090305D" w:rsidP="00F02189">
            <w:pPr>
              <w:pStyle w:val="i"/>
              <w:spacing w:before="60" w:after="60"/>
              <w:ind w:left="0" w:firstLine="0"/>
              <w:jc w:val="left"/>
              <w:rPr>
                <w:u w:val="double"/>
              </w:rPr>
            </w:pPr>
            <w:r w:rsidRPr="00A91C54">
              <w:rPr>
                <w:u w:val="double"/>
              </w:rPr>
              <w:t>Polymerase activation</w:t>
            </w:r>
          </w:p>
        </w:tc>
        <w:tc>
          <w:tcPr>
            <w:tcW w:w="1134" w:type="dxa"/>
            <w:vAlign w:val="center"/>
          </w:tcPr>
          <w:p w14:paraId="1D7181AB" w14:textId="2DF33FAA" w:rsidR="0090305D" w:rsidRPr="00A91C54" w:rsidRDefault="0090305D" w:rsidP="00F02189">
            <w:pPr>
              <w:pStyle w:val="i"/>
              <w:spacing w:before="60" w:after="60"/>
              <w:ind w:left="0" w:firstLine="0"/>
              <w:jc w:val="left"/>
              <w:rPr>
                <w:u w:val="double"/>
              </w:rPr>
            </w:pPr>
            <w:r w:rsidRPr="00A91C54">
              <w:rPr>
                <w:u w:val="double"/>
              </w:rPr>
              <w:t>95°C</w:t>
            </w:r>
          </w:p>
        </w:tc>
        <w:tc>
          <w:tcPr>
            <w:tcW w:w="1843" w:type="dxa"/>
          </w:tcPr>
          <w:p w14:paraId="6B0CD4F9" w14:textId="2BF732C7" w:rsidR="0090305D" w:rsidRPr="00A91C54" w:rsidRDefault="0090305D" w:rsidP="00F02189">
            <w:pPr>
              <w:pStyle w:val="i"/>
              <w:spacing w:before="60" w:after="60"/>
              <w:ind w:left="0" w:firstLine="0"/>
              <w:jc w:val="left"/>
              <w:rPr>
                <w:u w:val="double"/>
              </w:rPr>
            </w:pPr>
            <w:r w:rsidRPr="00A91C54">
              <w:rPr>
                <w:u w:val="double"/>
              </w:rPr>
              <w:t>10 minutes</w:t>
            </w:r>
          </w:p>
        </w:tc>
        <w:tc>
          <w:tcPr>
            <w:tcW w:w="1842" w:type="dxa"/>
            <w:vAlign w:val="center"/>
          </w:tcPr>
          <w:p w14:paraId="26882D27" w14:textId="53E7C851" w:rsidR="0090305D" w:rsidRPr="00A91C54" w:rsidRDefault="0090305D" w:rsidP="00F02189">
            <w:pPr>
              <w:pStyle w:val="i"/>
              <w:spacing w:before="60" w:after="60"/>
              <w:ind w:left="0" w:firstLine="0"/>
              <w:jc w:val="left"/>
              <w:rPr>
                <w:u w:val="double"/>
              </w:rPr>
            </w:pPr>
          </w:p>
        </w:tc>
      </w:tr>
      <w:tr w:rsidR="00A07FA4" w:rsidRPr="00A91C54" w14:paraId="245E9015" w14:textId="77777777" w:rsidTr="00A07FA4">
        <w:tc>
          <w:tcPr>
            <w:tcW w:w="2410" w:type="dxa"/>
            <w:vMerge w:val="restart"/>
          </w:tcPr>
          <w:p w14:paraId="52237175" w14:textId="4599FCB1" w:rsidR="00A07FA4" w:rsidRPr="00A91C54" w:rsidRDefault="00A07FA4" w:rsidP="00F02189">
            <w:pPr>
              <w:pStyle w:val="i"/>
              <w:spacing w:before="60" w:after="60"/>
              <w:ind w:left="0" w:firstLine="0"/>
              <w:jc w:val="left"/>
              <w:rPr>
                <w:u w:val="double"/>
              </w:rPr>
            </w:pPr>
            <w:r w:rsidRPr="00A91C54">
              <w:rPr>
                <w:u w:val="double"/>
              </w:rPr>
              <w:t>40 cycles</w:t>
            </w:r>
          </w:p>
        </w:tc>
        <w:tc>
          <w:tcPr>
            <w:tcW w:w="1134" w:type="dxa"/>
            <w:vAlign w:val="center"/>
          </w:tcPr>
          <w:p w14:paraId="1F324D43" w14:textId="52EFBC9B" w:rsidR="00A07FA4" w:rsidRPr="00A91C54" w:rsidRDefault="00A07FA4" w:rsidP="00F02189">
            <w:pPr>
              <w:pStyle w:val="i"/>
              <w:spacing w:before="60" w:after="60"/>
              <w:ind w:left="0" w:firstLine="0"/>
              <w:jc w:val="left"/>
              <w:rPr>
                <w:u w:val="double"/>
              </w:rPr>
            </w:pPr>
            <w:r w:rsidRPr="00A91C54">
              <w:rPr>
                <w:u w:val="double"/>
              </w:rPr>
              <w:t xml:space="preserve">95°C </w:t>
            </w:r>
          </w:p>
        </w:tc>
        <w:tc>
          <w:tcPr>
            <w:tcW w:w="1843" w:type="dxa"/>
          </w:tcPr>
          <w:p w14:paraId="263CC536" w14:textId="4EA6BE4D" w:rsidR="00A07FA4" w:rsidRPr="00A91C54" w:rsidRDefault="00A07FA4" w:rsidP="00F02189">
            <w:pPr>
              <w:pStyle w:val="i"/>
              <w:spacing w:before="60" w:after="60"/>
              <w:ind w:left="0" w:firstLine="0"/>
              <w:jc w:val="left"/>
              <w:rPr>
                <w:u w:val="double"/>
              </w:rPr>
            </w:pPr>
            <w:r w:rsidRPr="00A91C54">
              <w:rPr>
                <w:u w:val="double"/>
              </w:rPr>
              <w:t>45 seconds</w:t>
            </w:r>
          </w:p>
        </w:tc>
        <w:tc>
          <w:tcPr>
            <w:tcW w:w="1842" w:type="dxa"/>
            <w:vAlign w:val="center"/>
          </w:tcPr>
          <w:p w14:paraId="67CAD7A2" w14:textId="70B9911F" w:rsidR="00A07FA4" w:rsidRPr="00A91C54" w:rsidRDefault="00A07FA4" w:rsidP="00F02189">
            <w:pPr>
              <w:pStyle w:val="i"/>
              <w:spacing w:before="60" w:after="60"/>
              <w:ind w:left="0" w:firstLine="0"/>
              <w:jc w:val="left"/>
              <w:rPr>
                <w:u w:val="double"/>
              </w:rPr>
            </w:pPr>
          </w:p>
        </w:tc>
      </w:tr>
      <w:tr w:rsidR="00A07FA4" w:rsidRPr="00A91C54" w14:paraId="5587B03F" w14:textId="77777777" w:rsidTr="00A07FA4">
        <w:tc>
          <w:tcPr>
            <w:tcW w:w="2410" w:type="dxa"/>
            <w:vMerge/>
          </w:tcPr>
          <w:p w14:paraId="6D7AA573" w14:textId="05533EEC" w:rsidR="00A07FA4" w:rsidRPr="00A91C54" w:rsidRDefault="00A07FA4" w:rsidP="00F02189">
            <w:pPr>
              <w:pStyle w:val="i"/>
              <w:spacing w:before="60" w:after="60"/>
              <w:ind w:left="0" w:firstLine="0"/>
              <w:jc w:val="left"/>
              <w:rPr>
                <w:u w:val="double"/>
              </w:rPr>
            </w:pPr>
          </w:p>
        </w:tc>
        <w:tc>
          <w:tcPr>
            <w:tcW w:w="1134" w:type="dxa"/>
            <w:vAlign w:val="center"/>
          </w:tcPr>
          <w:p w14:paraId="129B73C3" w14:textId="34C4659A" w:rsidR="00A07FA4" w:rsidRPr="00A91C54" w:rsidRDefault="00A07FA4" w:rsidP="00F02189">
            <w:pPr>
              <w:pStyle w:val="i"/>
              <w:spacing w:before="60" w:after="60"/>
              <w:ind w:left="0" w:firstLine="0"/>
              <w:jc w:val="left"/>
              <w:rPr>
                <w:u w:val="double"/>
              </w:rPr>
            </w:pPr>
            <w:r w:rsidRPr="00A91C54">
              <w:rPr>
                <w:u w:val="double"/>
              </w:rPr>
              <w:t>54°C</w:t>
            </w:r>
          </w:p>
        </w:tc>
        <w:tc>
          <w:tcPr>
            <w:tcW w:w="1843" w:type="dxa"/>
          </w:tcPr>
          <w:p w14:paraId="660774F7" w14:textId="51F884E9" w:rsidR="00A07FA4" w:rsidRPr="00A91C54" w:rsidRDefault="00A07FA4" w:rsidP="00F02189">
            <w:pPr>
              <w:pStyle w:val="i"/>
              <w:spacing w:before="60" w:after="60"/>
              <w:ind w:left="0" w:firstLine="0"/>
              <w:jc w:val="left"/>
              <w:rPr>
                <w:u w:val="double"/>
              </w:rPr>
            </w:pPr>
            <w:r w:rsidRPr="00A91C54">
              <w:rPr>
                <w:u w:val="double"/>
              </w:rPr>
              <w:t>60 seconds</w:t>
            </w:r>
          </w:p>
        </w:tc>
        <w:tc>
          <w:tcPr>
            <w:tcW w:w="1842" w:type="dxa"/>
            <w:vAlign w:val="center"/>
          </w:tcPr>
          <w:p w14:paraId="70B4B64F" w14:textId="04665CEC" w:rsidR="00A07FA4" w:rsidRPr="00A91C54" w:rsidRDefault="00A07FA4" w:rsidP="00F02189">
            <w:pPr>
              <w:pStyle w:val="i"/>
              <w:spacing w:before="60" w:after="60"/>
              <w:ind w:left="0" w:firstLine="0"/>
              <w:jc w:val="left"/>
              <w:rPr>
                <w:u w:val="double"/>
              </w:rPr>
            </w:pPr>
          </w:p>
        </w:tc>
      </w:tr>
      <w:tr w:rsidR="00A07FA4" w:rsidRPr="00A91C54" w14:paraId="11849AF9" w14:textId="77777777" w:rsidTr="00A07FA4">
        <w:tc>
          <w:tcPr>
            <w:tcW w:w="2410" w:type="dxa"/>
            <w:vMerge/>
          </w:tcPr>
          <w:p w14:paraId="0DC76E0A" w14:textId="65A19C4E" w:rsidR="00A07FA4" w:rsidRPr="00A91C54" w:rsidRDefault="00A07FA4" w:rsidP="00F02189">
            <w:pPr>
              <w:pStyle w:val="i"/>
              <w:spacing w:before="60" w:after="60"/>
              <w:ind w:left="0" w:firstLine="0"/>
              <w:jc w:val="left"/>
              <w:rPr>
                <w:u w:val="double"/>
              </w:rPr>
            </w:pPr>
          </w:p>
        </w:tc>
        <w:tc>
          <w:tcPr>
            <w:tcW w:w="1134" w:type="dxa"/>
            <w:vAlign w:val="center"/>
          </w:tcPr>
          <w:p w14:paraId="34727A0C" w14:textId="152A2B2F" w:rsidR="00A07FA4" w:rsidRPr="00A91C54" w:rsidRDefault="00A07FA4" w:rsidP="00F02189">
            <w:pPr>
              <w:pStyle w:val="i"/>
              <w:spacing w:before="60" w:after="60"/>
              <w:ind w:left="0" w:firstLine="0"/>
              <w:jc w:val="left"/>
              <w:rPr>
                <w:u w:val="double"/>
              </w:rPr>
            </w:pPr>
            <w:r w:rsidRPr="00A91C54">
              <w:rPr>
                <w:u w:val="double"/>
              </w:rPr>
              <w:t>72°C</w:t>
            </w:r>
          </w:p>
        </w:tc>
        <w:tc>
          <w:tcPr>
            <w:tcW w:w="1843" w:type="dxa"/>
          </w:tcPr>
          <w:p w14:paraId="102F3A4D" w14:textId="43F65F61" w:rsidR="00A07FA4" w:rsidRPr="00A91C54" w:rsidRDefault="00A07FA4" w:rsidP="00F02189">
            <w:pPr>
              <w:pStyle w:val="i"/>
              <w:spacing w:before="60" w:after="60"/>
              <w:ind w:left="0" w:firstLine="0"/>
              <w:jc w:val="left"/>
              <w:rPr>
                <w:u w:val="double"/>
              </w:rPr>
            </w:pPr>
            <w:r w:rsidRPr="00A91C54">
              <w:rPr>
                <w:u w:val="double"/>
              </w:rPr>
              <w:t>60 seconds</w:t>
            </w:r>
          </w:p>
        </w:tc>
        <w:tc>
          <w:tcPr>
            <w:tcW w:w="1842" w:type="dxa"/>
            <w:vAlign w:val="center"/>
          </w:tcPr>
          <w:p w14:paraId="26C0E2EC" w14:textId="454BE6EE" w:rsidR="00A07FA4" w:rsidRPr="00A91C54" w:rsidRDefault="00A07FA4" w:rsidP="00F02189">
            <w:pPr>
              <w:pStyle w:val="i"/>
              <w:spacing w:before="60" w:after="60"/>
              <w:ind w:left="0" w:firstLine="0"/>
              <w:jc w:val="left"/>
              <w:rPr>
                <w:u w:val="double"/>
              </w:rPr>
            </w:pPr>
          </w:p>
        </w:tc>
      </w:tr>
      <w:tr w:rsidR="00A07FA4" w:rsidRPr="0090305D" w14:paraId="775B79D4" w14:textId="77777777" w:rsidTr="00A07FA4">
        <w:tc>
          <w:tcPr>
            <w:tcW w:w="2410" w:type="dxa"/>
          </w:tcPr>
          <w:p w14:paraId="28C4276B" w14:textId="0FCC2B64" w:rsidR="00A07FA4" w:rsidRPr="00A91C54" w:rsidRDefault="00A07FA4" w:rsidP="00F02189">
            <w:pPr>
              <w:pStyle w:val="i"/>
              <w:spacing w:before="60" w:after="60"/>
              <w:ind w:left="0" w:firstLine="0"/>
              <w:jc w:val="left"/>
              <w:rPr>
                <w:u w:val="double"/>
                <w:lang w:val="en-US"/>
              </w:rPr>
            </w:pPr>
            <w:r w:rsidRPr="00A91C54">
              <w:rPr>
                <w:u w:val="double"/>
                <w:lang w:val="en-US"/>
              </w:rPr>
              <w:t>1 cycle (</w:t>
            </w:r>
            <w:r w:rsidRPr="00A91C54">
              <w:rPr>
                <w:u w:val="double"/>
              </w:rPr>
              <w:t>final extension)</w:t>
            </w:r>
          </w:p>
        </w:tc>
        <w:tc>
          <w:tcPr>
            <w:tcW w:w="1134" w:type="dxa"/>
            <w:vAlign w:val="center"/>
          </w:tcPr>
          <w:p w14:paraId="0828FF8D" w14:textId="0C45D40B" w:rsidR="00A07FA4" w:rsidRPr="00A91C54" w:rsidRDefault="00A07FA4" w:rsidP="00F02189">
            <w:pPr>
              <w:pStyle w:val="i"/>
              <w:spacing w:before="60" w:after="60"/>
              <w:ind w:left="0" w:firstLine="0"/>
              <w:jc w:val="left"/>
              <w:rPr>
                <w:u w:val="double"/>
              </w:rPr>
            </w:pPr>
            <w:r w:rsidRPr="00A91C54">
              <w:rPr>
                <w:u w:val="double"/>
              </w:rPr>
              <w:t>72°C</w:t>
            </w:r>
          </w:p>
        </w:tc>
        <w:tc>
          <w:tcPr>
            <w:tcW w:w="1843" w:type="dxa"/>
          </w:tcPr>
          <w:p w14:paraId="27E0893C" w14:textId="771312A5" w:rsidR="00A07FA4" w:rsidRPr="00A91C54" w:rsidRDefault="00A07FA4" w:rsidP="00F02189">
            <w:pPr>
              <w:pStyle w:val="i"/>
              <w:spacing w:before="60" w:after="60"/>
              <w:ind w:left="0" w:firstLine="0"/>
              <w:jc w:val="left"/>
              <w:rPr>
                <w:u w:val="double"/>
              </w:rPr>
            </w:pPr>
            <w:r w:rsidRPr="00A91C54">
              <w:rPr>
                <w:u w:val="double"/>
              </w:rPr>
              <w:t>7 minutes</w:t>
            </w:r>
          </w:p>
        </w:tc>
        <w:tc>
          <w:tcPr>
            <w:tcW w:w="1842" w:type="dxa"/>
            <w:vAlign w:val="center"/>
          </w:tcPr>
          <w:p w14:paraId="6BFD816F" w14:textId="69400191" w:rsidR="00A07FA4" w:rsidRPr="00A91C54" w:rsidRDefault="00A07FA4" w:rsidP="00F02189">
            <w:pPr>
              <w:pStyle w:val="i"/>
              <w:spacing w:before="60" w:after="60"/>
              <w:ind w:left="0" w:firstLine="0"/>
              <w:jc w:val="left"/>
              <w:rPr>
                <w:u w:val="double"/>
              </w:rPr>
            </w:pPr>
            <w:r w:rsidRPr="00A91C54">
              <w:rPr>
                <w:u w:val="double"/>
              </w:rPr>
              <w:t>soak at 4°C</w:t>
            </w:r>
          </w:p>
        </w:tc>
      </w:tr>
    </w:tbl>
    <w:p w14:paraId="2045AB30" w14:textId="77777777" w:rsidR="00186891" w:rsidRPr="00BF11C6" w:rsidRDefault="00186891" w:rsidP="00D33FE7">
      <w:pPr>
        <w:pStyle w:val="paraa"/>
        <w:tabs>
          <w:tab w:val="clear" w:pos="-720"/>
        </w:tabs>
        <w:spacing w:before="240" w:after="0"/>
        <w:ind w:left="4564" w:hanging="2693"/>
        <w:rPr>
          <w:strike/>
          <w:lang w:val="pt-PT"/>
        </w:rPr>
      </w:pPr>
      <w:r w:rsidRPr="00BF11C6">
        <w:rPr>
          <w:strike/>
          <w:lang w:val="pt-PT"/>
        </w:rPr>
        <w:t>H</w:t>
      </w:r>
      <w:r w:rsidRPr="00BF11C6">
        <w:rPr>
          <w:strike/>
          <w:vertAlign w:val="subscript"/>
          <w:lang w:val="pt-PT"/>
        </w:rPr>
        <w:t>2</w:t>
      </w:r>
      <w:r w:rsidRPr="00BF11C6">
        <w:rPr>
          <w:strike/>
          <w:lang w:val="pt-PT"/>
        </w:rPr>
        <w:t>O Ultra-pure</w:t>
      </w:r>
      <w:r w:rsidRPr="00BF11C6">
        <w:rPr>
          <w:strike/>
          <w:lang w:val="pt-PT"/>
        </w:rPr>
        <w:tab/>
        <w:t>35.75 µl</w:t>
      </w:r>
    </w:p>
    <w:p w14:paraId="2BC5105A" w14:textId="77777777" w:rsidR="00186891" w:rsidRPr="00BF11C6" w:rsidRDefault="00186891" w:rsidP="00697BFC">
      <w:pPr>
        <w:pStyle w:val="paraa"/>
        <w:tabs>
          <w:tab w:val="clear" w:pos="-720"/>
        </w:tabs>
        <w:spacing w:after="0"/>
        <w:ind w:left="4564" w:hanging="2693"/>
        <w:rPr>
          <w:strike/>
          <w:lang w:val="pt-PT"/>
        </w:rPr>
      </w:pPr>
      <w:r w:rsidRPr="00BF11C6">
        <w:rPr>
          <w:strike/>
          <w:lang w:val="pt-PT"/>
        </w:rPr>
        <w:t>10 × PCR Buffer</w:t>
      </w:r>
      <w:r w:rsidRPr="00BF11C6">
        <w:rPr>
          <w:strike/>
          <w:lang w:val="pt-PT"/>
        </w:rPr>
        <w:tab/>
        <w:t>5.00 µl</w:t>
      </w:r>
    </w:p>
    <w:p w14:paraId="42112436" w14:textId="77777777" w:rsidR="00186891" w:rsidRPr="00BF11C6" w:rsidRDefault="00186891" w:rsidP="00697BFC">
      <w:pPr>
        <w:pStyle w:val="paraa"/>
        <w:tabs>
          <w:tab w:val="clear" w:pos="-720"/>
        </w:tabs>
        <w:spacing w:after="0"/>
        <w:ind w:left="4564" w:hanging="2693"/>
        <w:rPr>
          <w:strike/>
          <w:lang w:val="nb-NO"/>
        </w:rPr>
      </w:pPr>
      <w:r w:rsidRPr="00BF11C6">
        <w:rPr>
          <w:strike/>
          <w:lang w:val="nb-NO"/>
        </w:rPr>
        <w:t xml:space="preserve">dNTP(l0 mM) </w:t>
      </w:r>
      <w:r w:rsidRPr="00BF11C6">
        <w:rPr>
          <w:strike/>
          <w:lang w:val="nb-NO"/>
        </w:rPr>
        <w:tab/>
        <w:t>1.00 µl</w:t>
      </w:r>
    </w:p>
    <w:p w14:paraId="26A70B74" w14:textId="77777777" w:rsidR="00186891" w:rsidRPr="00BF11C6" w:rsidRDefault="00186891" w:rsidP="00697BFC">
      <w:pPr>
        <w:pStyle w:val="paraa"/>
        <w:tabs>
          <w:tab w:val="clear" w:pos="-720"/>
        </w:tabs>
        <w:spacing w:after="0"/>
        <w:ind w:left="4564" w:hanging="2693"/>
        <w:rPr>
          <w:strike/>
          <w:lang w:val="es-ES"/>
        </w:rPr>
      </w:pPr>
      <w:r w:rsidRPr="00BF11C6">
        <w:rPr>
          <w:strike/>
          <w:lang w:val="es-ES"/>
        </w:rPr>
        <w:t>F Primer (20 pmole/µl)</w:t>
      </w:r>
      <w:r w:rsidRPr="00BF11C6">
        <w:rPr>
          <w:strike/>
          <w:lang w:val="es-ES"/>
        </w:rPr>
        <w:tab/>
        <w:t>0.50 µl</w:t>
      </w:r>
    </w:p>
    <w:p w14:paraId="716F20D4" w14:textId="77777777" w:rsidR="00186891" w:rsidRPr="00BF11C6" w:rsidRDefault="00186891" w:rsidP="00697BFC">
      <w:pPr>
        <w:pStyle w:val="paraa"/>
        <w:tabs>
          <w:tab w:val="clear" w:pos="-720"/>
        </w:tabs>
        <w:spacing w:after="0"/>
        <w:ind w:left="4564" w:hanging="2693"/>
        <w:rPr>
          <w:strike/>
          <w:lang w:val="es-ES"/>
        </w:rPr>
      </w:pPr>
      <w:r w:rsidRPr="00BF11C6">
        <w:rPr>
          <w:strike/>
          <w:lang w:val="es-ES"/>
        </w:rPr>
        <w:t xml:space="preserve">R Primer (20 pmole/µl) </w:t>
      </w:r>
      <w:r w:rsidRPr="00BF11C6">
        <w:rPr>
          <w:strike/>
          <w:lang w:val="es-ES"/>
        </w:rPr>
        <w:tab/>
        <w:t>0.50 µl</w:t>
      </w:r>
    </w:p>
    <w:p w14:paraId="4F4B4DFD" w14:textId="77777777" w:rsidR="00186891" w:rsidRPr="00BF11C6" w:rsidRDefault="00186891" w:rsidP="00697BFC">
      <w:pPr>
        <w:pStyle w:val="paraa"/>
        <w:tabs>
          <w:tab w:val="clear" w:pos="-720"/>
        </w:tabs>
        <w:spacing w:after="0"/>
        <w:ind w:left="4564" w:hanging="2693"/>
        <w:rPr>
          <w:strike/>
          <w:lang w:val="es-ES"/>
        </w:rPr>
      </w:pPr>
      <w:r w:rsidRPr="00BF11C6">
        <w:rPr>
          <w:strike/>
          <w:lang w:val="es-ES"/>
        </w:rPr>
        <w:t>Taq (5 U/µl)</w:t>
      </w:r>
      <w:r w:rsidRPr="00BF11C6">
        <w:rPr>
          <w:strike/>
          <w:lang w:val="es-ES"/>
        </w:rPr>
        <w:tab/>
        <w:t>0.25 µl</w:t>
      </w:r>
    </w:p>
    <w:p w14:paraId="16FBCF2F" w14:textId="77777777" w:rsidR="00186891" w:rsidRPr="007A2047" w:rsidRDefault="00186891" w:rsidP="00697BFC">
      <w:pPr>
        <w:pStyle w:val="paraa"/>
        <w:tabs>
          <w:tab w:val="clear" w:pos="-720"/>
        </w:tabs>
        <w:ind w:left="4564" w:hanging="2693"/>
        <w:rPr>
          <w:strike/>
          <w:lang w:val="en-IE"/>
        </w:rPr>
      </w:pPr>
      <w:r w:rsidRPr="007A2047">
        <w:rPr>
          <w:strike/>
          <w:lang w:val="en-IE"/>
        </w:rPr>
        <w:t>MgCl</w:t>
      </w:r>
      <w:r w:rsidRPr="007A2047">
        <w:rPr>
          <w:strike/>
          <w:vertAlign w:val="subscript"/>
          <w:lang w:val="en-IE"/>
        </w:rPr>
        <w:t>2</w:t>
      </w:r>
      <w:r w:rsidRPr="007A2047">
        <w:rPr>
          <w:strike/>
          <w:lang w:val="en-IE"/>
        </w:rPr>
        <w:t xml:space="preserve"> (50 mM)</w:t>
      </w:r>
      <w:r w:rsidRPr="007A2047">
        <w:rPr>
          <w:strike/>
          <w:lang w:val="en-IE"/>
        </w:rPr>
        <w:tab/>
        <w:t>2.00 µl</w:t>
      </w:r>
    </w:p>
    <w:p w14:paraId="3222FD3B" w14:textId="7AB9B980" w:rsidR="00186891" w:rsidRPr="00E163F0" w:rsidRDefault="001344BC" w:rsidP="00D33FE7">
      <w:pPr>
        <w:pStyle w:val="afourthlevel"/>
        <w:spacing w:before="240"/>
      </w:pPr>
      <w:r w:rsidRPr="00C040BB">
        <w:rPr>
          <w:u w:val="double"/>
        </w:rPr>
        <w:t>1.3.</w:t>
      </w:r>
      <w:r w:rsidR="00C040BB" w:rsidRPr="00C040BB">
        <w:rPr>
          <w:u w:val="double"/>
        </w:rPr>
        <w:t>1.</w:t>
      </w:r>
      <w:r w:rsidR="00722D5D">
        <w:rPr>
          <w:u w:val="double"/>
        </w:rPr>
        <w:t>4</w:t>
      </w:r>
      <w:r w:rsidR="00D609A7" w:rsidRPr="00C040BB">
        <w:rPr>
          <w:u w:val="double"/>
        </w:rPr>
        <w:t>.</w:t>
      </w:r>
      <w:r w:rsidR="00C040BB">
        <w:t xml:space="preserve"> </w:t>
      </w:r>
      <w:r w:rsidR="00186891" w:rsidRPr="00E163F0">
        <w:t>Electrophoresis</w:t>
      </w:r>
    </w:p>
    <w:p w14:paraId="03599C3A" w14:textId="2BEB2174" w:rsidR="00186891" w:rsidRPr="00E163F0" w:rsidRDefault="00186891" w:rsidP="00C040BB">
      <w:pPr>
        <w:pStyle w:val="afourthpara"/>
      </w:pPr>
      <w:r w:rsidRPr="00E163F0">
        <w:t xml:space="preserve">PCR </w:t>
      </w:r>
      <w:r w:rsidR="001344BC" w:rsidRPr="00F26723">
        <w:rPr>
          <w:u w:val="double"/>
        </w:rPr>
        <w:t>amplification</w:t>
      </w:r>
      <w:r w:rsidR="001344BC">
        <w:t xml:space="preserve"> </w:t>
      </w:r>
      <w:r w:rsidRPr="00E163F0">
        <w:t xml:space="preserve">products are detected by conventional </w:t>
      </w:r>
      <w:r w:rsidRPr="001344BC">
        <w:rPr>
          <w:strike/>
        </w:rPr>
        <w:t>2% agarose</w:t>
      </w:r>
      <w:r w:rsidRPr="00C040BB">
        <w:rPr>
          <w:strike/>
        </w:rPr>
        <w:t xml:space="preserve"> </w:t>
      </w:r>
      <w:r w:rsidRPr="00E163F0">
        <w:t>gel electrophoresis, incorporating appropriate size markers</w:t>
      </w:r>
      <w:r w:rsidRPr="001344BC">
        <w:rPr>
          <w:strike/>
        </w:rPr>
        <w:t>, followed by examination</w:t>
      </w:r>
      <w:r w:rsidR="00AE57F3">
        <w:t xml:space="preserve">. </w:t>
      </w:r>
      <w:r w:rsidR="001344BC" w:rsidRPr="00F26723">
        <w:rPr>
          <w:u w:val="double"/>
        </w:rPr>
        <w:t>The stained products are visualised</w:t>
      </w:r>
      <w:r w:rsidR="001344BC">
        <w:t xml:space="preserve"> </w:t>
      </w:r>
      <w:r w:rsidRPr="00E163F0">
        <w:t>under UV light</w:t>
      </w:r>
      <w:r w:rsidRPr="001344BC">
        <w:rPr>
          <w:strike/>
        </w:rPr>
        <w:t>. The PCR</w:t>
      </w:r>
      <w:r w:rsidRPr="00E163F0">
        <w:t xml:space="preserve"> </w:t>
      </w:r>
      <w:r w:rsidR="001344BC" w:rsidRPr="00F26723">
        <w:rPr>
          <w:u w:val="double"/>
        </w:rPr>
        <w:t>or with silver nitrate under</w:t>
      </w:r>
      <w:r w:rsidR="00AE57F3">
        <w:rPr>
          <w:u w:val="double"/>
        </w:rPr>
        <w:t xml:space="preserve"> a</w:t>
      </w:r>
      <w:r w:rsidR="001344BC" w:rsidRPr="00F26723">
        <w:rPr>
          <w:u w:val="double"/>
        </w:rPr>
        <w:t xml:space="preserve"> hazardous </w:t>
      </w:r>
      <w:r w:rsidR="00AE57F3" w:rsidRPr="00F26723">
        <w:rPr>
          <w:u w:val="double"/>
        </w:rPr>
        <w:t xml:space="preserve">chemical </w:t>
      </w:r>
      <w:r w:rsidR="001344BC" w:rsidRPr="00F26723">
        <w:rPr>
          <w:u w:val="double"/>
        </w:rPr>
        <w:t>hood. Alternatively, the amplified</w:t>
      </w:r>
      <w:r w:rsidR="001344BC" w:rsidRPr="002922B7">
        <w:t xml:space="preserve"> </w:t>
      </w:r>
      <w:r w:rsidRPr="00E163F0">
        <w:t xml:space="preserve">product </w:t>
      </w:r>
      <w:r w:rsidRPr="001344BC">
        <w:rPr>
          <w:strike/>
        </w:rPr>
        <w:t xml:space="preserve">for MG is 185 bp. Visualisation </w:t>
      </w:r>
      <w:r w:rsidR="001344BC" w:rsidRPr="00F26723">
        <w:rPr>
          <w:u w:val="double"/>
        </w:rPr>
        <w:t xml:space="preserve">can be run in a capillary electrophoresis machine loaded with appropriate size markers. </w:t>
      </w:r>
      <w:r w:rsidR="00AE57F3">
        <w:rPr>
          <w:u w:val="double"/>
        </w:rPr>
        <w:t>The b</w:t>
      </w:r>
      <w:r w:rsidR="001344BC" w:rsidRPr="00F26723">
        <w:rPr>
          <w:u w:val="double"/>
        </w:rPr>
        <w:t>ase</w:t>
      </w:r>
      <w:r w:rsidR="00AE57F3">
        <w:rPr>
          <w:u w:val="double"/>
        </w:rPr>
        <w:t>-</w:t>
      </w:r>
      <w:r w:rsidR="001344BC" w:rsidRPr="00F26723">
        <w:rPr>
          <w:u w:val="double"/>
        </w:rPr>
        <w:t xml:space="preserve">pair dimension of </w:t>
      </w:r>
      <w:r w:rsidR="00AE57F3">
        <w:rPr>
          <w:u w:val="double"/>
        </w:rPr>
        <w:t xml:space="preserve">the </w:t>
      </w:r>
      <w:r w:rsidR="001344BC" w:rsidRPr="00F26723">
        <w:rPr>
          <w:u w:val="double"/>
        </w:rPr>
        <w:t xml:space="preserve">amplified fragments could be statistically different </w:t>
      </w:r>
      <w:r w:rsidR="00AE57F3">
        <w:rPr>
          <w:u w:val="double"/>
        </w:rPr>
        <w:t>by</w:t>
      </w:r>
      <w:r w:rsidR="001344BC" w:rsidRPr="00F26723">
        <w:rPr>
          <w:u w:val="double"/>
        </w:rPr>
        <w:t xml:space="preserve"> about 10% than expected using this method. Examination</w:t>
      </w:r>
      <w:r w:rsidR="001344BC" w:rsidRPr="001344BC">
        <w:t xml:space="preserve"> </w:t>
      </w:r>
      <w:r w:rsidRPr="00E163F0">
        <w:t xml:space="preserve">of the PCR products should be carried out in a </w:t>
      </w:r>
      <w:r w:rsidRPr="001344BC">
        <w:rPr>
          <w:strike/>
        </w:rPr>
        <w:t xml:space="preserve">separate </w:t>
      </w:r>
      <w:r w:rsidRPr="00E163F0">
        <w:t xml:space="preserve">laboratory area, well separated from </w:t>
      </w:r>
      <w:r w:rsidR="001344BC" w:rsidRPr="00C040BB">
        <w:rPr>
          <w:u w:val="double"/>
        </w:rPr>
        <w:t>places where</w:t>
      </w:r>
      <w:r w:rsidR="001344BC">
        <w:t xml:space="preserve"> </w:t>
      </w:r>
      <w:r w:rsidRPr="00C040BB">
        <w:rPr>
          <w:strike/>
        </w:rPr>
        <w:t xml:space="preserve">all </w:t>
      </w:r>
      <w:r w:rsidRPr="00E163F0">
        <w:t>other steps in the PCR procedure</w:t>
      </w:r>
      <w:r w:rsidR="00C040BB">
        <w:t xml:space="preserve"> are performed</w:t>
      </w:r>
      <w:r w:rsidRPr="00E163F0">
        <w:t>.</w:t>
      </w:r>
    </w:p>
    <w:p w14:paraId="1FCAFDBE" w14:textId="77777777" w:rsidR="00186891" w:rsidRPr="00C040BB" w:rsidRDefault="00186891" w:rsidP="00C040BB">
      <w:pPr>
        <w:pStyle w:val="afourthpara"/>
        <w:rPr>
          <w:strike/>
        </w:rPr>
      </w:pPr>
      <w:r w:rsidRPr="00C040BB">
        <w:rPr>
          <w:strike/>
        </w:rPr>
        <w:t xml:space="preserve">PCR tests still tend to be carried out by specialist laboratories and should probably be regarded as useful adjuncts to the present diagnostic methods once their validity is firmly established. Great care needs to be taken to avoid contamination of samples with MG or MS DNA from nearby post-mortem rooms, culture laboratories or from positive amplificates </w:t>
      </w:r>
      <w:r w:rsidRPr="00C040BB">
        <w:rPr>
          <w:strike/>
        </w:rPr>
        <w:lastRenderedPageBreak/>
        <w:t xml:space="preserve">from previous PCR runs (see </w:t>
      </w:r>
      <w:r w:rsidR="009E2FD2" w:rsidRPr="00C040BB">
        <w:rPr>
          <w:strike/>
        </w:rPr>
        <w:t>C</w:t>
      </w:r>
      <w:r w:rsidRPr="00C040BB">
        <w:rPr>
          <w:strike/>
        </w:rPr>
        <w:t>hapter 1.1.</w:t>
      </w:r>
      <w:r w:rsidR="000136F7" w:rsidRPr="00C040BB">
        <w:rPr>
          <w:strike/>
        </w:rPr>
        <w:t xml:space="preserve">6 </w:t>
      </w:r>
      <w:r w:rsidR="00D41FBE" w:rsidRPr="00C040BB">
        <w:rPr>
          <w:i/>
          <w:strike/>
        </w:rPr>
        <w:t>Principles and methods of validation of diagnostic assays for infectious diseases</w:t>
      </w:r>
      <w:r w:rsidR="009E2FD2" w:rsidRPr="00C040BB">
        <w:rPr>
          <w:strike/>
        </w:rPr>
        <w:t xml:space="preserve">, </w:t>
      </w:r>
      <w:r w:rsidRPr="00C040BB">
        <w:rPr>
          <w:strike/>
        </w:rPr>
        <w:t>for appropriate safeguards). However one commercial kit referred to above is now licensed by the United States Department of Agriculture (USDA) as a diagnostic method and approved for use in the National Poultry Improvement Plan (NPIP). It should be noted that PCR tests are not validated for testing day-old birds for accurate detection of infection.</w:t>
      </w:r>
    </w:p>
    <w:p w14:paraId="44F7EFB3" w14:textId="005642C7" w:rsidR="00C040BB" w:rsidRDefault="00C040BB" w:rsidP="00C040BB">
      <w:pPr>
        <w:pStyle w:val="111"/>
        <w:rPr>
          <w:u w:val="double"/>
        </w:rPr>
      </w:pPr>
      <w:r>
        <w:t>1.3.2.</w:t>
      </w:r>
      <w:r>
        <w:tab/>
      </w:r>
      <w:r w:rsidRPr="00F6138E">
        <w:rPr>
          <w:u w:val="double"/>
        </w:rPr>
        <w:t>16s-rDNA-PCR and denaturing gradient gel electrophoresis</w:t>
      </w:r>
    </w:p>
    <w:p w14:paraId="7CBA9BBE" w14:textId="646763CF" w:rsidR="00C040BB" w:rsidRPr="00C040BB" w:rsidRDefault="00C040BB" w:rsidP="00C040BB">
      <w:pPr>
        <w:pStyle w:val="111Para"/>
        <w:rPr>
          <w:u w:val="double"/>
        </w:rPr>
      </w:pPr>
      <w:r w:rsidRPr="00C040BB">
        <w:rPr>
          <w:u w:val="double"/>
        </w:rPr>
        <w:t xml:space="preserve">The 16s-rDNA-PCR-DGGE technique is a method that can be applied for the identification of mycoplasma isolates (McAuliffe </w:t>
      </w:r>
      <w:r w:rsidRPr="00C040BB">
        <w:rPr>
          <w:i/>
          <w:u w:val="double"/>
        </w:rPr>
        <w:t>et al.,</w:t>
      </w:r>
      <w:r w:rsidRPr="00C040BB">
        <w:rPr>
          <w:u w:val="double"/>
        </w:rPr>
        <w:t xml:space="preserve"> 2005), includ</w:t>
      </w:r>
      <w:r w:rsidR="00AE57F3">
        <w:rPr>
          <w:u w:val="double"/>
        </w:rPr>
        <w:t>ing</w:t>
      </w:r>
      <w:r w:rsidRPr="00C040BB">
        <w:rPr>
          <w:u w:val="double"/>
        </w:rPr>
        <w:t xml:space="preserve"> avian mycoplasma from cultivated broths or agar colonies.</w:t>
      </w:r>
      <w:r w:rsidR="003A0F42" w:rsidRPr="004324D2">
        <w:t xml:space="preserve"> </w:t>
      </w:r>
      <w:r w:rsidR="003A0F42" w:rsidRPr="004324D2">
        <w:rPr>
          <w:strike/>
          <w:highlight w:val="yellow"/>
        </w:rPr>
        <w:t>It can also be used</w:t>
      </w:r>
      <w:r w:rsidR="00D66B35" w:rsidRPr="004324D2">
        <w:rPr>
          <w:strike/>
          <w:highlight w:val="yellow"/>
        </w:rPr>
        <w:t xml:space="preserve"> on DNA extracts from clinical specimens</w:t>
      </w:r>
      <w:r w:rsidR="00D66B35" w:rsidRPr="004324D2">
        <w:rPr>
          <w:strike/>
        </w:rPr>
        <w:t>.</w:t>
      </w:r>
      <w:r w:rsidRPr="004324D2">
        <w:rPr>
          <w:strike/>
        </w:rPr>
        <w:t xml:space="preserve"> </w:t>
      </w:r>
      <w:r w:rsidRPr="00C040BB">
        <w:rPr>
          <w:u w:val="double"/>
        </w:rPr>
        <w:t>The genetic target is the V3 region of the 16s gene, which is amplified by the combination of a mycoplasma</w:t>
      </w:r>
      <w:r w:rsidR="00AE57F3">
        <w:rPr>
          <w:u w:val="double"/>
        </w:rPr>
        <w:t>-</w:t>
      </w:r>
      <w:r w:rsidRPr="00C040BB">
        <w:rPr>
          <w:u w:val="double"/>
        </w:rPr>
        <w:t xml:space="preserve">specific primer (reverse primer) and a universal bacterial one (forward primer) containing a GC-clamp (40 repeated GC). </w:t>
      </w:r>
    </w:p>
    <w:p w14:paraId="1DF5D3C4" w14:textId="11F943A9" w:rsidR="00C040BB" w:rsidRPr="00C040BB" w:rsidRDefault="00C040BB" w:rsidP="00C040BB">
      <w:pPr>
        <w:pStyle w:val="111Para"/>
        <w:rPr>
          <w:u w:val="double"/>
          <w:lang w:val="en-US"/>
        </w:rPr>
      </w:pPr>
      <w:r w:rsidRPr="00C040BB">
        <w:rPr>
          <w:u w:val="double"/>
        </w:rPr>
        <w:t>The method is based on the migration of DNA fragments following strand separation caused by chemical denaturants in the gel. It is capable of detecting single</w:t>
      </w:r>
      <w:r w:rsidR="00722D5D">
        <w:rPr>
          <w:u w:val="double"/>
        </w:rPr>
        <w:t>-</w:t>
      </w:r>
      <w:r w:rsidRPr="00C040BB">
        <w:rPr>
          <w:u w:val="double"/>
        </w:rPr>
        <w:t>base mutations in DNA.</w:t>
      </w:r>
    </w:p>
    <w:p w14:paraId="7AC9D6E6" w14:textId="53BC8283" w:rsidR="00C040BB" w:rsidRPr="00C040BB" w:rsidRDefault="00C040BB" w:rsidP="00C040BB">
      <w:pPr>
        <w:pStyle w:val="111Para"/>
        <w:rPr>
          <w:u w:val="double"/>
        </w:rPr>
      </w:pPr>
      <w:r w:rsidRPr="00C040BB">
        <w:rPr>
          <w:u w:val="double"/>
        </w:rPr>
        <w:t>After migration on the denaturing gel</w:t>
      </w:r>
      <w:r w:rsidR="00722D5D">
        <w:rPr>
          <w:u w:val="double"/>
        </w:rPr>
        <w:t>,</w:t>
      </w:r>
      <w:r w:rsidRPr="00C040BB">
        <w:rPr>
          <w:u w:val="double"/>
        </w:rPr>
        <w:t xml:space="preserve"> the pattern of the band(s) produced by the unknown samples is compared with positive avian controls</w:t>
      </w:r>
      <w:r w:rsidR="00722D5D">
        <w:rPr>
          <w:u w:val="double"/>
        </w:rPr>
        <w:t>,</w:t>
      </w:r>
      <w:r w:rsidRPr="00C040BB">
        <w:rPr>
          <w:u w:val="double"/>
        </w:rPr>
        <w:t xml:space="preserve"> which are run in parallel. </w:t>
      </w:r>
    </w:p>
    <w:p w14:paraId="2C462772" w14:textId="2EDAB429" w:rsidR="00C040BB" w:rsidRPr="00C040BB" w:rsidRDefault="00C040BB" w:rsidP="00C040BB">
      <w:pPr>
        <w:pStyle w:val="111Para"/>
        <w:rPr>
          <w:u w:val="double"/>
        </w:rPr>
      </w:pPr>
      <w:r w:rsidRPr="00C040BB">
        <w:rPr>
          <w:u w:val="double"/>
        </w:rPr>
        <w:t xml:space="preserve">This technique is capable of detecting single avian </w:t>
      </w:r>
      <w:r w:rsidRPr="00C040BB">
        <w:rPr>
          <w:i/>
          <w:u w:val="double"/>
        </w:rPr>
        <w:t>Mycoplasma</w:t>
      </w:r>
      <w:r w:rsidRPr="00C040BB">
        <w:rPr>
          <w:u w:val="double"/>
        </w:rPr>
        <w:t xml:space="preserve"> spp., infection and co</w:t>
      </w:r>
      <w:r w:rsidR="00811C37">
        <w:rPr>
          <w:u w:val="double"/>
        </w:rPr>
        <w:t>-</w:t>
      </w:r>
      <w:r w:rsidRPr="00C040BB">
        <w:rPr>
          <w:u w:val="double"/>
        </w:rPr>
        <w:t xml:space="preserve">infections, in a single sample (Catania </w:t>
      </w:r>
      <w:r w:rsidRPr="00C040BB">
        <w:rPr>
          <w:i/>
          <w:u w:val="double"/>
        </w:rPr>
        <w:t>et al.,</w:t>
      </w:r>
      <w:r w:rsidRPr="00C040BB">
        <w:rPr>
          <w:u w:val="double"/>
        </w:rPr>
        <w:t xml:space="preserve"> 2014; 2016b). </w:t>
      </w:r>
    </w:p>
    <w:p w14:paraId="45E67E25" w14:textId="77777777" w:rsidR="00C040BB" w:rsidRPr="00504E27" w:rsidRDefault="00C040BB" w:rsidP="00504E27">
      <w:pPr>
        <w:pStyle w:val="i"/>
        <w:rPr>
          <w:u w:val="double"/>
        </w:rPr>
      </w:pPr>
      <w:r w:rsidRPr="00504E27">
        <w:rPr>
          <w:u w:val="double"/>
        </w:rPr>
        <w:t>i)</w:t>
      </w:r>
      <w:r w:rsidRPr="00504E27">
        <w:rPr>
          <w:u w:val="double"/>
        </w:rPr>
        <w:tab/>
        <w:t>Primers</w:t>
      </w:r>
    </w:p>
    <w:p w14:paraId="7E49283C" w14:textId="76F23139" w:rsidR="00C040BB" w:rsidRPr="006D1AC2" w:rsidRDefault="00C040BB" w:rsidP="006D1AC2">
      <w:pPr>
        <w:pStyle w:val="afourthpara"/>
        <w:spacing w:after="120"/>
        <w:rPr>
          <w:u w:val="double"/>
        </w:rPr>
      </w:pPr>
      <w:r w:rsidRPr="00504E27">
        <w:rPr>
          <w:u w:val="double"/>
        </w:rPr>
        <w:t>The following primers are used:</w:t>
      </w:r>
    </w:p>
    <w:tbl>
      <w:tblPr>
        <w:tblStyle w:val="Grilledutableau"/>
        <w:tblW w:w="7371" w:type="dxa"/>
        <w:tblInd w:w="1696" w:type="dxa"/>
        <w:tblLook w:val="04A0" w:firstRow="1" w:lastRow="0" w:firstColumn="1" w:lastColumn="0" w:noHBand="0" w:noVBand="1"/>
      </w:tblPr>
      <w:tblGrid>
        <w:gridCol w:w="7371"/>
      </w:tblGrid>
      <w:tr w:rsidR="00D33FE7" w:rsidRPr="00A91C54" w14:paraId="5F59085A" w14:textId="77777777" w:rsidTr="006D1AC2">
        <w:tc>
          <w:tcPr>
            <w:tcW w:w="7371" w:type="dxa"/>
            <w:vAlign w:val="center"/>
          </w:tcPr>
          <w:p w14:paraId="4D00BD70" w14:textId="228022C2" w:rsidR="00D33FE7" w:rsidRPr="00A91C54" w:rsidRDefault="00D33FE7" w:rsidP="00412020">
            <w:pPr>
              <w:pStyle w:val="ififthpara"/>
              <w:spacing w:before="120" w:after="120"/>
              <w:ind w:left="0"/>
              <w:jc w:val="left"/>
              <w:rPr>
                <w:lang w:val="it-IT"/>
              </w:rPr>
            </w:pPr>
            <w:r w:rsidRPr="00A91C54">
              <w:rPr>
                <w:u w:val="double"/>
                <w:lang w:val="it-IT"/>
              </w:rPr>
              <w:t>R543: 5’-ACC-TAT-GTA-TTA-CCG-CG-3</w:t>
            </w:r>
          </w:p>
        </w:tc>
      </w:tr>
      <w:tr w:rsidR="00D33FE7" w:rsidRPr="00A91C54" w14:paraId="23F3905F" w14:textId="77777777" w:rsidTr="006D1AC2">
        <w:tc>
          <w:tcPr>
            <w:tcW w:w="7371" w:type="dxa"/>
            <w:vAlign w:val="center"/>
          </w:tcPr>
          <w:p w14:paraId="6D655282" w14:textId="1F72A8D2" w:rsidR="00D33FE7" w:rsidRPr="00A91C54" w:rsidRDefault="00D33FE7" w:rsidP="00412020">
            <w:pPr>
              <w:pStyle w:val="ififthpara"/>
              <w:spacing w:before="120" w:after="120"/>
              <w:ind w:left="0"/>
              <w:jc w:val="left"/>
              <w:rPr>
                <w:lang w:val="it-IT"/>
              </w:rPr>
            </w:pPr>
            <w:r w:rsidRPr="00A91C54">
              <w:rPr>
                <w:u w:val="double"/>
                <w:lang w:val="it-IT"/>
              </w:rPr>
              <w:t>GC 341 F: 5’-CGC-CCG-CCG-CGC-GCG-GCG-GGC-GGG-GCG-GGG-GCA-CGG-GGG-GCC-TAC-GGG-AGG-CAG-CAG-3’</w:t>
            </w:r>
          </w:p>
        </w:tc>
      </w:tr>
    </w:tbl>
    <w:p w14:paraId="579976DD" w14:textId="77777777" w:rsidR="00C040BB" w:rsidRPr="00504E27" w:rsidRDefault="00C040BB" w:rsidP="00D33FE7">
      <w:pPr>
        <w:pStyle w:val="i"/>
        <w:spacing w:before="120"/>
        <w:rPr>
          <w:u w:val="double"/>
        </w:rPr>
      </w:pPr>
      <w:r w:rsidRPr="00504E27">
        <w:rPr>
          <w:u w:val="double"/>
        </w:rPr>
        <w:t>ii)</w:t>
      </w:r>
      <w:r w:rsidRPr="00504E27">
        <w:rPr>
          <w:u w:val="double"/>
        </w:rPr>
        <w:tab/>
        <w:t>Polymerase chain reaction</w:t>
      </w:r>
    </w:p>
    <w:p w14:paraId="3571D9DF" w14:textId="5AE45339" w:rsidR="00C040BB" w:rsidRPr="00504E27" w:rsidRDefault="00C040BB" w:rsidP="00722D5D">
      <w:pPr>
        <w:pStyle w:val="afourthpara"/>
        <w:spacing w:after="120"/>
        <w:rPr>
          <w:u w:val="double"/>
        </w:rPr>
      </w:pPr>
      <w:r w:rsidRPr="00504E27">
        <w:rPr>
          <w:u w:val="double"/>
        </w:rPr>
        <w:t>The PCR reaction mixture should be prepared in a separate clean area as follows (final volume: 25 µ</w:t>
      </w:r>
      <w:r w:rsidR="00722D5D">
        <w:rPr>
          <w:u w:val="double"/>
        </w:rPr>
        <w:t>l</w:t>
      </w:r>
      <w:r w:rsidRPr="00504E27">
        <w:rPr>
          <w:u w:val="double"/>
        </w:rPr>
        <w:t>):</w:t>
      </w:r>
    </w:p>
    <w:p w14:paraId="6BC014D4" w14:textId="77777777" w:rsidR="00C040BB" w:rsidRPr="007A2047" w:rsidRDefault="00C040BB" w:rsidP="00504E27">
      <w:pPr>
        <w:pStyle w:val="afourthpara"/>
        <w:spacing w:after="0"/>
        <w:ind w:left="3969" w:hanging="2126"/>
        <w:rPr>
          <w:u w:val="double"/>
          <w:lang w:val="es-ES"/>
        </w:rPr>
      </w:pPr>
      <w:r w:rsidRPr="007A2047">
        <w:rPr>
          <w:u w:val="double"/>
          <w:lang w:val="es-ES"/>
        </w:rPr>
        <w:t>H</w:t>
      </w:r>
      <w:r w:rsidRPr="007A2047">
        <w:rPr>
          <w:position w:val="-6"/>
          <w:sz w:val="14"/>
          <w:u w:val="double"/>
          <w:lang w:val="es-ES"/>
        </w:rPr>
        <w:t>2</w:t>
      </w:r>
      <w:r w:rsidRPr="007A2047">
        <w:rPr>
          <w:u w:val="double"/>
          <w:lang w:val="es-ES"/>
        </w:rPr>
        <w:t>O Ultra-pure</w:t>
      </w:r>
      <w:r w:rsidRPr="007A2047">
        <w:rPr>
          <w:u w:val="double"/>
          <w:lang w:val="es-ES"/>
        </w:rPr>
        <w:tab/>
        <w:t>12.5 µl</w:t>
      </w:r>
    </w:p>
    <w:p w14:paraId="42EBFA88" w14:textId="27A5CDDE" w:rsidR="00C040BB" w:rsidRPr="007A2047" w:rsidRDefault="00C040BB" w:rsidP="00504E27">
      <w:pPr>
        <w:pStyle w:val="afourthpara"/>
        <w:spacing w:after="0"/>
        <w:ind w:left="3969" w:hanging="2126"/>
        <w:rPr>
          <w:u w:val="double"/>
          <w:lang w:val="es-ES"/>
        </w:rPr>
      </w:pPr>
      <w:r w:rsidRPr="007A2047">
        <w:rPr>
          <w:u w:val="double"/>
          <w:lang w:val="es-ES"/>
        </w:rPr>
        <w:t xml:space="preserve">5 × PCR </w:t>
      </w:r>
      <w:r w:rsidR="00811C37" w:rsidRPr="007A2047">
        <w:rPr>
          <w:u w:val="double"/>
          <w:lang w:val="es-ES"/>
        </w:rPr>
        <w:t>buffer</w:t>
      </w:r>
      <w:r w:rsidRPr="007A2047">
        <w:rPr>
          <w:u w:val="double"/>
          <w:lang w:val="es-ES"/>
        </w:rPr>
        <w:tab/>
        <w:t>5.00 µl</w:t>
      </w:r>
    </w:p>
    <w:p w14:paraId="71F71470" w14:textId="3F673593" w:rsidR="00C040BB" w:rsidRPr="00504E27" w:rsidRDefault="00C040BB" w:rsidP="00504E27">
      <w:pPr>
        <w:pStyle w:val="afourthpara"/>
        <w:spacing w:after="0"/>
        <w:ind w:left="3969" w:hanging="2126"/>
        <w:rPr>
          <w:u w:val="double"/>
          <w:lang w:val="nb-NO"/>
        </w:rPr>
      </w:pPr>
      <w:r w:rsidRPr="00504E27">
        <w:rPr>
          <w:u w:val="double"/>
          <w:lang w:val="nb-NO"/>
        </w:rPr>
        <w:t>dNTP</w:t>
      </w:r>
      <w:r w:rsidR="00722D5D">
        <w:rPr>
          <w:u w:val="double"/>
          <w:lang w:val="nb-NO"/>
        </w:rPr>
        <w:t xml:space="preserve"> </w:t>
      </w:r>
      <w:r w:rsidRPr="00504E27">
        <w:rPr>
          <w:u w:val="double"/>
          <w:lang w:val="nb-NO"/>
        </w:rPr>
        <w:t xml:space="preserve">(l0 mM) </w:t>
      </w:r>
      <w:r w:rsidRPr="00504E27">
        <w:rPr>
          <w:u w:val="double"/>
          <w:lang w:val="nb-NO"/>
        </w:rPr>
        <w:tab/>
        <w:t>1.00 µl</w:t>
      </w:r>
    </w:p>
    <w:p w14:paraId="2ED7EF25" w14:textId="77777777" w:rsidR="00C040BB" w:rsidRPr="00504E27" w:rsidRDefault="00C040BB" w:rsidP="00504E27">
      <w:pPr>
        <w:pStyle w:val="afourthpara"/>
        <w:spacing w:after="0"/>
        <w:ind w:left="3969" w:hanging="2126"/>
        <w:rPr>
          <w:u w:val="double"/>
          <w:lang w:val="es-ES"/>
        </w:rPr>
      </w:pPr>
      <w:r w:rsidRPr="00504E27">
        <w:rPr>
          <w:u w:val="double"/>
          <w:lang w:val="es-ES"/>
        </w:rPr>
        <w:t>F Primer (50 µM)</w:t>
      </w:r>
      <w:r w:rsidRPr="00504E27">
        <w:rPr>
          <w:u w:val="double"/>
          <w:lang w:val="es-ES"/>
        </w:rPr>
        <w:tab/>
        <w:t>0.25 µl</w:t>
      </w:r>
    </w:p>
    <w:p w14:paraId="2CFE2BFE" w14:textId="77777777" w:rsidR="00C040BB" w:rsidRPr="00504E27" w:rsidRDefault="00C040BB" w:rsidP="00504E27">
      <w:pPr>
        <w:pStyle w:val="afourthpara"/>
        <w:spacing w:after="0"/>
        <w:ind w:left="3969" w:hanging="2126"/>
        <w:rPr>
          <w:u w:val="double"/>
          <w:lang w:val="es-ES"/>
        </w:rPr>
      </w:pPr>
      <w:r w:rsidRPr="00504E27">
        <w:rPr>
          <w:u w:val="double"/>
          <w:lang w:val="es-ES"/>
        </w:rPr>
        <w:t xml:space="preserve">R Primer (50 µM) </w:t>
      </w:r>
      <w:r w:rsidRPr="00504E27">
        <w:rPr>
          <w:u w:val="double"/>
          <w:lang w:val="es-ES"/>
        </w:rPr>
        <w:tab/>
        <w:t>0.25 µl</w:t>
      </w:r>
    </w:p>
    <w:p w14:paraId="2DEA890A" w14:textId="77777777" w:rsidR="00C040BB" w:rsidRPr="00504E27" w:rsidRDefault="00C040BB" w:rsidP="00504E27">
      <w:pPr>
        <w:pStyle w:val="afourthpara"/>
        <w:spacing w:after="0"/>
        <w:ind w:left="3969" w:hanging="2126"/>
        <w:rPr>
          <w:u w:val="double"/>
          <w:lang w:val="es-ES"/>
        </w:rPr>
      </w:pPr>
      <w:r w:rsidRPr="00504E27">
        <w:rPr>
          <w:u w:val="double"/>
          <w:lang w:val="es-ES"/>
        </w:rPr>
        <w:t>Taq (5 U/µl)</w:t>
      </w:r>
      <w:r w:rsidRPr="00504E27">
        <w:rPr>
          <w:u w:val="double"/>
          <w:lang w:val="es-ES"/>
        </w:rPr>
        <w:tab/>
        <w:t>0.25 µl</w:t>
      </w:r>
    </w:p>
    <w:p w14:paraId="19980F57" w14:textId="2A0DD6ED" w:rsidR="00C040BB" w:rsidRPr="007A2047" w:rsidRDefault="00C040BB" w:rsidP="00504E27">
      <w:pPr>
        <w:pStyle w:val="afourthpara"/>
        <w:spacing w:after="0"/>
        <w:ind w:left="3969" w:hanging="2126"/>
        <w:rPr>
          <w:u w:val="double"/>
          <w:lang w:val="en-IE"/>
        </w:rPr>
      </w:pPr>
      <w:r w:rsidRPr="007A2047">
        <w:rPr>
          <w:u w:val="double"/>
          <w:lang w:val="en-IE"/>
        </w:rPr>
        <w:t>DMSO (1%)</w:t>
      </w:r>
      <w:r w:rsidR="00504E27" w:rsidRPr="007A2047">
        <w:rPr>
          <w:u w:val="double"/>
          <w:lang w:val="en-IE"/>
        </w:rPr>
        <w:tab/>
      </w:r>
      <w:r w:rsidRPr="007A2047">
        <w:rPr>
          <w:u w:val="double"/>
          <w:lang w:val="en-IE"/>
        </w:rPr>
        <w:t xml:space="preserve">0.25 µl </w:t>
      </w:r>
    </w:p>
    <w:p w14:paraId="799133C0" w14:textId="77777777" w:rsidR="00C040BB" w:rsidRPr="00504E27" w:rsidRDefault="00C040BB" w:rsidP="00504E27">
      <w:pPr>
        <w:pStyle w:val="afourthpara"/>
        <w:spacing w:after="120"/>
        <w:ind w:left="3969" w:hanging="2126"/>
        <w:rPr>
          <w:u w:val="double"/>
        </w:rPr>
      </w:pPr>
      <w:r w:rsidRPr="006C512E">
        <w:rPr>
          <w:u w:val="double"/>
        </w:rPr>
        <w:t>MgCl</w:t>
      </w:r>
      <w:r w:rsidRPr="006C512E">
        <w:rPr>
          <w:u w:val="double"/>
          <w:vertAlign w:val="subscript"/>
        </w:rPr>
        <w:t>2</w:t>
      </w:r>
      <w:r w:rsidRPr="00504E27">
        <w:rPr>
          <w:u w:val="double"/>
        </w:rPr>
        <w:t xml:space="preserve"> (25 mM)</w:t>
      </w:r>
      <w:r w:rsidRPr="00504E27">
        <w:rPr>
          <w:u w:val="double"/>
        </w:rPr>
        <w:tab/>
        <w:t>4.00 µl</w:t>
      </w:r>
    </w:p>
    <w:p w14:paraId="5D781314" w14:textId="3A829FEF" w:rsidR="00C040BB" w:rsidRPr="00504E27" w:rsidRDefault="00C040BB" w:rsidP="00722D5D">
      <w:pPr>
        <w:pStyle w:val="afourthpara"/>
        <w:spacing w:after="120"/>
        <w:rPr>
          <w:u w:val="double"/>
        </w:rPr>
      </w:pPr>
      <w:r w:rsidRPr="00504E27">
        <w:rPr>
          <w:u w:val="double"/>
        </w:rPr>
        <w:t>A 23.5 µl master mix is dispensed in</w:t>
      </w:r>
      <w:r w:rsidR="00811C37">
        <w:rPr>
          <w:u w:val="double"/>
        </w:rPr>
        <w:t>to</w:t>
      </w:r>
      <w:r w:rsidRPr="00504E27">
        <w:rPr>
          <w:u w:val="double"/>
        </w:rPr>
        <w:t xml:space="preserve"> the tubes and 1.5 µl of nuclease free water/sample/</w:t>
      </w:r>
      <w:r w:rsidR="00811C37">
        <w:rPr>
          <w:u w:val="double"/>
        </w:rPr>
        <w:t xml:space="preserve"> </w:t>
      </w:r>
      <w:r w:rsidRPr="00504E27">
        <w:rPr>
          <w:u w:val="double"/>
        </w:rPr>
        <w:t xml:space="preserve">control DNA is then added. </w:t>
      </w:r>
    </w:p>
    <w:p w14:paraId="6280CDD1" w14:textId="0679C822" w:rsidR="00C040BB" w:rsidRDefault="00C040BB" w:rsidP="00504E27">
      <w:pPr>
        <w:pStyle w:val="afourthpara"/>
        <w:rPr>
          <w:u w:val="double"/>
        </w:rPr>
      </w:pPr>
      <w:r w:rsidRPr="00504E27">
        <w:rPr>
          <w:u w:val="double"/>
        </w:rPr>
        <w:t xml:space="preserve">Tubes are then placed in a thermocycler at the following profile: </w:t>
      </w:r>
    </w:p>
    <w:tbl>
      <w:tblPr>
        <w:tblStyle w:val="Grilledutableau"/>
        <w:tblW w:w="7088" w:type="dxa"/>
        <w:tblInd w:w="1838" w:type="dxa"/>
        <w:tblLook w:val="04A0" w:firstRow="1" w:lastRow="0" w:firstColumn="1" w:lastColumn="0" w:noHBand="0" w:noVBand="1"/>
      </w:tblPr>
      <w:tblGrid>
        <w:gridCol w:w="2410"/>
        <w:gridCol w:w="709"/>
        <w:gridCol w:w="1275"/>
        <w:gridCol w:w="2694"/>
      </w:tblGrid>
      <w:tr w:rsidR="00D33FE7" w:rsidRPr="0090305D" w14:paraId="5CEA8D3C" w14:textId="77777777" w:rsidTr="00A07FA4">
        <w:trPr>
          <w:trHeight w:val="397"/>
        </w:trPr>
        <w:tc>
          <w:tcPr>
            <w:tcW w:w="2410" w:type="dxa"/>
            <w:vMerge w:val="restart"/>
            <w:vAlign w:val="center"/>
          </w:tcPr>
          <w:p w14:paraId="3AF39603" w14:textId="762ABF07" w:rsidR="00D33FE7" w:rsidRPr="00A91C54" w:rsidRDefault="00D33FE7" w:rsidP="00D33FE7">
            <w:pPr>
              <w:pStyle w:val="i"/>
              <w:spacing w:before="60" w:after="60"/>
              <w:ind w:left="0" w:firstLine="0"/>
              <w:jc w:val="left"/>
              <w:rPr>
                <w:u w:val="double"/>
              </w:rPr>
            </w:pPr>
            <w:r w:rsidRPr="00A91C54">
              <w:rPr>
                <w:u w:val="double"/>
              </w:rPr>
              <w:t>35 cycles:</w:t>
            </w:r>
          </w:p>
        </w:tc>
        <w:tc>
          <w:tcPr>
            <w:tcW w:w="709" w:type="dxa"/>
            <w:vAlign w:val="center"/>
          </w:tcPr>
          <w:p w14:paraId="2DCEC323" w14:textId="335DD56B" w:rsidR="00D33FE7" w:rsidRPr="00A91C54" w:rsidRDefault="00D33FE7" w:rsidP="00D33FE7">
            <w:pPr>
              <w:pStyle w:val="i"/>
              <w:spacing w:before="60" w:after="60"/>
              <w:ind w:left="0" w:firstLine="0"/>
              <w:jc w:val="left"/>
              <w:rPr>
                <w:u w:val="double"/>
              </w:rPr>
            </w:pPr>
            <w:r w:rsidRPr="00A91C54">
              <w:rPr>
                <w:u w:val="double"/>
              </w:rPr>
              <w:t>95°C</w:t>
            </w:r>
          </w:p>
        </w:tc>
        <w:tc>
          <w:tcPr>
            <w:tcW w:w="1275" w:type="dxa"/>
            <w:vAlign w:val="center"/>
          </w:tcPr>
          <w:p w14:paraId="7020EB94" w14:textId="7F7F3A35" w:rsidR="00D33FE7" w:rsidRPr="00A91C54" w:rsidRDefault="00D33FE7" w:rsidP="00D33FE7">
            <w:pPr>
              <w:pStyle w:val="i"/>
              <w:spacing w:before="60" w:after="60"/>
              <w:ind w:left="0" w:firstLine="0"/>
              <w:jc w:val="left"/>
              <w:rPr>
                <w:u w:val="double"/>
              </w:rPr>
            </w:pPr>
            <w:r w:rsidRPr="00A91C54">
              <w:rPr>
                <w:u w:val="double"/>
              </w:rPr>
              <w:t>5 minutes</w:t>
            </w:r>
          </w:p>
        </w:tc>
        <w:tc>
          <w:tcPr>
            <w:tcW w:w="2694" w:type="dxa"/>
            <w:vAlign w:val="center"/>
          </w:tcPr>
          <w:p w14:paraId="39FA931D" w14:textId="77777777" w:rsidR="00D33FE7" w:rsidRPr="00A91C54" w:rsidRDefault="00D33FE7" w:rsidP="00D33FE7">
            <w:pPr>
              <w:pStyle w:val="i"/>
              <w:spacing w:before="60" w:after="60"/>
              <w:ind w:left="0" w:firstLine="0"/>
              <w:jc w:val="left"/>
              <w:rPr>
                <w:u w:val="double"/>
              </w:rPr>
            </w:pPr>
          </w:p>
        </w:tc>
      </w:tr>
      <w:tr w:rsidR="00D33FE7" w:rsidRPr="0090305D" w14:paraId="642EDCE6" w14:textId="77777777" w:rsidTr="00A07FA4">
        <w:tc>
          <w:tcPr>
            <w:tcW w:w="2410" w:type="dxa"/>
            <w:vMerge/>
            <w:vAlign w:val="center"/>
          </w:tcPr>
          <w:p w14:paraId="2A8AE1E6" w14:textId="4559D54A" w:rsidR="00D33FE7" w:rsidRPr="00A91C54" w:rsidRDefault="00D33FE7" w:rsidP="00D33FE7">
            <w:pPr>
              <w:pStyle w:val="i"/>
              <w:spacing w:before="60" w:after="60"/>
              <w:ind w:left="0" w:firstLine="0"/>
              <w:jc w:val="left"/>
              <w:rPr>
                <w:u w:val="double"/>
              </w:rPr>
            </w:pPr>
          </w:p>
        </w:tc>
        <w:tc>
          <w:tcPr>
            <w:tcW w:w="709" w:type="dxa"/>
            <w:vAlign w:val="center"/>
          </w:tcPr>
          <w:p w14:paraId="2D08F153" w14:textId="355DDF8B" w:rsidR="00D33FE7" w:rsidRPr="00A91C54" w:rsidRDefault="00D33FE7" w:rsidP="00D33FE7">
            <w:pPr>
              <w:pStyle w:val="i"/>
              <w:spacing w:before="60" w:after="60"/>
              <w:ind w:left="0" w:firstLine="0"/>
              <w:jc w:val="left"/>
              <w:rPr>
                <w:u w:val="double"/>
              </w:rPr>
            </w:pPr>
            <w:r w:rsidRPr="00A91C54">
              <w:rPr>
                <w:u w:val="double"/>
              </w:rPr>
              <w:t>95°C</w:t>
            </w:r>
          </w:p>
        </w:tc>
        <w:tc>
          <w:tcPr>
            <w:tcW w:w="1275" w:type="dxa"/>
            <w:vAlign w:val="center"/>
          </w:tcPr>
          <w:p w14:paraId="4B1EBC8B" w14:textId="5F12969F" w:rsidR="00D33FE7" w:rsidRPr="00A91C54" w:rsidRDefault="00D33FE7" w:rsidP="00D33FE7">
            <w:pPr>
              <w:pStyle w:val="i"/>
              <w:spacing w:before="60" w:after="60"/>
              <w:ind w:left="0" w:firstLine="0"/>
              <w:jc w:val="left"/>
              <w:rPr>
                <w:u w:val="double"/>
              </w:rPr>
            </w:pPr>
            <w:r w:rsidRPr="00A91C54">
              <w:rPr>
                <w:u w:val="double"/>
              </w:rPr>
              <w:t>1 minute</w:t>
            </w:r>
          </w:p>
        </w:tc>
        <w:tc>
          <w:tcPr>
            <w:tcW w:w="2694" w:type="dxa"/>
            <w:vAlign w:val="center"/>
          </w:tcPr>
          <w:p w14:paraId="7533ED98" w14:textId="77777777" w:rsidR="00D33FE7" w:rsidRPr="00A91C54" w:rsidRDefault="00D33FE7" w:rsidP="00D33FE7">
            <w:pPr>
              <w:pStyle w:val="i"/>
              <w:spacing w:before="60" w:after="60"/>
              <w:ind w:left="0" w:firstLine="0"/>
              <w:jc w:val="left"/>
              <w:rPr>
                <w:u w:val="double"/>
              </w:rPr>
            </w:pPr>
          </w:p>
        </w:tc>
      </w:tr>
      <w:tr w:rsidR="00D33FE7" w:rsidRPr="0090305D" w14:paraId="3E0CAF68" w14:textId="77777777" w:rsidTr="00A07FA4">
        <w:tc>
          <w:tcPr>
            <w:tcW w:w="2410" w:type="dxa"/>
            <w:vMerge/>
            <w:vAlign w:val="center"/>
          </w:tcPr>
          <w:p w14:paraId="24D40B70" w14:textId="77777777" w:rsidR="00D33FE7" w:rsidRPr="00A91C54" w:rsidRDefault="00D33FE7" w:rsidP="00D33FE7">
            <w:pPr>
              <w:pStyle w:val="i"/>
              <w:spacing w:before="60" w:after="60"/>
              <w:ind w:left="0" w:firstLine="0"/>
              <w:jc w:val="left"/>
              <w:rPr>
                <w:u w:val="double"/>
              </w:rPr>
            </w:pPr>
          </w:p>
        </w:tc>
        <w:tc>
          <w:tcPr>
            <w:tcW w:w="709" w:type="dxa"/>
            <w:vAlign w:val="center"/>
          </w:tcPr>
          <w:p w14:paraId="75C78580" w14:textId="7B6AB10D" w:rsidR="00D33FE7" w:rsidRPr="00A91C54" w:rsidRDefault="00D33FE7" w:rsidP="00D33FE7">
            <w:pPr>
              <w:pStyle w:val="i"/>
              <w:spacing w:before="60" w:after="60"/>
              <w:ind w:left="0" w:firstLine="0"/>
              <w:jc w:val="left"/>
              <w:rPr>
                <w:u w:val="double"/>
              </w:rPr>
            </w:pPr>
            <w:r w:rsidRPr="00A91C54">
              <w:rPr>
                <w:u w:val="double"/>
              </w:rPr>
              <w:t>58°C</w:t>
            </w:r>
          </w:p>
        </w:tc>
        <w:tc>
          <w:tcPr>
            <w:tcW w:w="1275" w:type="dxa"/>
            <w:vAlign w:val="center"/>
          </w:tcPr>
          <w:p w14:paraId="02597A16" w14:textId="04421B92" w:rsidR="00D33FE7" w:rsidRPr="00A91C54" w:rsidRDefault="00D33FE7" w:rsidP="00D33FE7">
            <w:pPr>
              <w:pStyle w:val="i"/>
              <w:spacing w:before="60" w:after="60"/>
              <w:ind w:left="0" w:firstLine="0"/>
              <w:jc w:val="left"/>
              <w:rPr>
                <w:u w:val="double"/>
              </w:rPr>
            </w:pPr>
            <w:r w:rsidRPr="00A91C54">
              <w:rPr>
                <w:u w:val="double"/>
              </w:rPr>
              <w:t>45 seconds</w:t>
            </w:r>
          </w:p>
        </w:tc>
        <w:tc>
          <w:tcPr>
            <w:tcW w:w="2694" w:type="dxa"/>
            <w:vAlign w:val="center"/>
          </w:tcPr>
          <w:p w14:paraId="3DAD57C3" w14:textId="77777777" w:rsidR="00D33FE7" w:rsidRPr="00A91C54" w:rsidRDefault="00D33FE7" w:rsidP="00D33FE7">
            <w:pPr>
              <w:pStyle w:val="i"/>
              <w:spacing w:before="60" w:after="60"/>
              <w:ind w:left="0" w:firstLine="0"/>
              <w:jc w:val="left"/>
              <w:rPr>
                <w:u w:val="double"/>
              </w:rPr>
            </w:pPr>
          </w:p>
        </w:tc>
      </w:tr>
      <w:tr w:rsidR="00D33FE7" w:rsidRPr="0090305D" w14:paraId="10BF942C" w14:textId="77777777" w:rsidTr="00A07FA4">
        <w:tc>
          <w:tcPr>
            <w:tcW w:w="2410" w:type="dxa"/>
            <w:vMerge/>
            <w:vAlign w:val="center"/>
          </w:tcPr>
          <w:p w14:paraId="74DD46FB" w14:textId="22584DE7" w:rsidR="00D33FE7" w:rsidRPr="00A91C54" w:rsidRDefault="00D33FE7" w:rsidP="00D33FE7">
            <w:pPr>
              <w:pStyle w:val="i"/>
              <w:spacing w:before="60" w:after="60"/>
              <w:ind w:left="0" w:firstLine="0"/>
              <w:jc w:val="left"/>
              <w:rPr>
                <w:u w:val="double"/>
              </w:rPr>
            </w:pPr>
          </w:p>
        </w:tc>
        <w:tc>
          <w:tcPr>
            <w:tcW w:w="709" w:type="dxa"/>
            <w:vAlign w:val="center"/>
          </w:tcPr>
          <w:p w14:paraId="67F90CCF" w14:textId="77777777" w:rsidR="00D33FE7" w:rsidRPr="00A91C54" w:rsidRDefault="00D33FE7" w:rsidP="00D33FE7">
            <w:pPr>
              <w:pStyle w:val="i"/>
              <w:spacing w:before="60" w:after="60"/>
              <w:ind w:left="0" w:firstLine="0"/>
              <w:jc w:val="left"/>
              <w:rPr>
                <w:u w:val="double"/>
              </w:rPr>
            </w:pPr>
            <w:r w:rsidRPr="00A91C54">
              <w:rPr>
                <w:u w:val="double"/>
              </w:rPr>
              <w:t>72°C</w:t>
            </w:r>
          </w:p>
        </w:tc>
        <w:tc>
          <w:tcPr>
            <w:tcW w:w="1275" w:type="dxa"/>
            <w:vAlign w:val="center"/>
          </w:tcPr>
          <w:p w14:paraId="586D4454" w14:textId="77777777" w:rsidR="00D33FE7" w:rsidRPr="00A91C54" w:rsidRDefault="00D33FE7" w:rsidP="00D33FE7">
            <w:pPr>
              <w:pStyle w:val="i"/>
              <w:spacing w:before="60" w:after="60"/>
              <w:ind w:left="0" w:firstLine="0"/>
              <w:jc w:val="left"/>
              <w:rPr>
                <w:u w:val="double"/>
              </w:rPr>
            </w:pPr>
            <w:r w:rsidRPr="00A91C54">
              <w:rPr>
                <w:u w:val="double"/>
              </w:rPr>
              <w:t>60 seconds</w:t>
            </w:r>
          </w:p>
        </w:tc>
        <w:tc>
          <w:tcPr>
            <w:tcW w:w="2694" w:type="dxa"/>
            <w:vAlign w:val="center"/>
          </w:tcPr>
          <w:p w14:paraId="72E33044" w14:textId="5035B5C6" w:rsidR="00D33FE7" w:rsidRPr="00A91C54" w:rsidRDefault="00D33FE7" w:rsidP="00D33FE7">
            <w:pPr>
              <w:pStyle w:val="i"/>
              <w:spacing w:before="60" w:after="60"/>
              <w:ind w:left="0" w:firstLine="0"/>
              <w:jc w:val="left"/>
              <w:rPr>
                <w:u w:val="double"/>
              </w:rPr>
            </w:pPr>
          </w:p>
        </w:tc>
      </w:tr>
      <w:tr w:rsidR="00A07FA4" w:rsidRPr="0090305D" w14:paraId="32D52708" w14:textId="77777777" w:rsidTr="00A07FA4">
        <w:tc>
          <w:tcPr>
            <w:tcW w:w="2410" w:type="dxa"/>
            <w:vAlign w:val="center"/>
          </w:tcPr>
          <w:p w14:paraId="0D3B5AD4" w14:textId="5BA7ECA1" w:rsidR="00A07FA4" w:rsidRPr="00A91C54" w:rsidRDefault="00A07FA4" w:rsidP="00A07FA4">
            <w:pPr>
              <w:pStyle w:val="i"/>
              <w:spacing w:before="60" w:after="60"/>
              <w:ind w:left="0" w:firstLine="0"/>
              <w:jc w:val="left"/>
              <w:rPr>
                <w:u w:val="double"/>
              </w:rPr>
            </w:pPr>
            <w:r w:rsidRPr="00A91C54">
              <w:rPr>
                <w:u w:val="double"/>
              </w:rPr>
              <w:t>1 cycle (final extension)</w:t>
            </w:r>
          </w:p>
        </w:tc>
        <w:tc>
          <w:tcPr>
            <w:tcW w:w="709" w:type="dxa"/>
            <w:vAlign w:val="center"/>
          </w:tcPr>
          <w:p w14:paraId="39182D0A" w14:textId="13D0BC0A" w:rsidR="00A07FA4" w:rsidRPr="00A91C54" w:rsidRDefault="00A07FA4" w:rsidP="00A07FA4">
            <w:pPr>
              <w:pStyle w:val="i"/>
              <w:spacing w:before="60" w:after="60"/>
              <w:ind w:left="0" w:firstLine="0"/>
              <w:jc w:val="left"/>
              <w:rPr>
                <w:u w:val="double"/>
              </w:rPr>
            </w:pPr>
            <w:r w:rsidRPr="00A91C54">
              <w:rPr>
                <w:u w:val="double"/>
              </w:rPr>
              <w:t>72°C</w:t>
            </w:r>
          </w:p>
        </w:tc>
        <w:tc>
          <w:tcPr>
            <w:tcW w:w="1275" w:type="dxa"/>
            <w:vAlign w:val="center"/>
          </w:tcPr>
          <w:p w14:paraId="6F84B10C" w14:textId="29F88C3C" w:rsidR="00A07FA4" w:rsidRPr="00A91C54" w:rsidRDefault="00A07FA4" w:rsidP="00A07FA4">
            <w:pPr>
              <w:pStyle w:val="i"/>
              <w:spacing w:before="60" w:after="60"/>
              <w:ind w:left="0" w:firstLine="0"/>
              <w:jc w:val="left"/>
              <w:rPr>
                <w:u w:val="double"/>
              </w:rPr>
            </w:pPr>
            <w:r w:rsidRPr="00A91C54">
              <w:rPr>
                <w:u w:val="double"/>
              </w:rPr>
              <w:t>20 minutes</w:t>
            </w:r>
          </w:p>
        </w:tc>
        <w:tc>
          <w:tcPr>
            <w:tcW w:w="2694" w:type="dxa"/>
            <w:vAlign w:val="center"/>
          </w:tcPr>
          <w:p w14:paraId="50890016" w14:textId="252F1193" w:rsidR="00A07FA4" w:rsidRPr="00A91C54" w:rsidRDefault="00A07FA4" w:rsidP="00A07FA4">
            <w:pPr>
              <w:pStyle w:val="i"/>
              <w:spacing w:before="60" w:after="60"/>
              <w:ind w:left="0" w:firstLine="0"/>
              <w:jc w:val="left"/>
              <w:rPr>
                <w:u w:val="double"/>
              </w:rPr>
            </w:pPr>
            <w:r w:rsidRPr="00A91C54">
              <w:rPr>
                <w:u w:val="double"/>
              </w:rPr>
              <w:t>soak at 4°C</w:t>
            </w:r>
          </w:p>
        </w:tc>
      </w:tr>
    </w:tbl>
    <w:p w14:paraId="6A3A0310" w14:textId="05D30448" w:rsidR="00C040BB" w:rsidRPr="00504E27" w:rsidRDefault="00C040BB" w:rsidP="00A07FA4">
      <w:pPr>
        <w:pStyle w:val="i"/>
        <w:spacing w:before="120"/>
        <w:rPr>
          <w:u w:val="double"/>
        </w:rPr>
      </w:pPr>
      <w:r w:rsidRPr="00504E27">
        <w:rPr>
          <w:u w:val="double"/>
        </w:rPr>
        <w:t>iii)</w:t>
      </w:r>
      <w:r w:rsidR="00504E27" w:rsidRPr="00504E27">
        <w:rPr>
          <w:u w:val="double"/>
        </w:rPr>
        <w:tab/>
      </w:r>
      <w:r w:rsidRPr="00504E27">
        <w:rPr>
          <w:u w:val="double"/>
        </w:rPr>
        <w:t>Electrophoresis</w:t>
      </w:r>
    </w:p>
    <w:p w14:paraId="4E94693C" w14:textId="0AA6FAA0" w:rsidR="00C040BB" w:rsidRPr="00504E27" w:rsidRDefault="00C040BB" w:rsidP="00504E27">
      <w:pPr>
        <w:pStyle w:val="afourthpara"/>
        <w:rPr>
          <w:u w:val="double"/>
        </w:rPr>
      </w:pPr>
      <w:r w:rsidRPr="00504E27">
        <w:rPr>
          <w:u w:val="double"/>
        </w:rPr>
        <w:t>20 µ</w:t>
      </w:r>
      <w:r w:rsidR="00722D5D">
        <w:rPr>
          <w:u w:val="double"/>
        </w:rPr>
        <w:t>l</w:t>
      </w:r>
      <w:r w:rsidRPr="00504E27">
        <w:rPr>
          <w:u w:val="double"/>
        </w:rPr>
        <w:t xml:space="preserve"> of each PCR product </w:t>
      </w:r>
      <w:r w:rsidR="00811C37">
        <w:rPr>
          <w:u w:val="double"/>
        </w:rPr>
        <w:t>is</w:t>
      </w:r>
      <w:r w:rsidRPr="00504E27">
        <w:rPr>
          <w:u w:val="double"/>
        </w:rPr>
        <w:t xml:space="preserve"> loaded in 10% polyacrylamide/bis (37</w:t>
      </w:r>
      <w:r w:rsidR="00722D5D">
        <w:rPr>
          <w:u w:val="double"/>
        </w:rPr>
        <w:t>.</w:t>
      </w:r>
      <w:r w:rsidRPr="00504E27">
        <w:rPr>
          <w:u w:val="double"/>
        </w:rPr>
        <w:t>5:1) gels, with denaturing gradients from 30</w:t>
      </w:r>
      <w:r w:rsidR="00722D5D">
        <w:rPr>
          <w:u w:val="double"/>
        </w:rPr>
        <w:t xml:space="preserve"> to </w:t>
      </w:r>
      <w:r w:rsidRPr="00504E27">
        <w:rPr>
          <w:u w:val="double"/>
        </w:rPr>
        <w:t>60% (where 100% is 7</w:t>
      </w:r>
      <w:r w:rsidR="00722D5D">
        <w:rPr>
          <w:u w:val="double"/>
        </w:rPr>
        <w:t> </w:t>
      </w:r>
      <w:r w:rsidRPr="00504E27">
        <w:rPr>
          <w:u w:val="double"/>
        </w:rPr>
        <w:t xml:space="preserve">M urea and 40% </w:t>
      </w:r>
      <w:r w:rsidR="00811C37">
        <w:rPr>
          <w:u w:val="double"/>
        </w:rPr>
        <w:t>[</w:t>
      </w:r>
      <w:r w:rsidRPr="00504E27">
        <w:rPr>
          <w:u w:val="double"/>
        </w:rPr>
        <w:t>v/v</w:t>
      </w:r>
      <w:r w:rsidR="00811C37">
        <w:rPr>
          <w:u w:val="double"/>
        </w:rPr>
        <w:t>]</w:t>
      </w:r>
      <w:r w:rsidRPr="00504E27">
        <w:rPr>
          <w:u w:val="double"/>
        </w:rPr>
        <w:t xml:space="preserve"> deioni</w:t>
      </w:r>
      <w:r w:rsidR="00722D5D">
        <w:rPr>
          <w:u w:val="double"/>
        </w:rPr>
        <w:t>s</w:t>
      </w:r>
      <w:r w:rsidRPr="00504E27">
        <w:rPr>
          <w:u w:val="double"/>
        </w:rPr>
        <w:t>ed formamide) in 1</w:t>
      </w:r>
      <w:r w:rsidR="00722D5D">
        <w:rPr>
          <w:u w:val="double"/>
        </w:rPr>
        <w:t>×</w:t>
      </w:r>
      <w:r w:rsidRPr="00504E27">
        <w:rPr>
          <w:u w:val="double"/>
        </w:rPr>
        <w:t xml:space="preserve"> TAE buffer. The electrophoresis is performed at 100</w:t>
      </w:r>
      <w:r w:rsidR="00722D5D">
        <w:rPr>
          <w:u w:val="double"/>
        </w:rPr>
        <w:t xml:space="preserve"> </w:t>
      </w:r>
      <w:r w:rsidRPr="00504E27">
        <w:rPr>
          <w:u w:val="double"/>
        </w:rPr>
        <w:t>V, 300</w:t>
      </w:r>
      <w:r w:rsidR="00722D5D">
        <w:rPr>
          <w:u w:val="double"/>
        </w:rPr>
        <w:t xml:space="preserve"> </w:t>
      </w:r>
      <w:r w:rsidRPr="00504E27">
        <w:rPr>
          <w:u w:val="double"/>
        </w:rPr>
        <w:t>mA at a temperature of 60°C for 18 hours, the run time could change bas</w:t>
      </w:r>
      <w:r w:rsidR="00811C37">
        <w:rPr>
          <w:u w:val="double"/>
        </w:rPr>
        <w:t>ed</w:t>
      </w:r>
      <w:r w:rsidRPr="00504E27">
        <w:rPr>
          <w:u w:val="double"/>
        </w:rPr>
        <w:t xml:space="preserve"> on the DGGE device and on the gel </w:t>
      </w:r>
      <w:r w:rsidRPr="00504E27">
        <w:rPr>
          <w:u w:val="double"/>
        </w:rPr>
        <w:lastRenderedPageBreak/>
        <w:t xml:space="preserve">dimension. Gels are then stained with </w:t>
      </w:r>
      <w:r w:rsidR="00A0681D">
        <w:rPr>
          <w:u w:val="double"/>
        </w:rPr>
        <w:t xml:space="preserve">a suitable DNA stain </w:t>
      </w:r>
      <w:r w:rsidRPr="00504E27">
        <w:rPr>
          <w:u w:val="double"/>
        </w:rPr>
        <w:t>for 30 minutes (5</w:t>
      </w:r>
      <w:r w:rsidR="00722D5D">
        <w:rPr>
          <w:u w:val="double"/>
        </w:rPr>
        <w:t> </w:t>
      </w:r>
      <w:r w:rsidRPr="00504E27">
        <w:rPr>
          <w:u w:val="double"/>
        </w:rPr>
        <w:t>µ</w:t>
      </w:r>
      <w:r w:rsidR="00722D5D">
        <w:rPr>
          <w:u w:val="double"/>
        </w:rPr>
        <w:t>l</w:t>
      </w:r>
      <w:r w:rsidRPr="00504E27">
        <w:rPr>
          <w:u w:val="double"/>
        </w:rPr>
        <w:t xml:space="preserve"> in 50</w:t>
      </w:r>
      <w:r w:rsidR="00722D5D">
        <w:rPr>
          <w:u w:val="double"/>
        </w:rPr>
        <w:t xml:space="preserve"> </w:t>
      </w:r>
      <w:r w:rsidRPr="00504E27">
        <w:rPr>
          <w:u w:val="double"/>
        </w:rPr>
        <w:t>m</w:t>
      </w:r>
      <w:r w:rsidR="00722D5D">
        <w:rPr>
          <w:u w:val="double"/>
        </w:rPr>
        <w:t>l</w:t>
      </w:r>
      <w:r w:rsidRPr="00504E27">
        <w:rPr>
          <w:u w:val="double"/>
        </w:rPr>
        <w:t xml:space="preserve"> of 1</w:t>
      </w:r>
      <w:r w:rsidR="00722D5D">
        <w:rPr>
          <w:u w:val="double"/>
        </w:rPr>
        <w:t>×</w:t>
      </w:r>
      <w:r w:rsidRPr="00504E27">
        <w:rPr>
          <w:u w:val="double"/>
        </w:rPr>
        <w:t xml:space="preserve"> TAE buffer) and visuali</w:t>
      </w:r>
      <w:r w:rsidR="00811C37">
        <w:rPr>
          <w:u w:val="double"/>
        </w:rPr>
        <w:t>s</w:t>
      </w:r>
      <w:r w:rsidRPr="00504E27">
        <w:rPr>
          <w:u w:val="double"/>
        </w:rPr>
        <w:t>ed under UV illumination.</w:t>
      </w:r>
    </w:p>
    <w:p w14:paraId="2E960D45" w14:textId="10D4D54B" w:rsidR="00C040BB" w:rsidRPr="00504E27" w:rsidRDefault="00C040BB" w:rsidP="00504E27">
      <w:pPr>
        <w:pStyle w:val="111"/>
        <w:rPr>
          <w:u w:val="double"/>
        </w:rPr>
      </w:pPr>
      <w:r w:rsidRPr="00504E27">
        <w:rPr>
          <w:u w:val="double"/>
        </w:rPr>
        <w:t>1.3.3</w:t>
      </w:r>
      <w:r w:rsidR="00504E27" w:rsidRPr="00504E27">
        <w:rPr>
          <w:u w:val="double"/>
        </w:rPr>
        <w:t>.</w:t>
      </w:r>
      <w:r w:rsidRPr="00504E27">
        <w:rPr>
          <w:u w:val="double"/>
        </w:rPr>
        <w:tab/>
        <w:t>Real-time PCR</w:t>
      </w:r>
    </w:p>
    <w:p w14:paraId="4D87EE2D" w14:textId="6926A2EF" w:rsidR="00C040BB" w:rsidRPr="00504E27" w:rsidRDefault="00811C37" w:rsidP="00504E27">
      <w:pPr>
        <w:pStyle w:val="111Para"/>
        <w:rPr>
          <w:u w:val="double"/>
        </w:rPr>
      </w:pPr>
      <w:r w:rsidRPr="00504E27">
        <w:rPr>
          <w:u w:val="double"/>
        </w:rPr>
        <w:t>Species</w:t>
      </w:r>
      <w:r w:rsidR="00C040BB" w:rsidRPr="00504E27">
        <w:rPr>
          <w:u w:val="double"/>
        </w:rPr>
        <w:t>-specific real</w:t>
      </w:r>
      <w:r w:rsidR="00E70EFC">
        <w:rPr>
          <w:u w:val="double"/>
        </w:rPr>
        <w:t>-</w:t>
      </w:r>
      <w:r w:rsidR="00C040BB" w:rsidRPr="00504E27">
        <w:rPr>
          <w:u w:val="double"/>
        </w:rPr>
        <w:t>time PCR</w:t>
      </w:r>
      <w:r>
        <w:rPr>
          <w:u w:val="double"/>
        </w:rPr>
        <w:t>s</w:t>
      </w:r>
      <w:r w:rsidR="00C040BB" w:rsidRPr="00504E27">
        <w:rPr>
          <w:u w:val="double"/>
        </w:rPr>
        <w:t xml:space="preserve"> were developed </w:t>
      </w:r>
      <w:r>
        <w:rPr>
          <w:u w:val="double"/>
        </w:rPr>
        <w:t>t</w:t>
      </w:r>
      <w:r w:rsidRPr="00504E27">
        <w:rPr>
          <w:u w:val="double"/>
        </w:rPr>
        <w:t xml:space="preserve">o increase the throughput of diagnostic samples </w:t>
      </w:r>
      <w:r w:rsidR="00C040BB" w:rsidRPr="00504E27">
        <w:rPr>
          <w:u w:val="double"/>
        </w:rPr>
        <w:t>(Raviv</w:t>
      </w:r>
      <w:r w:rsidR="00D953E0">
        <w:rPr>
          <w:u w:val="double"/>
        </w:rPr>
        <w:t xml:space="preserve"> &amp; Kleven</w:t>
      </w:r>
      <w:r w:rsidR="00722D5D">
        <w:rPr>
          <w:u w:val="double"/>
        </w:rPr>
        <w:t>,</w:t>
      </w:r>
      <w:r w:rsidR="00C040BB" w:rsidRPr="00504E27">
        <w:rPr>
          <w:u w:val="double"/>
        </w:rPr>
        <w:t xml:space="preserve"> 2009). This method use</w:t>
      </w:r>
      <w:r w:rsidR="00722D5D">
        <w:rPr>
          <w:u w:val="double"/>
        </w:rPr>
        <w:t>s</w:t>
      </w:r>
      <w:r w:rsidR="00C040BB" w:rsidRPr="00504E27">
        <w:rPr>
          <w:u w:val="double"/>
        </w:rPr>
        <w:t xml:space="preserve"> specific fluorescent probes that increase the cost of specific analysis</w:t>
      </w:r>
      <w:r>
        <w:rPr>
          <w:u w:val="double"/>
        </w:rPr>
        <w:t>,</w:t>
      </w:r>
      <w:r w:rsidR="00C040BB" w:rsidRPr="00504E27">
        <w:rPr>
          <w:u w:val="double"/>
        </w:rPr>
        <w:t xml:space="preserve"> but avoid potential contamination post-amplification. MG gene amplification is targeted to </w:t>
      </w:r>
      <w:r w:rsidR="00C040BB" w:rsidRPr="00504E27">
        <w:rPr>
          <w:i/>
          <w:u w:val="double"/>
        </w:rPr>
        <w:t>mgc2</w:t>
      </w:r>
      <w:r w:rsidR="00C040BB" w:rsidRPr="00504E27">
        <w:rPr>
          <w:u w:val="double"/>
        </w:rPr>
        <w:t xml:space="preserve"> gene and MS amplification on 16S</w:t>
      </w:r>
      <w:r w:rsidR="00E70EFC">
        <w:rPr>
          <w:u w:val="double"/>
        </w:rPr>
        <w:t>–</w:t>
      </w:r>
      <w:r w:rsidR="00C040BB" w:rsidRPr="00504E27">
        <w:rPr>
          <w:u w:val="double"/>
        </w:rPr>
        <w:t>23S ISR. The assay is conducted as a duplex amplification that includes an internal amplification control (IAC). A detection limit of 10</w:t>
      </w:r>
      <w:r w:rsidR="00E70EFC">
        <w:rPr>
          <w:u w:val="double"/>
        </w:rPr>
        <w:t> </w:t>
      </w:r>
      <w:r w:rsidR="00C040BB" w:rsidRPr="00504E27">
        <w:rPr>
          <w:u w:val="double"/>
        </w:rPr>
        <w:t xml:space="preserve">copies of MS DNA per reaction and 1 copy of MG DNA </w:t>
      </w:r>
      <w:r>
        <w:rPr>
          <w:u w:val="double"/>
        </w:rPr>
        <w:t>is</w:t>
      </w:r>
      <w:r w:rsidR="00C040BB" w:rsidRPr="00504E27">
        <w:rPr>
          <w:u w:val="double"/>
        </w:rPr>
        <w:t xml:space="preserve"> determined.</w:t>
      </w:r>
    </w:p>
    <w:p w14:paraId="72C91394" w14:textId="27971792" w:rsidR="00C040BB" w:rsidRPr="00504E27" w:rsidRDefault="00C040BB" w:rsidP="00504E27">
      <w:pPr>
        <w:pStyle w:val="i"/>
        <w:rPr>
          <w:u w:val="double"/>
        </w:rPr>
      </w:pPr>
      <w:r w:rsidRPr="00504E27">
        <w:rPr>
          <w:u w:val="double"/>
        </w:rPr>
        <w:t>i)</w:t>
      </w:r>
      <w:r w:rsidR="00504E27" w:rsidRPr="00504E27">
        <w:rPr>
          <w:u w:val="double"/>
        </w:rPr>
        <w:tab/>
      </w:r>
      <w:r w:rsidRPr="00504E27">
        <w:rPr>
          <w:u w:val="double"/>
        </w:rPr>
        <w:t>Primers</w:t>
      </w:r>
    </w:p>
    <w:tbl>
      <w:tblPr>
        <w:tblStyle w:val="Grilledutableau"/>
        <w:tblW w:w="7938" w:type="dxa"/>
        <w:tblInd w:w="1413" w:type="dxa"/>
        <w:tblLook w:val="04A0" w:firstRow="1" w:lastRow="0" w:firstColumn="1" w:lastColumn="0" w:noHBand="0" w:noVBand="1"/>
      </w:tblPr>
      <w:tblGrid>
        <w:gridCol w:w="1276"/>
        <w:gridCol w:w="6662"/>
      </w:tblGrid>
      <w:tr w:rsidR="00E76B41" w:rsidRPr="00F02189" w14:paraId="7C10C1B2" w14:textId="77777777" w:rsidTr="006D1AC2">
        <w:tc>
          <w:tcPr>
            <w:tcW w:w="1276" w:type="dxa"/>
            <w:vAlign w:val="center"/>
          </w:tcPr>
          <w:p w14:paraId="0FEF7C7F" w14:textId="46CDB4E8" w:rsidR="00E76B41" w:rsidRPr="00A91C54" w:rsidRDefault="00E76B41" w:rsidP="00A07FA4">
            <w:pPr>
              <w:pStyle w:val="ififthpara"/>
              <w:spacing w:before="60" w:after="60"/>
              <w:ind w:left="0"/>
              <w:jc w:val="left"/>
              <w:rPr>
                <w:b/>
                <w:bCs/>
              </w:rPr>
            </w:pPr>
            <w:r w:rsidRPr="00A91C54">
              <w:rPr>
                <w:b/>
                <w:bCs/>
              </w:rPr>
              <w:t>For</w:t>
            </w:r>
          </w:p>
        </w:tc>
        <w:tc>
          <w:tcPr>
            <w:tcW w:w="6662" w:type="dxa"/>
            <w:vAlign w:val="center"/>
          </w:tcPr>
          <w:p w14:paraId="7187BFBE" w14:textId="2FEED2F8" w:rsidR="00E76B41" w:rsidRPr="00A91C54" w:rsidRDefault="00E76B41" w:rsidP="00E76B41">
            <w:pPr>
              <w:pStyle w:val="ififthpara"/>
              <w:spacing w:before="60" w:after="60"/>
              <w:ind w:left="0"/>
              <w:jc w:val="left"/>
              <w:rPr>
                <w:b/>
                <w:bCs/>
              </w:rPr>
            </w:pPr>
            <w:r w:rsidRPr="00A91C54">
              <w:rPr>
                <w:b/>
                <w:bCs/>
              </w:rPr>
              <w:t>Primers and probes</w:t>
            </w:r>
          </w:p>
        </w:tc>
      </w:tr>
      <w:tr w:rsidR="00E76B41" w:rsidRPr="00F02189" w14:paraId="6186D7D2" w14:textId="77777777" w:rsidTr="006D1AC2">
        <w:tc>
          <w:tcPr>
            <w:tcW w:w="1276" w:type="dxa"/>
            <w:vMerge w:val="restart"/>
            <w:vAlign w:val="center"/>
          </w:tcPr>
          <w:p w14:paraId="29E3C453" w14:textId="34B9D42B" w:rsidR="00E76B41" w:rsidRPr="00A91C54" w:rsidRDefault="00E76B41" w:rsidP="00A07FA4">
            <w:pPr>
              <w:pStyle w:val="ififthpara"/>
              <w:spacing w:before="60" w:after="60"/>
              <w:ind w:left="0"/>
              <w:jc w:val="left"/>
            </w:pPr>
            <w:r w:rsidRPr="00A91C54">
              <w:rPr>
                <w:u w:val="double"/>
              </w:rPr>
              <w:t>MG</w:t>
            </w:r>
          </w:p>
        </w:tc>
        <w:tc>
          <w:tcPr>
            <w:tcW w:w="6662" w:type="dxa"/>
            <w:vAlign w:val="center"/>
          </w:tcPr>
          <w:p w14:paraId="21EF64F8" w14:textId="674553A9" w:rsidR="00E76B41" w:rsidRPr="00A91C54" w:rsidRDefault="00E76B41" w:rsidP="00A07FA4">
            <w:pPr>
              <w:pStyle w:val="ififthpara"/>
              <w:spacing w:before="60" w:after="60"/>
              <w:ind w:left="0"/>
              <w:jc w:val="left"/>
            </w:pPr>
            <w:r w:rsidRPr="00A91C54">
              <w:rPr>
                <w:u w:val="double"/>
              </w:rPr>
              <w:t xml:space="preserve">MGFrt F 5’-TTG-GGT-TTA-GGG-ATT-GGG-ATT-3’  </w:t>
            </w:r>
          </w:p>
        </w:tc>
      </w:tr>
      <w:tr w:rsidR="00E76B41" w:rsidRPr="00A91C54" w14:paraId="5DC452AA" w14:textId="77777777" w:rsidTr="006D1AC2">
        <w:tc>
          <w:tcPr>
            <w:tcW w:w="1276" w:type="dxa"/>
            <w:vMerge/>
            <w:vAlign w:val="center"/>
          </w:tcPr>
          <w:p w14:paraId="0D127DEA" w14:textId="77777777" w:rsidR="00E76B41" w:rsidRPr="00A91C54" w:rsidRDefault="00E76B41" w:rsidP="00A07FA4">
            <w:pPr>
              <w:pStyle w:val="ififthpara"/>
              <w:spacing w:before="60" w:after="60"/>
              <w:ind w:left="0"/>
              <w:jc w:val="left"/>
            </w:pPr>
          </w:p>
        </w:tc>
        <w:tc>
          <w:tcPr>
            <w:tcW w:w="6662" w:type="dxa"/>
            <w:vAlign w:val="center"/>
          </w:tcPr>
          <w:p w14:paraId="19753FB2" w14:textId="5631729E" w:rsidR="00E76B41" w:rsidRPr="00A91C54" w:rsidRDefault="00E76B41" w:rsidP="00A07FA4">
            <w:pPr>
              <w:pStyle w:val="ififthpara"/>
              <w:spacing w:before="60" w:after="60"/>
              <w:ind w:left="0"/>
              <w:jc w:val="left"/>
              <w:rPr>
                <w:lang w:val="it-IT"/>
              </w:rPr>
            </w:pPr>
            <w:r w:rsidRPr="00A91C54">
              <w:rPr>
                <w:u w:val="double"/>
                <w:lang w:val="it-IT"/>
              </w:rPr>
              <w:t>MGRrtr 5’-CCA-AGG-GAT-TCA-ACC-ATC-3’</w:t>
            </w:r>
          </w:p>
        </w:tc>
      </w:tr>
      <w:tr w:rsidR="00E76B41" w:rsidRPr="004324D2" w14:paraId="23579EE4" w14:textId="77777777" w:rsidTr="006D1AC2">
        <w:trPr>
          <w:trHeight w:val="340"/>
        </w:trPr>
        <w:tc>
          <w:tcPr>
            <w:tcW w:w="1276" w:type="dxa"/>
            <w:vMerge/>
            <w:vAlign w:val="center"/>
          </w:tcPr>
          <w:p w14:paraId="4FA4204B" w14:textId="268C1972" w:rsidR="00E76B41" w:rsidRPr="00A91C54" w:rsidRDefault="00E76B41" w:rsidP="00A07FA4">
            <w:pPr>
              <w:pStyle w:val="ififthpara"/>
              <w:spacing w:before="60" w:after="60"/>
              <w:ind w:left="0"/>
              <w:jc w:val="left"/>
              <w:rPr>
                <w:u w:val="double"/>
                <w:lang w:val="it-IT"/>
              </w:rPr>
            </w:pPr>
          </w:p>
        </w:tc>
        <w:tc>
          <w:tcPr>
            <w:tcW w:w="6662" w:type="dxa"/>
            <w:vAlign w:val="center"/>
          </w:tcPr>
          <w:p w14:paraId="6677C399" w14:textId="236C5447" w:rsidR="00E76B41" w:rsidRPr="00A91C54" w:rsidRDefault="00E76B41" w:rsidP="00A07FA4">
            <w:pPr>
              <w:pStyle w:val="ififthpara"/>
              <w:spacing w:before="60" w:after="60"/>
              <w:ind w:left="0"/>
              <w:jc w:val="left"/>
              <w:rPr>
                <w:lang w:val="it-IT"/>
              </w:rPr>
            </w:pPr>
            <w:r w:rsidRPr="00A91C54">
              <w:rPr>
                <w:u w:val="double"/>
                <w:lang w:val="it-IT"/>
              </w:rPr>
              <w:t>MGPrt 5’-Texas Red-TGA-TGA-TCC-AAG-AAC-GTG-AAG-AAC-ACC-BHQ1-3’</w:t>
            </w:r>
          </w:p>
        </w:tc>
      </w:tr>
      <w:tr w:rsidR="00E76B41" w:rsidRPr="00F02189" w14:paraId="18E2DAB4" w14:textId="77777777" w:rsidTr="006D1AC2">
        <w:trPr>
          <w:trHeight w:val="340"/>
        </w:trPr>
        <w:tc>
          <w:tcPr>
            <w:tcW w:w="1276" w:type="dxa"/>
            <w:vMerge w:val="restart"/>
            <w:vAlign w:val="center"/>
          </w:tcPr>
          <w:p w14:paraId="18089E27" w14:textId="75F1ECBE" w:rsidR="00E76B41" w:rsidRPr="00A91C54" w:rsidRDefault="00E76B41" w:rsidP="00A07FA4">
            <w:pPr>
              <w:pStyle w:val="ififthpara"/>
              <w:spacing w:before="60" w:after="60"/>
              <w:ind w:left="0"/>
              <w:jc w:val="left"/>
            </w:pPr>
            <w:r w:rsidRPr="00A91C54">
              <w:rPr>
                <w:u w:val="double"/>
              </w:rPr>
              <w:t>MS</w:t>
            </w:r>
          </w:p>
        </w:tc>
        <w:tc>
          <w:tcPr>
            <w:tcW w:w="6662" w:type="dxa"/>
            <w:vAlign w:val="center"/>
          </w:tcPr>
          <w:p w14:paraId="1DA801E8" w14:textId="383C48DA" w:rsidR="00E76B41" w:rsidRPr="00A91C54" w:rsidRDefault="00E76B41" w:rsidP="00A07FA4">
            <w:pPr>
              <w:pStyle w:val="ififthpara"/>
              <w:spacing w:before="60" w:after="60"/>
              <w:ind w:left="0"/>
              <w:jc w:val="left"/>
            </w:pPr>
            <w:r w:rsidRPr="00A91C54">
              <w:rPr>
                <w:u w:val="double"/>
              </w:rPr>
              <w:t xml:space="preserve">MSFrt </w:t>
            </w:r>
            <w:r w:rsidRPr="00A91C54">
              <w:rPr>
                <w:u w:val="double"/>
                <w:lang w:val="en-US"/>
              </w:rPr>
              <w:t>5’-</w:t>
            </w:r>
            <w:r w:rsidRPr="00A91C54">
              <w:rPr>
                <w:u w:val="double"/>
              </w:rPr>
              <w:t>CCT-CCT-TTC-TTA-CGG-AGT-ACA</w:t>
            </w:r>
            <w:r w:rsidRPr="00A91C54">
              <w:rPr>
                <w:u w:val="double"/>
                <w:lang w:val="en-US"/>
              </w:rPr>
              <w:t xml:space="preserve">-3’ </w:t>
            </w:r>
          </w:p>
        </w:tc>
      </w:tr>
      <w:tr w:rsidR="00E76B41" w:rsidRPr="004324D2" w14:paraId="4E2E04D2" w14:textId="77777777" w:rsidTr="006D1AC2">
        <w:tc>
          <w:tcPr>
            <w:tcW w:w="1276" w:type="dxa"/>
            <w:vMerge/>
            <w:vAlign w:val="center"/>
          </w:tcPr>
          <w:p w14:paraId="63450194" w14:textId="77777777" w:rsidR="00E76B41" w:rsidRPr="00A91C54" w:rsidRDefault="00E76B41" w:rsidP="00A07FA4">
            <w:pPr>
              <w:pStyle w:val="ififthpara"/>
              <w:spacing w:before="60" w:after="60"/>
              <w:ind w:left="0"/>
              <w:jc w:val="left"/>
            </w:pPr>
          </w:p>
        </w:tc>
        <w:tc>
          <w:tcPr>
            <w:tcW w:w="6662" w:type="dxa"/>
            <w:vAlign w:val="center"/>
          </w:tcPr>
          <w:p w14:paraId="695A7456" w14:textId="5A7EF6BA" w:rsidR="00E76B41" w:rsidRPr="00A91C54" w:rsidRDefault="00E76B41" w:rsidP="00A07FA4">
            <w:pPr>
              <w:pStyle w:val="ififthpara"/>
              <w:spacing w:before="60" w:after="60"/>
              <w:ind w:left="0"/>
              <w:jc w:val="left"/>
              <w:rPr>
                <w:lang w:val="es-ES"/>
              </w:rPr>
            </w:pPr>
            <w:r w:rsidRPr="00A91C54">
              <w:rPr>
                <w:u w:val="double"/>
                <w:lang w:val="es-ES"/>
              </w:rPr>
              <w:t xml:space="preserve">MSRrt </w:t>
            </w:r>
            <w:r w:rsidRPr="00A91C54">
              <w:rPr>
                <w:u w:val="double"/>
                <w:lang w:val="nl-NL"/>
              </w:rPr>
              <w:t>5’-</w:t>
            </w:r>
            <w:r w:rsidRPr="00A91C54">
              <w:rPr>
                <w:u w:val="double"/>
                <w:lang w:val="es-ES"/>
              </w:rPr>
              <w:t>CTA-AAT-ACA-ATA-GCC-CAA-GGC-AA</w:t>
            </w:r>
            <w:r w:rsidRPr="00A91C54">
              <w:rPr>
                <w:u w:val="double"/>
                <w:lang w:val="nl-NL"/>
              </w:rPr>
              <w:t>-3’</w:t>
            </w:r>
          </w:p>
        </w:tc>
      </w:tr>
      <w:tr w:rsidR="00E76B41" w:rsidRPr="004324D2" w14:paraId="48D0822B" w14:textId="77777777" w:rsidTr="006D1AC2">
        <w:tc>
          <w:tcPr>
            <w:tcW w:w="1276" w:type="dxa"/>
            <w:vMerge/>
            <w:vAlign w:val="center"/>
          </w:tcPr>
          <w:p w14:paraId="52F1530A" w14:textId="77777777" w:rsidR="00E76B41" w:rsidRPr="00A91C54" w:rsidRDefault="00E76B41" w:rsidP="00A07FA4">
            <w:pPr>
              <w:pStyle w:val="ififthpara"/>
              <w:spacing w:before="60" w:after="60"/>
              <w:ind w:left="0"/>
              <w:jc w:val="left"/>
              <w:rPr>
                <w:lang w:val="es-ES"/>
              </w:rPr>
            </w:pPr>
          </w:p>
        </w:tc>
        <w:tc>
          <w:tcPr>
            <w:tcW w:w="6662" w:type="dxa"/>
            <w:vAlign w:val="center"/>
          </w:tcPr>
          <w:p w14:paraId="0F0B8A97" w14:textId="5834E29C" w:rsidR="00E76B41" w:rsidRPr="00A91C54" w:rsidRDefault="00E76B41" w:rsidP="00A07FA4">
            <w:pPr>
              <w:pStyle w:val="ififthpara"/>
              <w:spacing w:before="60" w:after="60"/>
              <w:ind w:left="0"/>
              <w:jc w:val="left"/>
              <w:rPr>
                <w:lang w:val="nl-NL"/>
              </w:rPr>
            </w:pPr>
            <w:r w:rsidRPr="00A91C54">
              <w:rPr>
                <w:u w:val="double"/>
                <w:lang w:val="nl-NL"/>
              </w:rPr>
              <w:t>MSPrt 5’-FAM-ATT-CTA-AAA-GCG-GTT-GTG-TAT-CGC-T-BHQ1-3</w:t>
            </w:r>
          </w:p>
        </w:tc>
      </w:tr>
    </w:tbl>
    <w:p w14:paraId="50C059BE" w14:textId="4B18D1D8" w:rsidR="006D1AC2" w:rsidRDefault="006D1AC2" w:rsidP="006D1AC2">
      <w:pPr>
        <w:pStyle w:val="i"/>
        <w:spacing w:before="120"/>
        <w:ind w:firstLine="0"/>
        <w:rPr>
          <w:u w:val="double"/>
        </w:rPr>
      </w:pPr>
      <w:r w:rsidRPr="00504E27">
        <w:rPr>
          <w:u w:val="double"/>
          <w:lang w:val="en-US"/>
        </w:rPr>
        <w:t>A commercial IAC DNA kit could be included into the amplification mix to reduce the likelihood of false negatives results.</w:t>
      </w:r>
    </w:p>
    <w:p w14:paraId="6EC7E8D6" w14:textId="3CA994DB" w:rsidR="00C040BB" w:rsidRPr="00504E27" w:rsidRDefault="00C040BB" w:rsidP="006D1AC2">
      <w:pPr>
        <w:pStyle w:val="i"/>
        <w:rPr>
          <w:u w:val="double"/>
        </w:rPr>
      </w:pPr>
      <w:r w:rsidRPr="00504E27">
        <w:rPr>
          <w:u w:val="double"/>
        </w:rPr>
        <w:t>ii)</w:t>
      </w:r>
      <w:r w:rsidR="00504E27" w:rsidRPr="00504E27">
        <w:rPr>
          <w:u w:val="double"/>
        </w:rPr>
        <w:tab/>
      </w:r>
      <w:r w:rsidRPr="00504E27">
        <w:rPr>
          <w:u w:val="double"/>
        </w:rPr>
        <w:t>Polymerase chain reaction</w:t>
      </w:r>
    </w:p>
    <w:p w14:paraId="063C50E2" w14:textId="6CBD7B2B" w:rsidR="00C040BB" w:rsidRPr="00504E27" w:rsidRDefault="00C040BB" w:rsidP="00504E27">
      <w:pPr>
        <w:pStyle w:val="afourthpara"/>
        <w:rPr>
          <w:u w:val="double"/>
        </w:rPr>
      </w:pPr>
      <w:r w:rsidRPr="00504E27">
        <w:rPr>
          <w:u w:val="double"/>
        </w:rPr>
        <w:t>The amplification is conducted in a 96-well real</w:t>
      </w:r>
      <w:r w:rsidR="00E70EFC">
        <w:rPr>
          <w:u w:val="double"/>
        </w:rPr>
        <w:t>-</w:t>
      </w:r>
      <w:r w:rsidRPr="00504E27">
        <w:rPr>
          <w:u w:val="double"/>
        </w:rPr>
        <w:t xml:space="preserve">time thermocycler. </w:t>
      </w:r>
      <w:r w:rsidR="00811C37" w:rsidRPr="00504E27">
        <w:rPr>
          <w:u w:val="double"/>
        </w:rPr>
        <w:t>A tube</w:t>
      </w:r>
      <w:r w:rsidR="00811C37">
        <w:rPr>
          <w:u w:val="double"/>
        </w:rPr>
        <w:t xml:space="preserve"> </w:t>
      </w:r>
      <w:r w:rsidR="00811C37" w:rsidRPr="00504E27">
        <w:rPr>
          <w:u w:val="double"/>
        </w:rPr>
        <w:t xml:space="preserve">reaction </w:t>
      </w:r>
      <w:r w:rsidR="00811C37">
        <w:rPr>
          <w:u w:val="double"/>
        </w:rPr>
        <w:t>is</w:t>
      </w:r>
      <w:r w:rsidR="00811C37" w:rsidRPr="00504E27">
        <w:rPr>
          <w:u w:val="double"/>
        </w:rPr>
        <w:t xml:space="preserve"> prepared for </w:t>
      </w:r>
      <w:r w:rsidRPr="00504E27">
        <w:rPr>
          <w:u w:val="double"/>
        </w:rPr>
        <w:t>each sample to be tested for MG or MS. Each reaction contain</w:t>
      </w:r>
      <w:r w:rsidR="00E70EFC">
        <w:rPr>
          <w:u w:val="double"/>
        </w:rPr>
        <w:t>s</w:t>
      </w:r>
      <w:r w:rsidRPr="00504E27">
        <w:rPr>
          <w:u w:val="double"/>
        </w:rPr>
        <w:t xml:space="preserve"> a total </w:t>
      </w:r>
      <w:r w:rsidR="00811C37">
        <w:rPr>
          <w:u w:val="double"/>
        </w:rPr>
        <w:t xml:space="preserve">of </w:t>
      </w:r>
      <w:r w:rsidRPr="00504E27">
        <w:rPr>
          <w:u w:val="double"/>
        </w:rPr>
        <w:t>25 µl comprising 5 µl of target DNA, 12</w:t>
      </w:r>
      <w:r w:rsidR="00E70EFC">
        <w:rPr>
          <w:u w:val="double"/>
        </w:rPr>
        <w:t>.</w:t>
      </w:r>
      <w:r w:rsidRPr="00504E27">
        <w:rPr>
          <w:u w:val="double"/>
        </w:rPr>
        <w:t>5 µl of 2</w:t>
      </w:r>
      <w:r w:rsidR="00E70EFC">
        <w:rPr>
          <w:u w:val="double"/>
        </w:rPr>
        <w:t>×</w:t>
      </w:r>
      <w:r w:rsidRPr="00504E27">
        <w:rPr>
          <w:u w:val="double"/>
        </w:rPr>
        <w:t xml:space="preserve"> of universal real</w:t>
      </w:r>
      <w:r w:rsidR="00E70EFC">
        <w:rPr>
          <w:u w:val="double"/>
        </w:rPr>
        <w:t>-</w:t>
      </w:r>
      <w:r w:rsidRPr="00504E27">
        <w:rPr>
          <w:u w:val="double"/>
        </w:rPr>
        <w:t xml:space="preserve">time PCR master mix, </w:t>
      </w:r>
      <w:r w:rsidR="00811C37" w:rsidRPr="00504E27">
        <w:rPr>
          <w:u w:val="double"/>
        </w:rPr>
        <w:t xml:space="preserve">5 µM </w:t>
      </w:r>
      <w:r w:rsidR="00811C37">
        <w:rPr>
          <w:u w:val="double"/>
        </w:rPr>
        <w:t xml:space="preserve">of </w:t>
      </w:r>
      <w:r w:rsidRPr="00504E27">
        <w:rPr>
          <w:u w:val="double"/>
        </w:rPr>
        <w:t xml:space="preserve">each </w:t>
      </w:r>
      <w:r w:rsidR="00811C37" w:rsidRPr="00504E27">
        <w:rPr>
          <w:u w:val="double"/>
        </w:rPr>
        <w:t xml:space="preserve">final </w:t>
      </w:r>
      <w:r w:rsidRPr="00504E27">
        <w:rPr>
          <w:u w:val="double"/>
        </w:rPr>
        <w:t xml:space="preserve">primer and </w:t>
      </w:r>
      <w:r w:rsidR="00811C37" w:rsidRPr="00504E27">
        <w:rPr>
          <w:u w:val="double"/>
        </w:rPr>
        <w:t>0</w:t>
      </w:r>
      <w:r w:rsidR="00811C37">
        <w:rPr>
          <w:u w:val="double"/>
        </w:rPr>
        <w:t>.</w:t>
      </w:r>
      <w:r w:rsidR="00811C37" w:rsidRPr="00504E27">
        <w:rPr>
          <w:u w:val="double"/>
        </w:rPr>
        <w:t xml:space="preserve">2 µM final </w:t>
      </w:r>
      <w:r w:rsidRPr="00504E27">
        <w:rPr>
          <w:u w:val="double"/>
        </w:rPr>
        <w:t>probe.</w:t>
      </w:r>
      <w:r w:rsidR="00811C37">
        <w:rPr>
          <w:u w:val="double"/>
        </w:rPr>
        <w:t xml:space="preserve"> An</w:t>
      </w:r>
      <w:r w:rsidRPr="00504E27">
        <w:rPr>
          <w:u w:val="double"/>
        </w:rPr>
        <w:t xml:space="preserve"> IAC reagent could be added in each reaction following manufacturer’s instructions.</w:t>
      </w:r>
    </w:p>
    <w:p w14:paraId="52F79A62" w14:textId="21249B3F" w:rsidR="00C040BB" w:rsidRDefault="00C040BB" w:rsidP="006D1AC2">
      <w:pPr>
        <w:pStyle w:val="afourthpara"/>
        <w:spacing w:after="120"/>
        <w:rPr>
          <w:u w:val="double"/>
        </w:rPr>
      </w:pPr>
      <w:r w:rsidRPr="00504E27">
        <w:rPr>
          <w:u w:val="double"/>
        </w:rPr>
        <w:t xml:space="preserve">A common amplification protocol is used: </w:t>
      </w:r>
    </w:p>
    <w:tbl>
      <w:tblPr>
        <w:tblStyle w:val="Grilledutableau"/>
        <w:tblW w:w="7088" w:type="dxa"/>
        <w:tblInd w:w="1838" w:type="dxa"/>
        <w:tblLook w:val="04A0" w:firstRow="1" w:lastRow="0" w:firstColumn="1" w:lastColumn="0" w:noHBand="0" w:noVBand="1"/>
      </w:tblPr>
      <w:tblGrid>
        <w:gridCol w:w="2410"/>
        <w:gridCol w:w="709"/>
        <w:gridCol w:w="1275"/>
        <w:gridCol w:w="2694"/>
      </w:tblGrid>
      <w:tr w:rsidR="00E76B41" w:rsidRPr="0090305D" w14:paraId="795B6F81" w14:textId="77777777" w:rsidTr="00412020">
        <w:trPr>
          <w:trHeight w:val="397"/>
        </w:trPr>
        <w:tc>
          <w:tcPr>
            <w:tcW w:w="2410" w:type="dxa"/>
            <w:vAlign w:val="center"/>
          </w:tcPr>
          <w:p w14:paraId="7C754FD7" w14:textId="058ED94E" w:rsidR="00E76B41" w:rsidRPr="00A91C54" w:rsidRDefault="00E76B41" w:rsidP="00412020">
            <w:pPr>
              <w:pStyle w:val="i"/>
              <w:spacing w:before="60" w:after="60"/>
              <w:ind w:left="0" w:firstLine="0"/>
              <w:jc w:val="left"/>
              <w:rPr>
                <w:u w:val="double"/>
              </w:rPr>
            </w:pPr>
            <w:r w:rsidRPr="00A91C54">
              <w:rPr>
                <w:u w:val="double"/>
              </w:rPr>
              <w:t>1 cycle</w:t>
            </w:r>
          </w:p>
        </w:tc>
        <w:tc>
          <w:tcPr>
            <w:tcW w:w="709" w:type="dxa"/>
            <w:vAlign w:val="center"/>
          </w:tcPr>
          <w:p w14:paraId="3B84DD12" w14:textId="2818094F" w:rsidR="00E76B41" w:rsidRPr="00A91C54" w:rsidRDefault="00E76B41" w:rsidP="00412020">
            <w:pPr>
              <w:pStyle w:val="i"/>
              <w:spacing w:before="60" w:after="60"/>
              <w:ind w:left="0" w:firstLine="0"/>
              <w:jc w:val="left"/>
              <w:rPr>
                <w:u w:val="double"/>
              </w:rPr>
            </w:pPr>
            <w:r w:rsidRPr="00A91C54">
              <w:rPr>
                <w:u w:val="double"/>
              </w:rPr>
              <w:t xml:space="preserve">95°C </w:t>
            </w:r>
          </w:p>
        </w:tc>
        <w:tc>
          <w:tcPr>
            <w:tcW w:w="1275" w:type="dxa"/>
            <w:vAlign w:val="center"/>
          </w:tcPr>
          <w:p w14:paraId="7321E004" w14:textId="2351BD93" w:rsidR="00E76B41" w:rsidRPr="00A91C54" w:rsidRDefault="00E76B41" w:rsidP="00412020">
            <w:pPr>
              <w:pStyle w:val="i"/>
              <w:spacing w:before="60" w:after="60"/>
              <w:ind w:left="0" w:firstLine="0"/>
              <w:jc w:val="left"/>
              <w:rPr>
                <w:u w:val="double"/>
              </w:rPr>
            </w:pPr>
            <w:r w:rsidRPr="00A91C54">
              <w:rPr>
                <w:u w:val="double"/>
              </w:rPr>
              <w:t>10 minutes</w:t>
            </w:r>
          </w:p>
        </w:tc>
        <w:tc>
          <w:tcPr>
            <w:tcW w:w="2694" w:type="dxa"/>
            <w:vAlign w:val="center"/>
          </w:tcPr>
          <w:p w14:paraId="759BE98B" w14:textId="00FD18F1" w:rsidR="00E76B41" w:rsidRPr="00A91C54" w:rsidRDefault="00E76B41" w:rsidP="00412020">
            <w:pPr>
              <w:pStyle w:val="i"/>
              <w:spacing w:before="60" w:after="60"/>
              <w:ind w:left="0" w:firstLine="0"/>
              <w:jc w:val="left"/>
              <w:rPr>
                <w:u w:val="double"/>
              </w:rPr>
            </w:pPr>
            <w:r w:rsidRPr="00A91C54">
              <w:rPr>
                <w:u w:val="double"/>
              </w:rPr>
              <w:t>(single denaturation step)</w:t>
            </w:r>
          </w:p>
        </w:tc>
      </w:tr>
      <w:tr w:rsidR="00E76B41" w:rsidRPr="0090305D" w14:paraId="6A38F4F0" w14:textId="77777777" w:rsidTr="00412020">
        <w:trPr>
          <w:trHeight w:val="397"/>
        </w:trPr>
        <w:tc>
          <w:tcPr>
            <w:tcW w:w="2410" w:type="dxa"/>
            <w:vMerge w:val="restart"/>
            <w:vAlign w:val="center"/>
          </w:tcPr>
          <w:p w14:paraId="6EBF4F45" w14:textId="4605CEC8" w:rsidR="00E76B41" w:rsidRPr="00A91C54" w:rsidRDefault="00E76B41" w:rsidP="00412020">
            <w:pPr>
              <w:pStyle w:val="i"/>
              <w:spacing w:before="60" w:after="60"/>
              <w:ind w:left="0" w:firstLine="0"/>
              <w:jc w:val="left"/>
              <w:rPr>
                <w:u w:val="double"/>
              </w:rPr>
            </w:pPr>
            <w:r w:rsidRPr="00A91C54">
              <w:rPr>
                <w:u w:val="double"/>
              </w:rPr>
              <w:t>45 cycles:</w:t>
            </w:r>
          </w:p>
        </w:tc>
        <w:tc>
          <w:tcPr>
            <w:tcW w:w="709" w:type="dxa"/>
            <w:vAlign w:val="center"/>
          </w:tcPr>
          <w:p w14:paraId="3C510F70" w14:textId="77777777" w:rsidR="00E76B41" w:rsidRPr="00A91C54" w:rsidRDefault="00E76B41" w:rsidP="00412020">
            <w:pPr>
              <w:pStyle w:val="i"/>
              <w:spacing w:before="60" w:after="60"/>
              <w:ind w:left="0" w:firstLine="0"/>
              <w:jc w:val="left"/>
              <w:rPr>
                <w:u w:val="double"/>
              </w:rPr>
            </w:pPr>
            <w:r w:rsidRPr="00A91C54">
              <w:rPr>
                <w:u w:val="double"/>
              </w:rPr>
              <w:t>95°C</w:t>
            </w:r>
          </w:p>
        </w:tc>
        <w:tc>
          <w:tcPr>
            <w:tcW w:w="1275" w:type="dxa"/>
            <w:vAlign w:val="center"/>
          </w:tcPr>
          <w:p w14:paraId="0CCA21D1" w14:textId="1764EE83" w:rsidR="00E76B41" w:rsidRPr="00A91C54" w:rsidRDefault="00E76B41" w:rsidP="00412020">
            <w:pPr>
              <w:pStyle w:val="i"/>
              <w:spacing w:before="60" w:after="60"/>
              <w:ind w:left="0" w:firstLine="0"/>
              <w:jc w:val="left"/>
              <w:rPr>
                <w:u w:val="double"/>
              </w:rPr>
            </w:pPr>
            <w:r w:rsidRPr="00A91C54">
              <w:rPr>
                <w:u w:val="double"/>
              </w:rPr>
              <w:t>15 seconds</w:t>
            </w:r>
          </w:p>
        </w:tc>
        <w:tc>
          <w:tcPr>
            <w:tcW w:w="2694" w:type="dxa"/>
            <w:vAlign w:val="center"/>
          </w:tcPr>
          <w:p w14:paraId="41801881" w14:textId="77777777" w:rsidR="00E76B41" w:rsidRPr="00A91C54" w:rsidRDefault="00E76B41" w:rsidP="00412020">
            <w:pPr>
              <w:pStyle w:val="i"/>
              <w:spacing w:before="60" w:after="60"/>
              <w:ind w:left="0" w:firstLine="0"/>
              <w:jc w:val="left"/>
              <w:rPr>
                <w:u w:val="double"/>
              </w:rPr>
            </w:pPr>
          </w:p>
        </w:tc>
      </w:tr>
      <w:tr w:rsidR="00E76B41" w:rsidRPr="0090305D" w14:paraId="3BB361DF" w14:textId="77777777" w:rsidTr="00E76B41">
        <w:trPr>
          <w:trHeight w:val="340"/>
        </w:trPr>
        <w:tc>
          <w:tcPr>
            <w:tcW w:w="2410" w:type="dxa"/>
            <w:vMerge/>
            <w:vAlign w:val="center"/>
          </w:tcPr>
          <w:p w14:paraId="2619807E" w14:textId="77777777" w:rsidR="00E76B41" w:rsidRPr="00A91C54" w:rsidRDefault="00E76B41" w:rsidP="00412020">
            <w:pPr>
              <w:pStyle w:val="i"/>
              <w:spacing w:before="60" w:after="60"/>
              <w:ind w:left="0" w:firstLine="0"/>
              <w:jc w:val="left"/>
              <w:rPr>
                <w:u w:val="double"/>
              </w:rPr>
            </w:pPr>
          </w:p>
        </w:tc>
        <w:tc>
          <w:tcPr>
            <w:tcW w:w="709" w:type="dxa"/>
            <w:vAlign w:val="center"/>
          </w:tcPr>
          <w:p w14:paraId="3B632B6E" w14:textId="03A31706" w:rsidR="00E76B41" w:rsidRPr="00A91C54" w:rsidRDefault="00E76B41" w:rsidP="00412020">
            <w:pPr>
              <w:pStyle w:val="i"/>
              <w:spacing w:before="60" w:after="60"/>
              <w:ind w:left="0" w:firstLine="0"/>
              <w:jc w:val="left"/>
              <w:rPr>
                <w:u w:val="double"/>
              </w:rPr>
            </w:pPr>
            <w:r w:rsidRPr="00A91C54">
              <w:rPr>
                <w:u w:val="double"/>
              </w:rPr>
              <w:t>60°C</w:t>
            </w:r>
          </w:p>
        </w:tc>
        <w:tc>
          <w:tcPr>
            <w:tcW w:w="1275" w:type="dxa"/>
            <w:vAlign w:val="center"/>
          </w:tcPr>
          <w:p w14:paraId="6685E3A4" w14:textId="1DA65D35" w:rsidR="00E76B41" w:rsidRPr="00A91C54" w:rsidRDefault="00E76B41" w:rsidP="00412020">
            <w:pPr>
              <w:pStyle w:val="i"/>
              <w:spacing w:before="60" w:after="60"/>
              <w:ind w:left="0" w:firstLine="0"/>
              <w:jc w:val="left"/>
              <w:rPr>
                <w:u w:val="double"/>
              </w:rPr>
            </w:pPr>
            <w:r w:rsidRPr="00A91C54">
              <w:rPr>
                <w:u w:val="double"/>
              </w:rPr>
              <w:t>30 seconds</w:t>
            </w:r>
          </w:p>
        </w:tc>
        <w:tc>
          <w:tcPr>
            <w:tcW w:w="2694" w:type="dxa"/>
            <w:vAlign w:val="center"/>
          </w:tcPr>
          <w:p w14:paraId="397AEBC3" w14:textId="77777777" w:rsidR="00E76B41" w:rsidRPr="00A91C54" w:rsidRDefault="00E76B41" w:rsidP="00412020">
            <w:pPr>
              <w:pStyle w:val="i"/>
              <w:spacing w:before="60" w:after="60"/>
              <w:ind w:left="0" w:firstLine="0"/>
              <w:jc w:val="left"/>
              <w:rPr>
                <w:u w:val="double"/>
              </w:rPr>
            </w:pPr>
          </w:p>
        </w:tc>
      </w:tr>
    </w:tbl>
    <w:p w14:paraId="116C4A45" w14:textId="71E3C501" w:rsidR="00E76B41" w:rsidRDefault="00E76B41" w:rsidP="00E76B41">
      <w:pPr>
        <w:pStyle w:val="afourthpara"/>
        <w:spacing w:before="120" w:after="120"/>
        <w:rPr>
          <w:u w:val="double"/>
        </w:rPr>
      </w:pPr>
      <w:r w:rsidRPr="00504E27">
        <w:rPr>
          <w:u w:val="double"/>
        </w:rPr>
        <w:t xml:space="preserve">Fluorescence signal for specific </w:t>
      </w:r>
      <w:r w:rsidRPr="00504E27">
        <w:rPr>
          <w:i/>
          <w:u w:val="double"/>
        </w:rPr>
        <w:t>Mycoplasma</w:t>
      </w:r>
      <w:r w:rsidRPr="00504E27">
        <w:rPr>
          <w:u w:val="double"/>
        </w:rPr>
        <w:t xml:space="preserve"> probe and IAC is acquired in the appropriate detector channel during </w:t>
      </w:r>
      <w:r>
        <w:rPr>
          <w:u w:val="double"/>
        </w:rPr>
        <w:t xml:space="preserve">the </w:t>
      </w:r>
      <w:r w:rsidRPr="00504E27">
        <w:rPr>
          <w:u w:val="double"/>
        </w:rPr>
        <w:t>extension step.</w:t>
      </w:r>
    </w:p>
    <w:p w14:paraId="7FEA88D9" w14:textId="14761765" w:rsidR="00C040BB" w:rsidRPr="00504E27" w:rsidRDefault="00C040BB" w:rsidP="00E76B41">
      <w:pPr>
        <w:pStyle w:val="afourthpara"/>
        <w:rPr>
          <w:u w:val="double"/>
        </w:rPr>
      </w:pPr>
      <w:r w:rsidRPr="00504E27">
        <w:rPr>
          <w:u w:val="double"/>
        </w:rPr>
        <w:t>The cycle threshold value (Ct = Cq quantification cycle) automatically calculated by the software should be used. Cq values of 35 or lower are considered as positive, IAC should amplify in negative samples with Cq between 30 and 40, otherwise it could be set as inhibited.</w:t>
      </w:r>
    </w:p>
    <w:p w14:paraId="5152DA8F" w14:textId="7E258F0E" w:rsidR="00C040BB" w:rsidRDefault="00C040BB" w:rsidP="00C040BB">
      <w:pPr>
        <w:pStyle w:val="11"/>
        <w:ind w:left="785" w:firstLine="0"/>
      </w:pPr>
      <w:r w:rsidRPr="00F6138E">
        <w:rPr>
          <w:u w:val="double"/>
        </w:rPr>
        <w:t>1.3.4</w:t>
      </w:r>
      <w:r>
        <w:rPr>
          <w:u w:val="double"/>
        </w:rPr>
        <w:t>.</w:t>
      </w:r>
      <w:r w:rsidRPr="00DD1F94">
        <w:tab/>
      </w:r>
      <w:r>
        <w:t xml:space="preserve">Molecular </w:t>
      </w:r>
      <w:r w:rsidRPr="00F6138E">
        <w:rPr>
          <w:u w:val="double"/>
        </w:rPr>
        <w:t>typing</w:t>
      </w:r>
    </w:p>
    <w:p w14:paraId="0990C171" w14:textId="7EF2AA37" w:rsidR="00C040BB" w:rsidRDefault="00C040BB" w:rsidP="00504E27">
      <w:pPr>
        <w:pStyle w:val="111Para"/>
        <w:rPr>
          <w:u w:val="double"/>
        </w:rPr>
      </w:pPr>
      <w:r w:rsidRPr="00C040BB">
        <w:rPr>
          <w:u w:val="double"/>
        </w:rPr>
        <w:t>Different</w:t>
      </w:r>
      <w:r>
        <w:t xml:space="preserve"> m</w:t>
      </w:r>
      <w:r w:rsidR="00186891" w:rsidRPr="00E163F0">
        <w:t>olecular methods are also available for differentiation of MG and MS strains</w:t>
      </w:r>
      <w:r w:rsidR="00186891" w:rsidRPr="00C040BB">
        <w:rPr>
          <w:strike/>
        </w:rPr>
        <w:t xml:space="preserve"> </w:t>
      </w:r>
      <w:r w:rsidR="00186891" w:rsidRPr="00C040BB">
        <w:rPr>
          <w:rFonts w:eastAsia="MS Mincho"/>
          <w:strike/>
        </w:rPr>
        <w:t>(</w:t>
      </w:r>
      <w:r w:rsidR="00572B91" w:rsidRPr="00C040BB">
        <w:rPr>
          <w:strike/>
        </w:rPr>
        <w:t>Kempf, 1998</w:t>
      </w:r>
      <w:r w:rsidR="00186891" w:rsidRPr="00C040BB">
        <w:rPr>
          <w:rFonts w:eastAsia="MS Mincho"/>
          <w:strike/>
        </w:rPr>
        <w:t>)</w:t>
      </w:r>
      <w:r w:rsidR="00186891" w:rsidRPr="00E163F0">
        <w:t xml:space="preserve">, but their use tends to be restricted at present to specialist laboratories. </w:t>
      </w:r>
      <w:r w:rsidR="00186891" w:rsidRPr="00C040BB">
        <w:rPr>
          <w:strike/>
        </w:rPr>
        <w:t xml:space="preserve">A rapid and accurate method for DNA fingerprinting uses arbitrary primed PCR or random amplified polymorphic DNA (RAPD). </w:t>
      </w:r>
      <w:r w:rsidR="006741CC">
        <w:rPr>
          <w:u w:val="double"/>
        </w:rPr>
        <w:t>S</w:t>
      </w:r>
      <w:r w:rsidRPr="00F6138E">
        <w:rPr>
          <w:u w:val="double"/>
        </w:rPr>
        <w:t>equence-based methods have been developed to identify circulating strains to understand</w:t>
      </w:r>
      <w:r w:rsidR="006741CC">
        <w:rPr>
          <w:u w:val="double"/>
        </w:rPr>
        <w:t xml:space="preserve"> </w:t>
      </w:r>
      <w:r w:rsidR="00FC280B" w:rsidRPr="00F6138E">
        <w:rPr>
          <w:u w:val="double"/>
        </w:rPr>
        <w:t xml:space="preserve">better </w:t>
      </w:r>
      <w:r w:rsidR="006741CC">
        <w:rPr>
          <w:u w:val="double"/>
        </w:rPr>
        <w:t>the</w:t>
      </w:r>
      <w:r w:rsidRPr="00F6138E">
        <w:rPr>
          <w:u w:val="double"/>
        </w:rPr>
        <w:t xml:space="preserve"> </w:t>
      </w:r>
      <w:r w:rsidR="006741CC" w:rsidRPr="00F6138E">
        <w:rPr>
          <w:u w:val="double"/>
        </w:rPr>
        <w:t>epidemiology</w:t>
      </w:r>
      <w:r w:rsidR="006741CC">
        <w:rPr>
          <w:u w:val="double"/>
        </w:rPr>
        <w:t xml:space="preserve"> of</w:t>
      </w:r>
      <w:r w:rsidR="006741CC" w:rsidRPr="00F6138E">
        <w:rPr>
          <w:u w:val="double"/>
        </w:rPr>
        <w:t xml:space="preserve"> </w:t>
      </w:r>
      <w:r w:rsidRPr="00F6138E">
        <w:rPr>
          <w:u w:val="double"/>
        </w:rPr>
        <w:t xml:space="preserve">mycoplasma and </w:t>
      </w:r>
      <w:r w:rsidR="006741CC">
        <w:rPr>
          <w:u w:val="double"/>
        </w:rPr>
        <w:t xml:space="preserve">to </w:t>
      </w:r>
      <w:r w:rsidRPr="00F6138E">
        <w:rPr>
          <w:u w:val="double"/>
        </w:rPr>
        <w:t xml:space="preserve">support control measures. MS strains can be identified and classified with methods </w:t>
      </w:r>
      <w:r w:rsidR="006741CC">
        <w:rPr>
          <w:u w:val="double"/>
        </w:rPr>
        <w:t>such as</w:t>
      </w:r>
      <w:r w:rsidRPr="00F6138E">
        <w:rPr>
          <w:u w:val="double"/>
        </w:rPr>
        <w:t xml:space="preserve"> MLST (Dijkman </w:t>
      </w:r>
      <w:r w:rsidRPr="00F6138E">
        <w:rPr>
          <w:i/>
          <w:u w:val="double"/>
          <w:lang w:val="en-US"/>
        </w:rPr>
        <w:t>et al.,</w:t>
      </w:r>
      <w:r w:rsidRPr="00F6138E">
        <w:rPr>
          <w:u w:val="double"/>
        </w:rPr>
        <w:t xml:space="preserve"> 2016</w:t>
      </w:r>
      <w:r w:rsidR="00E70EFC">
        <w:rPr>
          <w:u w:val="double"/>
        </w:rPr>
        <w:t xml:space="preserve">; </w:t>
      </w:r>
      <w:r w:rsidRPr="00F6138E">
        <w:rPr>
          <w:u w:val="double"/>
        </w:rPr>
        <w:t xml:space="preserve">El-Gazzar </w:t>
      </w:r>
      <w:r w:rsidRPr="00F6138E">
        <w:rPr>
          <w:i/>
          <w:u w:val="double"/>
          <w:lang w:val="en-US"/>
        </w:rPr>
        <w:t xml:space="preserve">et al., </w:t>
      </w:r>
      <w:r w:rsidRPr="00F6138E">
        <w:rPr>
          <w:u w:val="double"/>
        </w:rPr>
        <w:t xml:space="preserve">2017), sequencing of </w:t>
      </w:r>
      <w:r w:rsidRPr="00F6138E">
        <w:rPr>
          <w:i/>
          <w:u w:val="double"/>
        </w:rPr>
        <w:t>vlh</w:t>
      </w:r>
      <w:r w:rsidRPr="00F6138E">
        <w:rPr>
          <w:u w:val="double"/>
        </w:rPr>
        <w:t xml:space="preserve">A 5’ and number of </w:t>
      </w:r>
      <w:r w:rsidR="00EC17EB" w:rsidRPr="00C42225">
        <w:rPr>
          <w:u w:val="double"/>
        </w:rPr>
        <w:t xml:space="preserve">proline-rich repeats </w:t>
      </w:r>
      <w:r w:rsidRPr="00F6138E">
        <w:rPr>
          <w:u w:val="double"/>
        </w:rPr>
        <w:t xml:space="preserve">(Hammond </w:t>
      </w:r>
      <w:r w:rsidRPr="00F6138E">
        <w:rPr>
          <w:i/>
          <w:u w:val="double"/>
        </w:rPr>
        <w:t>et al.,</w:t>
      </w:r>
      <w:r w:rsidRPr="00F6138E">
        <w:rPr>
          <w:u w:val="double"/>
        </w:rPr>
        <w:t xml:space="preserve"> 2008), differentiation of MS-H with </w:t>
      </w:r>
      <w:r w:rsidRPr="00F6138E">
        <w:rPr>
          <w:i/>
          <w:u w:val="double"/>
        </w:rPr>
        <w:t>obg</w:t>
      </w:r>
      <w:r w:rsidRPr="00F6138E">
        <w:rPr>
          <w:u w:val="double"/>
        </w:rPr>
        <w:t xml:space="preserve"> and </w:t>
      </w:r>
      <w:r w:rsidRPr="00F6138E">
        <w:rPr>
          <w:i/>
          <w:u w:val="double"/>
        </w:rPr>
        <w:t>opp</w:t>
      </w:r>
      <w:r w:rsidRPr="00F6138E">
        <w:rPr>
          <w:u w:val="double"/>
        </w:rPr>
        <w:t xml:space="preserve">F-1 mutations (Shahid </w:t>
      </w:r>
      <w:r w:rsidRPr="00F6138E">
        <w:rPr>
          <w:i/>
          <w:u w:val="double"/>
        </w:rPr>
        <w:t>et al.,</w:t>
      </w:r>
      <w:r w:rsidRPr="00F6138E">
        <w:rPr>
          <w:u w:val="double"/>
        </w:rPr>
        <w:t xml:space="preserve"> 2013</w:t>
      </w:r>
      <w:r w:rsidR="00E70EFC">
        <w:rPr>
          <w:u w:val="double"/>
        </w:rPr>
        <w:t>;</w:t>
      </w:r>
      <w:r w:rsidRPr="00F6138E">
        <w:rPr>
          <w:u w:val="double"/>
        </w:rPr>
        <w:t xml:space="preserve"> Zhu </w:t>
      </w:r>
      <w:r w:rsidRPr="00F6138E">
        <w:rPr>
          <w:i/>
          <w:u w:val="double"/>
        </w:rPr>
        <w:t>et al.,</w:t>
      </w:r>
      <w:r w:rsidRPr="00F6138E">
        <w:rPr>
          <w:u w:val="double"/>
        </w:rPr>
        <w:t xml:space="preserve"> 2017)</w:t>
      </w:r>
      <w:r w:rsidR="006741CC">
        <w:rPr>
          <w:u w:val="double"/>
        </w:rPr>
        <w:t>.</w:t>
      </w:r>
      <w:r w:rsidRPr="00F6138E">
        <w:rPr>
          <w:u w:val="double"/>
        </w:rPr>
        <w:t xml:space="preserve"> </w:t>
      </w:r>
      <w:r w:rsidR="006741CC" w:rsidRPr="00F6138E">
        <w:rPr>
          <w:u w:val="double"/>
        </w:rPr>
        <w:t xml:space="preserve">Vaccine </w:t>
      </w:r>
      <w:r w:rsidRPr="00F6138E">
        <w:rPr>
          <w:u w:val="double"/>
        </w:rPr>
        <w:t xml:space="preserve">strains can be differentiated with DIVA </w:t>
      </w:r>
      <w:r w:rsidR="00762AE1" w:rsidRPr="00762AE1">
        <w:t>(detection of infection in vaccinated animals)</w:t>
      </w:r>
      <w:r w:rsidR="00762AE1">
        <w:rPr>
          <w:u w:val="double"/>
        </w:rPr>
        <w:t xml:space="preserve"> </w:t>
      </w:r>
      <w:r w:rsidRPr="00F6138E">
        <w:rPr>
          <w:u w:val="double"/>
        </w:rPr>
        <w:t xml:space="preserve">analysis (Dijkman </w:t>
      </w:r>
      <w:r w:rsidRPr="00F6138E">
        <w:rPr>
          <w:i/>
          <w:u w:val="double"/>
        </w:rPr>
        <w:t>et al.,</w:t>
      </w:r>
      <w:r w:rsidRPr="00F6138E">
        <w:rPr>
          <w:u w:val="double"/>
        </w:rPr>
        <w:t xml:space="preserve"> 2017). MG and MS strains can be discriminated using core genome MLST (Ghanem </w:t>
      </w:r>
      <w:r w:rsidRPr="00F6138E">
        <w:rPr>
          <w:i/>
          <w:u w:val="double"/>
        </w:rPr>
        <w:t>et al.,</w:t>
      </w:r>
      <w:r w:rsidRPr="00F6138E">
        <w:rPr>
          <w:u w:val="double"/>
        </w:rPr>
        <w:t xml:space="preserve"> 2017</w:t>
      </w:r>
      <w:r w:rsidR="00E70EFC">
        <w:rPr>
          <w:u w:val="double"/>
        </w:rPr>
        <w:t>;</w:t>
      </w:r>
      <w:r w:rsidRPr="00F6138E">
        <w:rPr>
          <w:u w:val="double"/>
        </w:rPr>
        <w:t xml:space="preserve"> </w:t>
      </w:r>
      <w:r w:rsidR="005005A6" w:rsidRPr="00F6138E">
        <w:rPr>
          <w:u w:val="double"/>
        </w:rPr>
        <w:t xml:space="preserve">Ghanem </w:t>
      </w:r>
      <w:r w:rsidR="005005A6">
        <w:rPr>
          <w:u w:val="double"/>
        </w:rPr>
        <w:t xml:space="preserve">&amp; </w:t>
      </w:r>
      <w:r w:rsidR="005005A6" w:rsidRPr="00F6138E">
        <w:rPr>
          <w:u w:val="double"/>
        </w:rPr>
        <w:t>El-Gazzar</w:t>
      </w:r>
      <w:r w:rsidR="005005A6">
        <w:rPr>
          <w:u w:val="double"/>
        </w:rPr>
        <w:t>,</w:t>
      </w:r>
      <w:r w:rsidR="005005A6" w:rsidRPr="00F6138E">
        <w:rPr>
          <w:u w:val="double"/>
        </w:rPr>
        <w:t xml:space="preserve"> </w:t>
      </w:r>
      <w:r w:rsidRPr="00F6138E">
        <w:rPr>
          <w:u w:val="double"/>
        </w:rPr>
        <w:t xml:space="preserve">2018). Novel approaches such as MLVA (multilocus variable tandem array; Kreizinger </w:t>
      </w:r>
      <w:r w:rsidRPr="00F6138E">
        <w:rPr>
          <w:i/>
          <w:u w:val="double"/>
        </w:rPr>
        <w:t>et al.,</w:t>
      </w:r>
      <w:r w:rsidRPr="00F6138E">
        <w:rPr>
          <w:u w:val="double"/>
        </w:rPr>
        <w:t xml:space="preserve"> </w:t>
      </w:r>
      <w:r w:rsidR="00235D3F">
        <w:rPr>
          <w:u w:val="double"/>
        </w:rPr>
        <w:t>2018</w:t>
      </w:r>
      <w:r w:rsidRPr="00F6138E">
        <w:rPr>
          <w:u w:val="double"/>
        </w:rPr>
        <w:t xml:space="preserve">) and MAMA (mismatch </w:t>
      </w:r>
      <w:r w:rsidRPr="00F6138E">
        <w:rPr>
          <w:u w:val="double"/>
        </w:rPr>
        <w:lastRenderedPageBreak/>
        <w:t>amplification mutation assay) are very promising for discriminating field isolates from vaccine strains</w:t>
      </w:r>
      <w:r w:rsidR="00762AE1">
        <w:rPr>
          <w:u w:val="double"/>
        </w:rPr>
        <w:t>,</w:t>
      </w:r>
      <w:r w:rsidRPr="00F6138E">
        <w:rPr>
          <w:u w:val="double"/>
        </w:rPr>
        <w:t xml:space="preserve"> but are not yet widely available</w:t>
      </w:r>
      <w:r>
        <w:rPr>
          <w:u w:val="double"/>
        </w:rPr>
        <w:t>.</w:t>
      </w:r>
    </w:p>
    <w:p w14:paraId="49751CFE" w14:textId="597E372C" w:rsidR="00186891" w:rsidRPr="00E163F0" w:rsidRDefault="00C040BB" w:rsidP="00504E27">
      <w:pPr>
        <w:pStyle w:val="111Para"/>
      </w:pPr>
      <w:r w:rsidRPr="00CF254B">
        <w:rPr>
          <w:u w:val="double"/>
        </w:rPr>
        <w:t>These new methods are rapidly replacing the other molecular typing techniques</w:t>
      </w:r>
      <w:r w:rsidR="00CF254B">
        <w:rPr>
          <w:u w:val="double"/>
        </w:rPr>
        <w:t>,</w:t>
      </w:r>
      <w:r w:rsidRPr="00CF254B">
        <w:rPr>
          <w:u w:val="double"/>
        </w:rPr>
        <w:t xml:space="preserve"> </w:t>
      </w:r>
      <w:r w:rsidR="00E90E59" w:rsidRPr="00CF254B">
        <w:rPr>
          <w:u w:val="double"/>
        </w:rPr>
        <w:t>such as</w:t>
      </w:r>
      <w:r w:rsidRPr="00CF254B">
        <w:rPr>
          <w:u w:val="double"/>
        </w:rPr>
        <w:t xml:space="preserve"> restriction endonuclease analysis, </w:t>
      </w:r>
      <w:r w:rsidR="00CF254B" w:rsidRPr="00CF254B">
        <w:rPr>
          <w:rStyle w:val="st"/>
          <w:u w:val="double"/>
        </w:rPr>
        <w:t>pulsed-field gel electrophoresis</w:t>
      </w:r>
      <w:r w:rsidRPr="00CF254B">
        <w:rPr>
          <w:u w:val="double"/>
        </w:rPr>
        <w:t xml:space="preserve">, </w:t>
      </w:r>
      <w:r w:rsidR="00CF254B" w:rsidRPr="00CF254B">
        <w:rPr>
          <w:rStyle w:val="st"/>
          <w:u w:val="double"/>
        </w:rPr>
        <w:t>amplified fragment length polymorphism</w:t>
      </w:r>
      <w:r w:rsidRPr="00CF254B">
        <w:rPr>
          <w:u w:val="double"/>
        </w:rPr>
        <w:t xml:space="preserve"> and </w:t>
      </w:r>
      <w:r w:rsidR="00CF254B" w:rsidRPr="00CF254B">
        <w:rPr>
          <w:u w:val="double"/>
        </w:rPr>
        <w:t xml:space="preserve">random amplified polymorphic DNA </w:t>
      </w:r>
      <w:r w:rsidRPr="00CF254B">
        <w:rPr>
          <w:u w:val="double"/>
        </w:rPr>
        <w:t>analysis because they are too labour intensive and costly for large</w:t>
      </w:r>
      <w:r w:rsidR="00CF254B">
        <w:rPr>
          <w:u w:val="double"/>
        </w:rPr>
        <w:t>-</w:t>
      </w:r>
      <w:r w:rsidRPr="00CF254B">
        <w:rPr>
          <w:u w:val="double"/>
        </w:rPr>
        <w:t>scale typing. Based on the high speed of improvement of the</w:t>
      </w:r>
      <w:r w:rsidRPr="00504E27">
        <w:rPr>
          <w:u w:val="double"/>
        </w:rPr>
        <w:t xml:space="preserve"> new analytical methods as well as the greater availability of increasingly sophisticated equipment, the methods currently available </w:t>
      </w:r>
      <w:r w:rsidR="00CF254B">
        <w:rPr>
          <w:u w:val="double"/>
        </w:rPr>
        <w:t>may</w:t>
      </w:r>
      <w:r w:rsidRPr="00504E27">
        <w:rPr>
          <w:u w:val="double"/>
        </w:rPr>
        <w:t xml:space="preserve"> be replaced in a short time. </w:t>
      </w:r>
      <w:r w:rsidR="00CF254B">
        <w:rPr>
          <w:u w:val="double"/>
        </w:rPr>
        <w:t>Furthermore</w:t>
      </w:r>
      <w:r w:rsidRPr="00504E27">
        <w:rPr>
          <w:u w:val="double"/>
        </w:rPr>
        <w:t xml:space="preserve">, avian mycoplasmas </w:t>
      </w:r>
      <w:r w:rsidR="00CF254B" w:rsidRPr="00504E27">
        <w:rPr>
          <w:u w:val="double"/>
        </w:rPr>
        <w:t xml:space="preserve">strain nomenclature </w:t>
      </w:r>
      <w:r w:rsidRPr="00504E27">
        <w:rPr>
          <w:u w:val="double"/>
        </w:rPr>
        <w:t xml:space="preserve">shall be reviewed in the </w:t>
      </w:r>
      <w:r w:rsidR="00CF254B">
        <w:rPr>
          <w:u w:val="double"/>
        </w:rPr>
        <w:t>near</w:t>
      </w:r>
      <w:r w:rsidRPr="00504E27">
        <w:rPr>
          <w:u w:val="double"/>
        </w:rPr>
        <w:t xml:space="preserve"> future for a more usable classification of circulating mycoplasma strains and better of disease control policies</w:t>
      </w:r>
      <w:r w:rsidR="00504E27" w:rsidRPr="00504E27">
        <w:rPr>
          <w:u w:val="double"/>
        </w:rPr>
        <w:t>.</w:t>
      </w:r>
      <w:r w:rsidRPr="00E163F0">
        <w:t xml:space="preserve"> </w:t>
      </w:r>
      <w:r w:rsidR="00186891" w:rsidRPr="00C040BB">
        <w:rPr>
          <w:strike/>
        </w:rPr>
        <w:t xml:space="preserve">This technique uses short, arbitrary PCR primers, which generate reproducible patterns in agarose gels </w:t>
      </w:r>
      <w:r w:rsidR="00186891" w:rsidRPr="00C040BB">
        <w:rPr>
          <w:rFonts w:eastAsia="MS Mincho"/>
          <w:strike/>
        </w:rPr>
        <w:t>(</w:t>
      </w:r>
      <w:r w:rsidR="00D41FBE" w:rsidRPr="00C040BB">
        <w:rPr>
          <w:rFonts w:eastAsia="MS Mincho"/>
          <w:strike/>
        </w:rPr>
        <w:t xml:space="preserve">Fan </w:t>
      </w:r>
      <w:r w:rsidR="00CF5CA7" w:rsidRPr="00C040BB">
        <w:rPr>
          <w:rFonts w:eastAsia="MS Mincho"/>
          <w:i/>
          <w:strike/>
        </w:rPr>
        <w:t>et al</w:t>
      </w:r>
      <w:r w:rsidR="00D41FBE" w:rsidRPr="00C040BB">
        <w:rPr>
          <w:rFonts w:eastAsia="MS Mincho"/>
          <w:strike/>
        </w:rPr>
        <w:t>., 1995</w:t>
      </w:r>
      <w:r w:rsidR="00186891" w:rsidRPr="00C040BB">
        <w:rPr>
          <w:rFonts w:eastAsia="MS Mincho"/>
          <w:strike/>
        </w:rPr>
        <w:t>)</w:t>
      </w:r>
      <w:r w:rsidR="00186891" w:rsidRPr="00C040BB">
        <w:rPr>
          <w:strike/>
        </w:rPr>
        <w:t>. This method is rapid and simple, and has proven to be very useful for rapid identification of strains of MG for epidemiological studies. However, there may be problems with reproducibility, so strains to be compared must be run on the same gel. Also, interpretation of banding patterns which appear to be similar can be difficult.</w:t>
      </w:r>
      <w:r w:rsidR="00186891" w:rsidRPr="00E163F0">
        <w:t xml:space="preserve"> </w:t>
      </w:r>
    </w:p>
    <w:p w14:paraId="2CE6143E" w14:textId="77777777" w:rsidR="00186891" w:rsidRPr="00C040BB" w:rsidRDefault="00186891" w:rsidP="00E163F0">
      <w:pPr>
        <w:pStyle w:val="para1"/>
        <w:rPr>
          <w:strike/>
        </w:rPr>
      </w:pPr>
      <w:r w:rsidRPr="00C040BB">
        <w:rPr>
          <w:strike/>
        </w:rPr>
        <w:t xml:space="preserve">Gene-targeted sequencing (GTS), using PCR primers for the </w:t>
      </w:r>
      <w:r w:rsidRPr="00C040BB">
        <w:rPr>
          <w:i/>
          <w:strike/>
        </w:rPr>
        <w:t>mgc2, gapA, pvpA</w:t>
      </w:r>
      <w:r w:rsidRPr="00C040BB">
        <w:rPr>
          <w:strike/>
        </w:rPr>
        <w:t xml:space="preserve">, and MGA_0309 genes of MG can be used to provide an accurate and reproducible method of typing of strains, which will allow rapid global comparisons between laboratories </w:t>
      </w:r>
      <w:r w:rsidRPr="00C040BB">
        <w:rPr>
          <w:rFonts w:eastAsia="MS Mincho"/>
          <w:strike/>
        </w:rPr>
        <w:t>(</w:t>
      </w:r>
      <w:r w:rsidR="00D41FBE" w:rsidRPr="00C040BB">
        <w:rPr>
          <w:rFonts w:eastAsia="MS Mincho"/>
          <w:strike/>
        </w:rPr>
        <w:t xml:space="preserve">Ferguson </w:t>
      </w:r>
      <w:r w:rsidR="00CF5CA7" w:rsidRPr="00C040BB">
        <w:rPr>
          <w:rFonts w:eastAsia="MS Mincho"/>
          <w:i/>
          <w:strike/>
        </w:rPr>
        <w:t>et al</w:t>
      </w:r>
      <w:r w:rsidR="00D41FBE" w:rsidRPr="00C040BB">
        <w:rPr>
          <w:rFonts w:eastAsia="MS Mincho"/>
          <w:strike/>
        </w:rPr>
        <w:t>., 2005</w:t>
      </w:r>
      <w:r w:rsidRPr="00C040BB">
        <w:rPr>
          <w:rFonts w:eastAsia="MS Mincho"/>
          <w:strike/>
        </w:rPr>
        <w:t>)</w:t>
      </w:r>
      <w:r w:rsidRPr="00C040BB">
        <w:rPr>
          <w:strike/>
        </w:rPr>
        <w:t xml:space="preserve">. Preliminary strain identification with diagnostic PCR primers for the </w:t>
      </w:r>
      <w:r w:rsidRPr="00C040BB">
        <w:rPr>
          <w:i/>
          <w:strike/>
        </w:rPr>
        <w:t>mgc2</w:t>
      </w:r>
      <w:r w:rsidRPr="00C040BB">
        <w:rPr>
          <w:strike/>
        </w:rPr>
        <w:t xml:space="preserve"> gene of</w:t>
      </w:r>
      <w:r w:rsidRPr="00C040BB">
        <w:rPr>
          <w:i/>
          <w:strike/>
        </w:rPr>
        <w:t xml:space="preserve"> </w:t>
      </w:r>
      <w:r w:rsidRPr="00C040BB">
        <w:rPr>
          <w:strike/>
        </w:rPr>
        <w:t xml:space="preserve">MG or the </w:t>
      </w:r>
      <w:r w:rsidRPr="00C040BB">
        <w:rPr>
          <w:i/>
          <w:strike/>
        </w:rPr>
        <w:t>vlhA</w:t>
      </w:r>
      <w:r w:rsidRPr="00C040BB">
        <w:rPr>
          <w:strike/>
        </w:rPr>
        <w:t xml:space="preserve"> gene of MS by sequencing of the PCR product allows for preliminary strain identification without the need for prior isolation of the organism </w:t>
      </w:r>
      <w:r w:rsidRPr="00C040BB">
        <w:rPr>
          <w:rFonts w:eastAsia="MS Mincho"/>
          <w:strike/>
        </w:rPr>
        <w:t>(</w:t>
      </w:r>
      <w:r w:rsidR="00572B91" w:rsidRPr="00C040BB">
        <w:rPr>
          <w:rFonts w:eastAsia="MS Mincho"/>
          <w:strike/>
        </w:rPr>
        <w:t xml:space="preserve">Hong </w:t>
      </w:r>
      <w:r w:rsidR="00CF5CA7" w:rsidRPr="00C040BB">
        <w:rPr>
          <w:rFonts w:eastAsia="MS Mincho"/>
          <w:i/>
          <w:strike/>
        </w:rPr>
        <w:t>et al</w:t>
      </w:r>
      <w:r w:rsidR="00572B91" w:rsidRPr="00C040BB">
        <w:rPr>
          <w:rFonts w:eastAsia="MS Mincho"/>
          <w:strike/>
        </w:rPr>
        <w:t>., 2004; 2005</w:t>
      </w:r>
      <w:r w:rsidRPr="00C040BB">
        <w:rPr>
          <w:rFonts w:eastAsia="MS Mincho"/>
          <w:strike/>
        </w:rPr>
        <w:t>). However, unrelated strains sometimes have identical sequences using these primers, and further characterisation may be necessary.</w:t>
      </w:r>
      <w:r w:rsidRPr="00C040BB">
        <w:rPr>
          <w:strike/>
        </w:rPr>
        <w:t xml:space="preserve"> </w:t>
      </w:r>
    </w:p>
    <w:p w14:paraId="11A34B71" w14:textId="3121976A" w:rsidR="00186891" w:rsidRPr="00E70EFC" w:rsidRDefault="00E70EFC" w:rsidP="00E163F0">
      <w:pPr>
        <w:pStyle w:val="1"/>
      </w:pPr>
      <w:r w:rsidRPr="00E70EFC">
        <w:t>2</w:t>
      </w:r>
      <w:r w:rsidR="00186891" w:rsidRPr="00E70EFC">
        <w:t>.</w:t>
      </w:r>
      <w:r w:rsidR="00186891" w:rsidRPr="00E70EFC">
        <w:tab/>
        <w:t>Serological tests</w:t>
      </w:r>
    </w:p>
    <w:p w14:paraId="4091FB61" w14:textId="33DE910D" w:rsidR="00186891" w:rsidRPr="00E70EFC" w:rsidRDefault="00186891" w:rsidP="005601DD">
      <w:pPr>
        <w:pStyle w:val="para1"/>
      </w:pPr>
      <w:r w:rsidRPr="00E70EFC">
        <w:t xml:space="preserve">The serological tests in common use </w:t>
      </w:r>
      <w:r w:rsidRPr="00D865A4">
        <w:rPr>
          <w:strike/>
        </w:rPr>
        <w:t xml:space="preserve">may </w:t>
      </w:r>
      <w:r w:rsidRPr="00E70EFC">
        <w:t>lack specificity and/or sensitivity</w:t>
      </w:r>
      <w:r w:rsidR="00AC7493">
        <w:t xml:space="preserve">. </w:t>
      </w:r>
      <w:r w:rsidR="00AC7493" w:rsidRPr="00D865A4">
        <w:t xml:space="preserve">It is strongly recommended </w:t>
      </w:r>
      <w:r w:rsidR="00A20136" w:rsidRPr="00D865A4">
        <w:t>that</w:t>
      </w:r>
      <w:r w:rsidR="00A20136">
        <w:t xml:space="preserve"> </w:t>
      </w:r>
      <w:r w:rsidRPr="00E70EFC">
        <w:t xml:space="preserve">their use is </w:t>
      </w:r>
      <w:r w:rsidR="00A20136" w:rsidRPr="00D865A4">
        <w:t>limited to flock</w:t>
      </w:r>
      <w:r w:rsidR="00A20136">
        <w:t xml:space="preserve"> </w:t>
      </w:r>
      <w:r w:rsidRPr="00E70EFC">
        <w:t>monitoring rather than testing individual birds. Diagnosticians wishing to use such tests are advised to establish the test sensitivity and specificity (</w:t>
      </w:r>
      <w:r w:rsidR="00D41FBE" w:rsidRPr="00E70EFC">
        <w:t>Chapter 1.1.</w:t>
      </w:r>
      <w:r w:rsidR="000136F7" w:rsidRPr="00E70EFC">
        <w:t>6</w:t>
      </w:r>
      <w:r w:rsidRPr="00E70EFC">
        <w:t xml:space="preserve">) under their own laboratory conditions. It should also be noted that these tests have not been validated for use with sera from day-old birds or from game birds </w:t>
      </w:r>
      <w:r w:rsidRPr="00E70EFC">
        <w:rPr>
          <w:rFonts w:eastAsia="MS Mincho"/>
        </w:rPr>
        <w:t>(</w:t>
      </w:r>
      <w:r w:rsidR="00D41FBE" w:rsidRPr="00E70EFC">
        <w:rPr>
          <w:rFonts w:eastAsia="MS Mincho"/>
        </w:rPr>
        <w:t>Bradbury, 2005</w:t>
      </w:r>
      <w:r w:rsidRPr="00E70EFC">
        <w:rPr>
          <w:rFonts w:eastAsia="MS Mincho"/>
        </w:rPr>
        <w:t>)</w:t>
      </w:r>
      <w:r w:rsidRPr="00E70EFC">
        <w:t>.</w:t>
      </w:r>
    </w:p>
    <w:p w14:paraId="3B657D19" w14:textId="0D90BDE3" w:rsidR="00186891" w:rsidRPr="00BF0F30" w:rsidRDefault="00186891" w:rsidP="00E163F0">
      <w:pPr>
        <w:pStyle w:val="para1"/>
      </w:pPr>
      <w:r w:rsidRPr="00E163F0">
        <w:t>The most commonly used tests are RSA, ELISA and HI</w:t>
      </w:r>
      <w:r w:rsidR="000E7998">
        <w:t>.</w:t>
      </w:r>
      <w:r w:rsidRPr="00E163F0">
        <w:t xml:space="preserve"> </w:t>
      </w:r>
      <w:r w:rsidRPr="00D865A4">
        <w:rPr>
          <w:strike/>
        </w:rPr>
        <w:t xml:space="preserve">although </w:t>
      </w:r>
      <w:r w:rsidR="000E7998">
        <w:t>S</w:t>
      </w:r>
      <w:r w:rsidRPr="00E163F0">
        <w:t>everal others have been described such as radioimmunoassay, micro</w:t>
      </w:r>
      <w:r w:rsidR="00CF254B">
        <w:t>-</w:t>
      </w:r>
      <w:r w:rsidRPr="00E163F0">
        <w:t>immunofluorescence</w:t>
      </w:r>
      <w:r w:rsidR="00A91C54">
        <w:t xml:space="preserve">, </w:t>
      </w:r>
      <w:r w:rsidR="00A91C54" w:rsidRPr="00A91C54">
        <w:rPr>
          <w:highlight w:val="yellow"/>
          <w:u w:val="double"/>
        </w:rPr>
        <w:t xml:space="preserve">immunoblotting (Welchman </w:t>
      </w:r>
      <w:r w:rsidR="00A91C54" w:rsidRPr="00A91C54">
        <w:rPr>
          <w:i/>
          <w:iCs/>
          <w:highlight w:val="yellow"/>
          <w:u w:val="double"/>
        </w:rPr>
        <w:t xml:space="preserve">et al., </w:t>
      </w:r>
      <w:r w:rsidR="00A91C54" w:rsidRPr="00A91C54">
        <w:rPr>
          <w:highlight w:val="yellow"/>
          <w:u w:val="double"/>
        </w:rPr>
        <w:t>2013)</w:t>
      </w:r>
      <w:r w:rsidRPr="00E163F0">
        <w:t xml:space="preserve"> and IP assay</w:t>
      </w:r>
      <w:r w:rsidR="00E70EFC">
        <w:t xml:space="preserve">, </w:t>
      </w:r>
      <w:r w:rsidR="00E70EFC" w:rsidRPr="00E70EFC">
        <w:rPr>
          <w:u w:val="double"/>
        </w:rPr>
        <w:t>but are rarely used</w:t>
      </w:r>
      <w:r w:rsidRPr="00E163F0">
        <w:t xml:space="preserve">. </w:t>
      </w:r>
      <w:bookmarkStart w:id="0" w:name="_GoBack"/>
      <w:bookmarkEnd w:id="0"/>
      <w:r w:rsidRPr="00E163F0">
        <w:t>The number of sera to be tested within a flock depends on the level of detection and the confidence limits required. Minimal requirements</w:t>
      </w:r>
      <w:r w:rsidR="00CF254B">
        <w:t>,</w:t>
      </w:r>
      <w:r w:rsidRPr="00E163F0">
        <w:t xml:space="preserve"> </w:t>
      </w:r>
      <w:r w:rsidRPr="00E70EFC">
        <w:rPr>
          <w:strike/>
        </w:rPr>
        <w:t xml:space="preserve">may be laid down </w:t>
      </w:r>
      <w:bookmarkStart w:id="1" w:name="_Hlk8206037"/>
      <w:r w:rsidR="00E70EFC" w:rsidRPr="00F65E5B">
        <w:rPr>
          <w:u w:val="double"/>
        </w:rPr>
        <w:t>including frequency of testing</w:t>
      </w:r>
      <w:bookmarkEnd w:id="1"/>
      <w:r w:rsidR="00E70EFC" w:rsidRPr="00E163F0">
        <w:t xml:space="preserve"> for international trade </w:t>
      </w:r>
      <w:r w:rsidR="00E70EFC" w:rsidRPr="00F65E5B">
        <w:rPr>
          <w:strike/>
        </w:rPr>
        <w:t>and</w:t>
      </w:r>
      <w:r w:rsidR="00E70EFC">
        <w:rPr>
          <w:strike/>
        </w:rPr>
        <w:t xml:space="preserve"> </w:t>
      </w:r>
      <w:r w:rsidR="00E70EFC" w:rsidRPr="00F65E5B">
        <w:rPr>
          <w:u w:val="double"/>
        </w:rPr>
        <w:t>within</w:t>
      </w:r>
      <w:r w:rsidR="00E70EFC">
        <w:t xml:space="preserve"> the </w:t>
      </w:r>
      <w:r w:rsidR="00E70EFC" w:rsidRPr="00F65E5B">
        <w:rPr>
          <w:strike/>
        </w:rPr>
        <w:t>frequency of testing may also be stipulated as,</w:t>
      </w:r>
      <w:r w:rsidR="00E70EFC">
        <w:rPr>
          <w:strike/>
        </w:rPr>
        <w:t xml:space="preserve"> </w:t>
      </w:r>
      <w:r w:rsidR="00E70EFC" w:rsidRPr="00F65E5B">
        <w:rPr>
          <w:u w:val="double"/>
        </w:rPr>
        <w:t>E</w:t>
      </w:r>
      <w:r w:rsidR="00CF254B">
        <w:rPr>
          <w:u w:val="double"/>
        </w:rPr>
        <w:t>uropean Union,</w:t>
      </w:r>
      <w:r w:rsidR="00E70EFC" w:rsidRPr="00F65E5B">
        <w:rPr>
          <w:u w:val="double"/>
        </w:rPr>
        <w:t xml:space="preserve"> have been </w:t>
      </w:r>
      <w:r w:rsidR="00CF254B">
        <w:rPr>
          <w:u w:val="double"/>
        </w:rPr>
        <w:t>described</w:t>
      </w:r>
      <w:r w:rsidR="00BF0F30">
        <w:rPr>
          <w:u w:val="double"/>
        </w:rPr>
        <w:t>,</w:t>
      </w:r>
      <w:r w:rsidR="00E70EFC">
        <w:t xml:space="preserve"> for </w:t>
      </w:r>
      <w:r w:rsidR="00E70EFC" w:rsidRPr="00E163F0">
        <w:t>example</w:t>
      </w:r>
      <w:r w:rsidR="00BF0F30">
        <w:t xml:space="preserve"> for </w:t>
      </w:r>
      <w:r w:rsidR="00452892">
        <w:rPr>
          <w:u w:val="double"/>
        </w:rPr>
        <w:t>MG</w:t>
      </w:r>
      <w:r w:rsidR="00E70EFC" w:rsidRPr="00E163F0">
        <w:t xml:space="preserve"> </w:t>
      </w:r>
      <w:r w:rsidR="00E70EFC">
        <w:t xml:space="preserve">in </w:t>
      </w:r>
      <w:r w:rsidR="00E70EFC" w:rsidRPr="00BF0F30">
        <w:rPr>
          <w:strike/>
        </w:rPr>
        <w:t>the E</w:t>
      </w:r>
      <w:r w:rsidR="00E70EFC" w:rsidRPr="00F65E5B">
        <w:rPr>
          <w:strike/>
        </w:rPr>
        <w:t>uropean Communities</w:t>
      </w:r>
      <w:r w:rsidR="00E70EFC" w:rsidRPr="00BF0F30">
        <w:rPr>
          <w:strike/>
        </w:rPr>
        <w:t xml:space="preserve"> </w:t>
      </w:r>
      <w:r w:rsidR="00E70EFC" w:rsidRPr="007B5138">
        <w:t xml:space="preserve">Council Directive </w:t>
      </w:r>
      <w:r w:rsidR="00E70EFC" w:rsidRPr="00F65E5B">
        <w:rPr>
          <w:strike/>
        </w:rPr>
        <w:t>90/539/EEC</w:t>
      </w:r>
      <w:r w:rsidR="00E70EFC">
        <w:rPr>
          <w:strike/>
        </w:rPr>
        <w:t xml:space="preserve"> </w:t>
      </w:r>
      <w:r w:rsidR="00E70EFC" w:rsidRPr="00F65E5B">
        <w:rPr>
          <w:u w:val="double"/>
        </w:rPr>
        <w:t>2009/158/EC</w:t>
      </w:r>
      <w:r w:rsidR="00E70EFC" w:rsidRPr="00E163F0">
        <w:t xml:space="preserve">. Minimal requirements and approved tests are also set out for members of the </w:t>
      </w:r>
      <w:r w:rsidR="00BF0F30" w:rsidRPr="00BF0F30">
        <w:t>National Poultry Improvement Plan (NPIP)</w:t>
      </w:r>
      <w:r w:rsidR="00BF0F30">
        <w:t xml:space="preserve"> </w:t>
      </w:r>
      <w:r w:rsidR="00E70EFC" w:rsidRPr="00BF0F30">
        <w:t>of the USA</w:t>
      </w:r>
      <w:r w:rsidRPr="00BF0F30">
        <w:t>.</w:t>
      </w:r>
    </w:p>
    <w:p w14:paraId="3F7CFF26" w14:textId="7ADF13B8" w:rsidR="00186891" w:rsidRPr="00E163F0" w:rsidRDefault="00186891" w:rsidP="00E163F0">
      <w:pPr>
        <w:pStyle w:val="para1"/>
      </w:pPr>
      <w:r w:rsidRPr="00E163F0">
        <w:t xml:space="preserve">Poultry companies using ELISA </w:t>
      </w:r>
      <w:r w:rsidRPr="00E70EFC">
        <w:rPr>
          <w:strike/>
        </w:rPr>
        <w:t xml:space="preserve">technology </w:t>
      </w:r>
      <w:r w:rsidRPr="00E163F0">
        <w:t xml:space="preserve">for screening large numbers of sera for virus antibodies may find this type of assay convenient also for mycoplasma testing. The ELISA </w:t>
      </w:r>
      <w:r w:rsidRPr="00E70EFC">
        <w:rPr>
          <w:strike/>
        </w:rPr>
        <w:t xml:space="preserve">technology </w:t>
      </w:r>
      <w:r w:rsidRPr="00E163F0">
        <w:t>will not be described in detail here because several MG</w:t>
      </w:r>
      <w:r w:rsidR="00E70EFC">
        <w:t xml:space="preserve"> </w:t>
      </w:r>
      <w:r w:rsidR="00E70EFC" w:rsidRPr="00E70EFC">
        <w:rPr>
          <w:u w:val="double"/>
        </w:rPr>
        <w:t>and MS</w:t>
      </w:r>
      <w:r w:rsidRPr="00E163F0">
        <w:t xml:space="preserve"> kits are available commercially. Instead, the details of the HI test are provided as the reagents needed for this test are not widely available commercially.</w:t>
      </w:r>
    </w:p>
    <w:p w14:paraId="39553131" w14:textId="42CC6396" w:rsidR="00186891" w:rsidRPr="00E163F0" w:rsidRDefault="00E70EFC" w:rsidP="009419E4">
      <w:pPr>
        <w:pStyle w:val="11"/>
        <w:keepNext/>
      </w:pPr>
      <w:r>
        <w:t>2</w:t>
      </w:r>
      <w:r w:rsidR="00D609A7">
        <w:t>.1.</w:t>
      </w:r>
      <w:r w:rsidR="00186891" w:rsidRPr="00E163F0">
        <w:tab/>
        <w:t>Rapid serum agglutination test</w:t>
      </w:r>
    </w:p>
    <w:p w14:paraId="144CFD38" w14:textId="284CA440" w:rsidR="00186891" w:rsidRPr="00E163F0" w:rsidRDefault="00186891" w:rsidP="00A844BE">
      <w:pPr>
        <w:pStyle w:val="11Para"/>
      </w:pPr>
      <w:r w:rsidRPr="00E163F0">
        <w:t xml:space="preserve">Sera are collected from a sample of the flock and, if not tested immediately, are stored at 4°C and not frozen. The test should be carried out at room temperature (20–25°C) within 72 hours of serum collection </w:t>
      </w:r>
      <w:r w:rsidRPr="00E70EFC">
        <w:rPr>
          <w:strike/>
        </w:rPr>
        <w:t>and the</w:t>
      </w:r>
      <w:r w:rsidRPr="00E163F0">
        <w:t xml:space="preserve"> </w:t>
      </w:r>
      <w:r w:rsidR="00E70EFC" w:rsidRPr="00E70EFC">
        <w:rPr>
          <w:u w:val="double"/>
        </w:rPr>
        <w:t>using</w:t>
      </w:r>
      <w:r w:rsidR="00E70EFC">
        <w:t xml:space="preserve"> </w:t>
      </w:r>
      <w:r w:rsidRPr="00E163F0">
        <w:t xml:space="preserve">reagents </w:t>
      </w:r>
      <w:r w:rsidRPr="00E70EFC">
        <w:rPr>
          <w:strike/>
        </w:rPr>
        <w:t xml:space="preserve">should also be </w:t>
      </w:r>
      <w:r w:rsidR="00E70EFC" w:rsidRPr="00E70EFC">
        <w:rPr>
          <w:u w:val="double"/>
        </w:rPr>
        <w:t>kept</w:t>
      </w:r>
      <w:r w:rsidR="00E70EFC">
        <w:t xml:space="preserve"> </w:t>
      </w:r>
      <w:r w:rsidRPr="00E163F0">
        <w:t xml:space="preserve">at room temperature. Prior centrifugation </w:t>
      </w:r>
      <w:r w:rsidR="00E70EFC" w:rsidRPr="00E70EFC">
        <w:rPr>
          <w:u w:val="double"/>
        </w:rPr>
        <w:t>of sera</w:t>
      </w:r>
      <w:r w:rsidR="00E70EFC">
        <w:t xml:space="preserve"> </w:t>
      </w:r>
      <w:r w:rsidRPr="00E163F0">
        <w:t>will reduce nonspecific reactions. The RSA antigens are available commercially, but they may vary in specificity and sensitivity from different manufacturers and from batch to batch. They must be stored according to the manufacturer’s instructions. Suitable RSA-stained antigens may also be prepared ‘in-house’ using culture methods as described in Section B.1.; these are then stained with crystal violet dye. Quality control standards for mycoplasma antigens for serological tests are described below.</w:t>
      </w:r>
    </w:p>
    <w:p w14:paraId="689B0DB4" w14:textId="603D473C" w:rsidR="00186891" w:rsidRPr="00E163F0" w:rsidRDefault="00E70EFC" w:rsidP="00A844BE">
      <w:pPr>
        <w:pStyle w:val="111"/>
      </w:pPr>
      <w:r>
        <w:t>2</w:t>
      </w:r>
      <w:r w:rsidR="00D609A7">
        <w:t>.1.1.</w:t>
      </w:r>
      <w:r w:rsidR="00186891" w:rsidRPr="00E163F0">
        <w:tab/>
        <w:t>Test procedure</w:t>
      </w:r>
      <w:r w:rsidR="00186891" w:rsidRPr="00E163F0">
        <w:rPr>
          <w:rFonts w:eastAsia="MS Mincho"/>
        </w:rPr>
        <w:t xml:space="preserve"> (</w:t>
      </w:r>
      <w:r w:rsidR="00D41FBE">
        <w:rPr>
          <w:rFonts w:eastAsia="MS Mincho"/>
        </w:rPr>
        <w:t>Allan &amp; Gough, 1974</w:t>
      </w:r>
      <w:r w:rsidR="00186891" w:rsidRPr="00E163F0">
        <w:rPr>
          <w:rFonts w:eastAsia="MS Mincho"/>
        </w:rPr>
        <w:t>)</w:t>
      </w:r>
    </w:p>
    <w:p w14:paraId="1F69B3B8" w14:textId="77777777" w:rsidR="00186891" w:rsidRPr="00E163F0" w:rsidRDefault="00186891" w:rsidP="00E163F0">
      <w:pPr>
        <w:pStyle w:val="i"/>
      </w:pPr>
      <w:r w:rsidRPr="00E163F0">
        <w:t>i)</w:t>
      </w:r>
      <w:r w:rsidRPr="00E163F0">
        <w:tab/>
        <w:t>Drop one volume (approximately 0.02 ml) of serum on to a clean white tile or glass plate followed by one volume of stained MG or MS antigen. Do not allow the serum to dry out before addition of the antigen. It is important to shake the antigen bottle vigorously and frequently during use to keep the correct amount of antigen in suspension.</w:t>
      </w:r>
    </w:p>
    <w:p w14:paraId="352060F4" w14:textId="77777777" w:rsidR="00186891" w:rsidRPr="00E163F0" w:rsidRDefault="00186891" w:rsidP="009E2FD2">
      <w:pPr>
        <w:pStyle w:val="i"/>
      </w:pPr>
      <w:r w:rsidRPr="00E163F0">
        <w:t>ii)</w:t>
      </w:r>
      <w:r w:rsidRPr="00E163F0">
        <w:tab/>
        <w:t>Use a stirring rod to spread the mixture over a circular area of approximately 1.5 cm diameter. Rock the tile or plate for 2 minutes. Agglutination is indicated by flocculation of the antigen within 2 minutes.</w:t>
      </w:r>
    </w:p>
    <w:p w14:paraId="36343294" w14:textId="77777777" w:rsidR="00186891" w:rsidRPr="00E163F0" w:rsidRDefault="00186891" w:rsidP="00E163F0">
      <w:pPr>
        <w:pStyle w:val="i"/>
      </w:pPr>
      <w:r w:rsidRPr="00E163F0">
        <w:lastRenderedPageBreak/>
        <w:t>iii)</w:t>
      </w:r>
      <w:r w:rsidRPr="00E163F0">
        <w:tab/>
        <w:t>Include known positive and negative controls in the test.</w:t>
      </w:r>
    </w:p>
    <w:p w14:paraId="0B852B9D" w14:textId="77777777" w:rsidR="00186891" w:rsidRPr="00E163F0" w:rsidRDefault="00186891" w:rsidP="002A1AEA">
      <w:pPr>
        <w:pStyle w:val="iparalast"/>
        <w:spacing w:after="200"/>
      </w:pPr>
      <w:r w:rsidRPr="00E163F0">
        <w:t>iv)</w:t>
      </w:r>
      <w:r w:rsidRPr="00E163F0">
        <w:tab/>
        <w:t>Retest serial dilutions of any sera that agglutinate after heating at 56°C for 30 minutes. If they still react strongly, they are considered to be positive on dilution (1/4 or more).</w:t>
      </w:r>
    </w:p>
    <w:p w14:paraId="0EE6E354" w14:textId="268A9505" w:rsidR="00186891" w:rsidRPr="00E163F0" w:rsidRDefault="00186891" w:rsidP="00A844BE">
      <w:pPr>
        <w:pStyle w:val="11Para"/>
      </w:pPr>
      <w:r w:rsidRPr="00E163F0">
        <w:t xml:space="preserve">In the USA, MG and MS positive reference antisera can be obtained from the USDA National Veterinary Services Laboratories (NVSL), and in Europe from </w:t>
      </w:r>
      <w:r w:rsidRPr="00D865A4">
        <w:rPr>
          <w:strike/>
        </w:rPr>
        <w:t xml:space="preserve">AFSSA </w:t>
      </w:r>
      <w:r w:rsidR="00D865A4" w:rsidRPr="00D865A4">
        <w:rPr>
          <w:u w:val="double"/>
        </w:rPr>
        <w:t>Anses</w:t>
      </w:r>
      <w:r w:rsidR="00D865A4">
        <w:t xml:space="preserve"> </w:t>
      </w:r>
      <w:r w:rsidRPr="00E163F0">
        <w:t>Ploufragan</w:t>
      </w:r>
      <w:r w:rsidRPr="00E51C77">
        <w:rPr>
          <w:rStyle w:val="Appelnotedebasdep"/>
        </w:rPr>
        <w:footnoteReference w:id="2"/>
      </w:r>
      <w:r w:rsidRPr="00E163F0">
        <w:t>, France. MG</w:t>
      </w:r>
      <w:r w:rsidR="00E70EFC" w:rsidRPr="00E70EFC">
        <w:rPr>
          <w:u w:val="double"/>
        </w:rPr>
        <w:t>,</w:t>
      </w:r>
      <w:r w:rsidRPr="00E163F0">
        <w:t xml:space="preserve"> </w:t>
      </w:r>
      <w:r w:rsidRPr="00E70EFC">
        <w:rPr>
          <w:strike/>
        </w:rPr>
        <w:t xml:space="preserve">and </w:t>
      </w:r>
      <w:r w:rsidRPr="00E163F0">
        <w:t>MS and control sera produced in chickens or in turkeys</w:t>
      </w:r>
      <w:r w:rsidR="00E70EFC" w:rsidRPr="004605CB">
        <w:rPr>
          <w:u w:val="double"/>
        </w:rPr>
        <w:t>,</w:t>
      </w:r>
      <w:r w:rsidRPr="00E163F0">
        <w:t xml:space="preserve"> </w:t>
      </w:r>
      <w:r w:rsidRPr="004605CB">
        <w:rPr>
          <w:strike/>
        </w:rPr>
        <w:t xml:space="preserve">and </w:t>
      </w:r>
      <w:r w:rsidRPr="00E163F0">
        <w:t>with a range of titres</w:t>
      </w:r>
      <w:r w:rsidR="004605CB" w:rsidRPr="004605CB">
        <w:rPr>
          <w:u w:val="double"/>
        </w:rPr>
        <w:t>,</w:t>
      </w:r>
      <w:r w:rsidRPr="00E163F0">
        <w:t xml:space="preserve"> can be purchased. Sets of antisera can be purchased also from the </w:t>
      </w:r>
      <w:r w:rsidR="004605CB" w:rsidRPr="00E163F0">
        <w:t>Department of Avian Medicine</w:t>
      </w:r>
      <w:r w:rsidR="004605CB">
        <w:t>,</w:t>
      </w:r>
      <w:r w:rsidR="004605CB" w:rsidRPr="00E163F0">
        <w:t xml:space="preserve"> </w:t>
      </w:r>
      <w:r w:rsidRPr="00E163F0">
        <w:t>University of Georgia, subject to availability.</w:t>
      </w:r>
    </w:p>
    <w:p w14:paraId="4AABD752" w14:textId="26858C10" w:rsidR="00186891" w:rsidRPr="00E163F0" w:rsidRDefault="00186891" w:rsidP="00A844BE">
      <w:pPr>
        <w:pStyle w:val="11Para"/>
      </w:pPr>
      <w:r w:rsidRPr="00E163F0">
        <w:t xml:space="preserve">There are no international standards for interpreting these tests, but a high proportion of positive sera in a flock (10% or more) </w:t>
      </w:r>
      <w:r w:rsidRPr="004605CB">
        <w:rPr>
          <w:strike/>
        </w:rPr>
        <w:t xml:space="preserve">indicates </w:t>
      </w:r>
      <w:r w:rsidR="004605CB" w:rsidRPr="004605CB">
        <w:rPr>
          <w:u w:val="double"/>
        </w:rPr>
        <w:t>suggests</w:t>
      </w:r>
      <w:r w:rsidR="004605CB">
        <w:t xml:space="preserve"> </w:t>
      </w:r>
      <w:r w:rsidRPr="00E163F0">
        <w:t xml:space="preserve">MG infection, especially if confirmed by HI test or ELISA. For further confirmation, the flock should be retested within a month. Inconclusive results make it necessary to attempt to isolate the organism or to demonstrate the presence of its DNA. Doubtful results for MG or MS should be investigated by performing tests with </w:t>
      </w:r>
      <w:r w:rsidRPr="00E163F0">
        <w:rPr>
          <w:iCs/>
        </w:rPr>
        <w:t>MS</w:t>
      </w:r>
      <w:r w:rsidRPr="00E163F0">
        <w:t xml:space="preserve"> antigen (and </w:t>
      </w:r>
      <w:r w:rsidRPr="00E163F0">
        <w:rPr>
          <w:i/>
          <w:iCs/>
        </w:rPr>
        <w:t>vice versa</w:t>
      </w:r>
      <w:r w:rsidRPr="00E163F0">
        <w:t>) as infection with these organisms sometimes causes cross-reactions.</w:t>
      </w:r>
    </w:p>
    <w:p w14:paraId="3D703B68" w14:textId="77777777" w:rsidR="00186891" w:rsidRPr="00E163F0" w:rsidRDefault="00186891" w:rsidP="00A844BE">
      <w:pPr>
        <w:pStyle w:val="11Para"/>
      </w:pPr>
      <w:r w:rsidRPr="00E163F0">
        <w:t>Tests can be conducted on yolk as well as sera although the yolk must first be diluted or extracted.</w:t>
      </w:r>
    </w:p>
    <w:p w14:paraId="15A3DDB9" w14:textId="5E86DFAA" w:rsidR="00186891" w:rsidRPr="00E163F0" w:rsidRDefault="00E70EFC" w:rsidP="00A844BE">
      <w:pPr>
        <w:pStyle w:val="11"/>
      </w:pPr>
      <w:r>
        <w:t>2</w:t>
      </w:r>
      <w:r w:rsidR="00D609A7">
        <w:t>.2.</w:t>
      </w:r>
      <w:r w:rsidR="00186891" w:rsidRPr="00E163F0">
        <w:tab/>
        <w:t>Haemagglutination inhibition test</w:t>
      </w:r>
    </w:p>
    <w:p w14:paraId="4A7DCCFC" w14:textId="2E5F12F2" w:rsidR="00186891" w:rsidRPr="00E163F0" w:rsidRDefault="00186891" w:rsidP="00A844BE">
      <w:pPr>
        <w:pStyle w:val="11Para"/>
      </w:pPr>
      <w:r w:rsidRPr="00E163F0">
        <w:t xml:space="preserve">MG and MS are capable of haemagglutinating avian red blood cells (RBCs), </w:t>
      </w:r>
      <w:r w:rsidRPr="004605CB">
        <w:rPr>
          <w:strike/>
        </w:rPr>
        <w:t xml:space="preserve">and </w:t>
      </w:r>
      <w:r w:rsidR="004605CB" w:rsidRPr="00446862">
        <w:rPr>
          <w:u w:val="double"/>
        </w:rPr>
        <w:t>which can be inhibited by</w:t>
      </w:r>
      <w:r w:rsidR="004605CB" w:rsidRPr="00E163F0">
        <w:t xml:space="preserve"> </w:t>
      </w:r>
      <w:r w:rsidRPr="00E163F0">
        <w:t>specific antibodies in sera</w:t>
      </w:r>
      <w:r w:rsidRPr="004605CB">
        <w:rPr>
          <w:strike/>
        </w:rPr>
        <w:t xml:space="preserve"> cause inhibition</w:t>
      </w:r>
      <w:r w:rsidRPr="00E163F0">
        <w:t xml:space="preserve">. A strain </w:t>
      </w:r>
      <w:r w:rsidRPr="004605CB">
        <w:rPr>
          <w:strike/>
        </w:rPr>
        <w:t>should be selected</w:t>
      </w:r>
      <w:r w:rsidRPr="00E163F0">
        <w:t xml:space="preserve"> that grows well and </w:t>
      </w:r>
      <w:r w:rsidR="004605CB" w:rsidRPr="00E163F0">
        <w:t xml:space="preserve">reliably </w:t>
      </w:r>
      <w:r w:rsidRPr="00E163F0">
        <w:t>haemagglutinates</w:t>
      </w:r>
      <w:r w:rsidR="004605CB">
        <w:t xml:space="preserve"> </w:t>
      </w:r>
      <w:r w:rsidR="004605CB" w:rsidRPr="004605CB">
        <w:rPr>
          <w:u w:val="double"/>
        </w:rPr>
        <w:t>should be selected</w:t>
      </w:r>
      <w:r w:rsidRPr="00E163F0">
        <w:t>. The HI test requires a satisfactory haemagglutinating MG and MS antigen</w:t>
      </w:r>
      <w:r w:rsidR="004605CB" w:rsidRPr="004605CB">
        <w:rPr>
          <w:u w:val="double"/>
        </w:rPr>
        <w:t>s</w:t>
      </w:r>
      <w:r w:rsidRPr="00E163F0">
        <w:t>, washed fresh chicken or turkey RBCs, as appropriate, and the test sera. The antigen can be either a fresh broth culture or a concentrated washed suspension of the mycoplasma cells in PBS. It may be difficult to sustain a supply of high-titred broth culture antigen; however, the use of concentrated antigen (usually containing</w:t>
      </w:r>
      <w:r w:rsidR="00A844BE">
        <w:t xml:space="preserve"> 25–50% glycerol and stored at </w:t>
      </w:r>
      <w:r w:rsidRPr="00E163F0">
        <w:t>–70°C), increases the likelihood of nonspecific reactions. In the USA, MG and MS haemagglutination (HA) antigen</w:t>
      </w:r>
      <w:r w:rsidR="004605CB" w:rsidRPr="004605CB">
        <w:rPr>
          <w:u w:val="double"/>
        </w:rPr>
        <w:t>s</w:t>
      </w:r>
      <w:r w:rsidRPr="00E163F0">
        <w:t xml:space="preserve"> can be purchased from the NVSL.</w:t>
      </w:r>
    </w:p>
    <w:p w14:paraId="572DC406" w14:textId="77777777" w:rsidR="00186891" w:rsidRPr="00E163F0" w:rsidRDefault="00186891" w:rsidP="00A844BE">
      <w:pPr>
        <w:pStyle w:val="11Para"/>
      </w:pPr>
      <w:r w:rsidRPr="00E163F0">
        <w:t>The HI test follows well-known procedures (</w:t>
      </w:r>
      <w:r w:rsidR="00D41FBE">
        <w:t>Allan &amp; Gough, 1974</w:t>
      </w:r>
      <w:r w:rsidRPr="00E163F0">
        <w:t>). The HA titre of the antigen is first determined in doubling dilutions, the HA unit being defined as the least amount of antigen giving complete HA in the test system employed. The HI test should be performed using 4 HA units by the following method or a method having equivalent sensitivity as determined by tests with known positive sera.</w:t>
      </w:r>
    </w:p>
    <w:p w14:paraId="11C60A47" w14:textId="77777777" w:rsidR="00186891" w:rsidRPr="00E163F0" w:rsidRDefault="00186891" w:rsidP="00A844BE">
      <w:pPr>
        <w:pStyle w:val="11Para"/>
      </w:pPr>
      <w:r w:rsidRPr="00E163F0">
        <w:t xml:space="preserve">All HA titrations and HI tests are best performed in multiwell plastic plates with V-shaped wells and using constant volumes of 50 µl. A positive and </w:t>
      </w:r>
      <w:r w:rsidR="00247BC4">
        <w:t xml:space="preserve">a </w:t>
      </w:r>
      <w:r w:rsidRPr="00E163F0">
        <w:t>negative control serum are incorporated into each test. One row of eight wells is required for each serum under test.</w:t>
      </w:r>
    </w:p>
    <w:p w14:paraId="07D4AF55" w14:textId="4E93E9CB" w:rsidR="00186891" w:rsidRPr="00E163F0" w:rsidRDefault="005B71B2" w:rsidP="00A844BE">
      <w:pPr>
        <w:pStyle w:val="111"/>
      </w:pPr>
      <w:r>
        <w:t>2</w:t>
      </w:r>
      <w:r w:rsidR="00D609A7">
        <w:t>.2.1.</w:t>
      </w:r>
      <w:r w:rsidR="00186891" w:rsidRPr="00E163F0">
        <w:tab/>
        <w:t>Test procedure</w:t>
      </w:r>
    </w:p>
    <w:p w14:paraId="0556F413" w14:textId="77777777" w:rsidR="00186891" w:rsidRPr="00E163F0" w:rsidRDefault="00186891" w:rsidP="002A1AEA">
      <w:pPr>
        <w:pStyle w:val="i"/>
        <w:spacing w:after="100"/>
      </w:pPr>
      <w:r w:rsidRPr="00E163F0">
        <w:t>i)</w:t>
      </w:r>
      <w:r w:rsidRPr="00E163F0">
        <w:tab/>
        <w:t>Add 50 µl of PBS to the first well in each row.</w:t>
      </w:r>
    </w:p>
    <w:p w14:paraId="73DE261C" w14:textId="77777777" w:rsidR="00186891" w:rsidRPr="00E163F0" w:rsidRDefault="00186891" w:rsidP="002A1AEA">
      <w:pPr>
        <w:pStyle w:val="i"/>
        <w:spacing w:after="100"/>
      </w:pPr>
      <w:r w:rsidRPr="00E163F0">
        <w:t>ii)</w:t>
      </w:r>
      <w:r w:rsidRPr="00E163F0">
        <w:tab/>
        <w:t>Add 8 HA units of antigen in 50 µl volumes to the second well in each row and add 50 µl of 4 HA units of antigen to each of wells 3 to 8.</w:t>
      </w:r>
    </w:p>
    <w:p w14:paraId="2C68FCA1" w14:textId="77777777" w:rsidR="00186891" w:rsidRPr="00E163F0" w:rsidRDefault="00186891" w:rsidP="002A1AEA">
      <w:pPr>
        <w:pStyle w:val="i"/>
        <w:spacing w:after="100"/>
      </w:pPr>
      <w:r w:rsidRPr="00E163F0">
        <w:t>iii)</w:t>
      </w:r>
      <w:r w:rsidRPr="00E163F0">
        <w:tab/>
        <w:t>Add 50 µl of a previously-prepared 1/5 dilution of the serum under test to the first well, mix, and transfer 50 µl to the second well, and so on, and discard 50 µl from the last well. The first well is the serum control well.</w:t>
      </w:r>
    </w:p>
    <w:p w14:paraId="52B07B16" w14:textId="77777777" w:rsidR="00186891" w:rsidRPr="00E163F0" w:rsidRDefault="00186891" w:rsidP="002A1AEA">
      <w:pPr>
        <w:pStyle w:val="i"/>
        <w:spacing w:after="100"/>
      </w:pPr>
      <w:r w:rsidRPr="00E163F0">
        <w:t>iv)</w:t>
      </w:r>
      <w:r w:rsidRPr="00E163F0">
        <w:tab/>
        <w:t>Six wells are required for the antigen control. Add 50 µl of PBS to wells 2 to 6, inclusive, and add 50 µl of the 8 HA unit antigen to wells 1 and 2. Mix the contents of well 2 and transfer 50 µl to well 3, mix and repeat up to well 6, and discard 50 µl.</w:t>
      </w:r>
    </w:p>
    <w:p w14:paraId="576EE996" w14:textId="77777777" w:rsidR="00186891" w:rsidRPr="00E163F0" w:rsidRDefault="00186891" w:rsidP="002A1AEA">
      <w:pPr>
        <w:pStyle w:val="i"/>
        <w:spacing w:after="100"/>
      </w:pPr>
      <w:r w:rsidRPr="00E163F0">
        <w:t>v)</w:t>
      </w:r>
      <w:r w:rsidRPr="00E163F0">
        <w:tab/>
        <w:t>Two wells are required for the RBC control. Add 50 µl of PBS to each of these.</w:t>
      </w:r>
    </w:p>
    <w:p w14:paraId="5503FD3A" w14:textId="77777777" w:rsidR="00186891" w:rsidRPr="00E163F0" w:rsidRDefault="00186891" w:rsidP="002A1AEA">
      <w:pPr>
        <w:pStyle w:val="i"/>
        <w:spacing w:after="100"/>
      </w:pPr>
      <w:r w:rsidRPr="00E163F0">
        <w:t>vi)</w:t>
      </w:r>
      <w:r w:rsidRPr="00E163F0">
        <w:tab/>
        <w:t>Add 50 µl of a 0.5% suspension of RBCs (chicken cells for chicken serum and turkey for turkey serum) to all wells.</w:t>
      </w:r>
    </w:p>
    <w:p w14:paraId="15167CD4" w14:textId="77777777" w:rsidR="00186891" w:rsidRPr="00E163F0" w:rsidRDefault="00186891" w:rsidP="00E163F0">
      <w:pPr>
        <w:pStyle w:val="iparalast"/>
      </w:pPr>
      <w:r w:rsidRPr="00E163F0">
        <w:t>vii)</w:t>
      </w:r>
      <w:r w:rsidRPr="00E163F0">
        <w:tab/>
        <w:t xml:space="preserve">Shake the plate lightly to ensure thorough mixing of the well contents, and read after standing for approximately 50 minutes at room temperature or when the antigen titration is reading 4 HA units. For reading, the plate should be tilted and only those wells in which the RBCs ‘stream’ at the same time as those in the RBC control wells should be considered to be inhibited. The serum control should show a clear button of RBCs and the positive and </w:t>
      </w:r>
      <w:r w:rsidRPr="00E163F0">
        <w:lastRenderedPageBreak/>
        <w:t>negative controls should react as expected. The HI titre is the highest serum dilution exhibiting complete inhibition of HA.</w:t>
      </w:r>
    </w:p>
    <w:p w14:paraId="1ABF93EE" w14:textId="77777777" w:rsidR="00186891" w:rsidRPr="00E163F0" w:rsidRDefault="00186891" w:rsidP="00A844BE">
      <w:pPr>
        <w:pStyle w:val="11Para"/>
      </w:pPr>
      <w:r w:rsidRPr="00E163F0">
        <w:t>Sera giving nonspecific HA must be adsorbed to remove all nonspecific haemagglutinins so that a clear button is obtained in the control well without HA antigen. The adsorption is carried out by incubating 1 ml of the serum dilution with 6–8 drops of packed washed chicken or turkey RBCs. The cells are removed after incubation at 37°C for 10 minutes, and the supernatant is tested for haemagglutinating activity.</w:t>
      </w:r>
    </w:p>
    <w:p w14:paraId="429ACCCE" w14:textId="73AE8D45" w:rsidR="00186891" w:rsidRPr="00E163F0" w:rsidRDefault="00186891" w:rsidP="00A844BE">
      <w:pPr>
        <w:pStyle w:val="11Para"/>
      </w:pPr>
      <w:r w:rsidRPr="00E163F0">
        <w:t xml:space="preserve">There is no </w:t>
      </w:r>
      <w:r w:rsidRPr="00D11D11">
        <w:rPr>
          <w:strike/>
        </w:rPr>
        <w:t>official</w:t>
      </w:r>
      <w:r w:rsidRPr="00E163F0">
        <w:t xml:space="preserve"> </w:t>
      </w:r>
      <w:r w:rsidR="00D11D11" w:rsidRPr="00D11D11">
        <w:rPr>
          <w:u w:val="single"/>
        </w:rPr>
        <w:t>recognised</w:t>
      </w:r>
      <w:r w:rsidR="00D11D11">
        <w:t xml:space="preserve"> </w:t>
      </w:r>
      <w:r w:rsidRPr="00E163F0">
        <w:t xml:space="preserve">definition of positive and negative results for international trade </w:t>
      </w:r>
      <w:r w:rsidRPr="00D11D11">
        <w:rPr>
          <w:strike/>
        </w:rPr>
        <w:t>but the NPIP of the USA states that titres of 1/80 or above are considered to be positive and titres of 1/40 are strongly suspicious</w:t>
      </w:r>
      <w:r w:rsidRPr="00E163F0">
        <w:t>.</w:t>
      </w:r>
    </w:p>
    <w:p w14:paraId="47AFCF48" w14:textId="4CA70B6C" w:rsidR="00186891" w:rsidRPr="00E163F0" w:rsidRDefault="005B71B2" w:rsidP="00A844BE">
      <w:pPr>
        <w:pStyle w:val="11"/>
      </w:pPr>
      <w:r>
        <w:t>2</w:t>
      </w:r>
      <w:r w:rsidR="00D609A7">
        <w:t>.3.</w:t>
      </w:r>
      <w:r w:rsidR="00186891" w:rsidRPr="00E163F0">
        <w:tab/>
        <w:t>Enzyme-linked immunosorbent assay</w:t>
      </w:r>
    </w:p>
    <w:p w14:paraId="3EAFCBD5" w14:textId="42A406AB" w:rsidR="00186891" w:rsidRPr="005B71B2" w:rsidRDefault="00186891" w:rsidP="00A844BE">
      <w:pPr>
        <w:pStyle w:val="11Para"/>
        <w:rPr>
          <w:strike/>
        </w:rPr>
      </w:pPr>
      <w:r w:rsidRPr="005B71B2">
        <w:rPr>
          <w:strike/>
        </w:rPr>
        <w:t xml:space="preserve">Several commercial MG and MS antibody ELISA kits are marketed. The sensitivity is determined to some extent by the manufacturer’s recommendations for the cut-off levels for positive and suspicious reactions. Sensitivity may sometimes be ‘damped down’, to avoid the well-known cross-reaction between MG and </w:t>
      </w:r>
      <w:r w:rsidRPr="005B71B2">
        <w:rPr>
          <w:iCs/>
          <w:strike/>
        </w:rPr>
        <w:t>MS</w:t>
      </w:r>
      <w:r w:rsidRPr="005B71B2">
        <w:rPr>
          <w:strike/>
        </w:rPr>
        <w:t xml:space="preserve">. One ELISA uses an MAb that recognises an epitope on a 56 kDa polypeptide of MG </w:t>
      </w:r>
      <w:r w:rsidRPr="005B71B2">
        <w:rPr>
          <w:rFonts w:eastAsia="MS Mincho"/>
          <w:strike/>
        </w:rPr>
        <w:t>(</w:t>
      </w:r>
      <w:r w:rsidR="00D41FBE" w:rsidRPr="005B71B2">
        <w:rPr>
          <w:rFonts w:eastAsia="MS Mincho"/>
          <w:strike/>
        </w:rPr>
        <w:t xml:space="preserve">Czifra </w:t>
      </w:r>
      <w:r w:rsidR="00CF5CA7" w:rsidRPr="005B71B2">
        <w:rPr>
          <w:rFonts w:eastAsia="MS Mincho"/>
          <w:i/>
          <w:strike/>
        </w:rPr>
        <w:t>et al</w:t>
      </w:r>
      <w:r w:rsidR="00D41FBE" w:rsidRPr="005B71B2">
        <w:rPr>
          <w:rFonts w:eastAsia="MS Mincho"/>
          <w:strike/>
        </w:rPr>
        <w:t>., 1993</w:t>
      </w:r>
      <w:r w:rsidRPr="005B71B2">
        <w:rPr>
          <w:rFonts w:eastAsia="MS Mincho"/>
          <w:strike/>
        </w:rPr>
        <w:t>)</w:t>
      </w:r>
      <w:r w:rsidRPr="005B71B2">
        <w:rPr>
          <w:strike/>
        </w:rPr>
        <w:t>. In this system, ELISA plates are coated with whole cell MG antigen and the sera under test are added as in the conventional indirect ELISA, but the reaction is assessed by the extent of blocking that occurs when the conjugated MAb is added. A similar ELISA has also been marketed for MS. One advantage is that the system can be used for sera from any avian species without adaptation.</w:t>
      </w:r>
    </w:p>
    <w:p w14:paraId="29A09CA6" w14:textId="29F4AC76" w:rsidR="005B71B2" w:rsidRPr="005B71B2" w:rsidRDefault="005B71B2" w:rsidP="00A844BE">
      <w:pPr>
        <w:pStyle w:val="11Para"/>
        <w:rPr>
          <w:u w:val="double"/>
        </w:rPr>
      </w:pPr>
      <w:r w:rsidRPr="005B71B2">
        <w:rPr>
          <w:u w:val="double"/>
        </w:rPr>
        <w:t>Several commercial MG and MS antibody ELISA kits are marketed</w:t>
      </w:r>
      <w:r>
        <w:rPr>
          <w:u w:val="double"/>
        </w:rPr>
        <w:t xml:space="preserve"> </w:t>
      </w:r>
      <w:r w:rsidRPr="005B71B2">
        <w:rPr>
          <w:u w:val="double"/>
        </w:rPr>
        <w:t>and widely used in diagnostic laboratories. These ELISAs use different cut-offs and mathematical formulas to convert the ELISA result into a titre value. This means that every ELISA has its own interpretation and the titre results of different ELISAs on the same serum could differ.</w:t>
      </w:r>
    </w:p>
    <w:p w14:paraId="792B7993" w14:textId="3DBF435E" w:rsidR="00186891" w:rsidRPr="00E163F0" w:rsidRDefault="005B71B2" w:rsidP="00D865A4">
      <w:pPr>
        <w:pStyle w:val="11"/>
      </w:pPr>
      <w:r>
        <w:t>2</w:t>
      </w:r>
      <w:r w:rsidR="00D609A7">
        <w:t>.</w:t>
      </w:r>
      <w:r w:rsidR="00D865A4">
        <w:t>4</w:t>
      </w:r>
      <w:r w:rsidR="00D609A7">
        <w:t>.</w:t>
      </w:r>
      <w:r w:rsidR="00186891" w:rsidRPr="00E163F0">
        <w:tab/>
        <w:t xml:space="preserve">Quality control of </w:t>
      </w:r>
      <w:r w:rsidR="00186891" w:rsidRPr="00E163F0">
        <w:rPr>
          <w:i/>
          <w:iCs/>
        </w:rPr>
        <w:t>Mycoplasma gallisepticum</w:t>
      </w:r>
      <w:r w:rsidR="00186891" w:rsidRPr="00E163F0">
        <w:t xml:space="preserve"> and </w:t>
      </w:r>
      <w:r w:rsidR="00186891" w:rsidRPr="00E163F0">
        <w:rPr>
          <w:i/>
          <w:iCs/>
        </w:rPr>
        <w:t>M.</w:t>
      </w:r>
      <w:r w:rsidR="009E2FD2">
        <w:rPr>
          <w:i/>
          <w:iCs/>
        </w:rPr>
        <w:t xml:space="preserve"> </w:t>
      </w:r>
      <w:r w:rsidR="00186891" w:rsidRPr="00E163F0">
        <w:rPr>
          <w:i/>
          <w:iCs/>
        </w:rPr>
        <w:t>synoviae</w:t>
      </w:r>
      <w:r w:rsidR="00186891" w:rsidRPr="00E163F0">
        <w:t xml:space="preserve"> antigens</w:t>
      </w:r>
    </w:p>
    <w:p w14:paraId="13E3FC62" w14:textId="2A43B06D" w:rsidR="00186891" w:rsidRPr="00E163F0" w:rsidRDefault="00D865A4" w:rsidP="00D865A4">
      <w:pPr>
        <w:pStyle w:val="111"/>
      </w:pPr>
      <w:r>
        <w:t>2.4.1</w:t>
      </w:r>
      <w:r w:rsidR="00186891" w:rsidRPr="00E163F0">
        <w:tab/>
      </w:r>
      <w:r w:rsidR="00186891" w:rsidRPr="00D865A4">
        <w:rPr>
          <w:i/>
        </w:rPr>
        <w:t>Mycoplasma gallisepticum</w:t>
      </w:r>
      <w:r w:rsidR="00186891" w:rsidRPr="00E163F0">
        <w:t xml:space="preserve"> antigens</w:t>
      </w:r>
    </w:p>
    <w:p w14:paraId="2C55F85F" w14:textId="77777777" w:rsidR="00186891" w:rsidRPr="00E163F0" w:rsidRDefault="00186891" w:rsidP="00D865A4">
      <w:pPr>
        <w:pStyle w:val="111Para"/>
      </w:pPr>
      <w:r w:rsidRPr="00E163F0">
        <w:t>Antigens are usually prepared from the S6 strain or the A5969 strain of MG. Antigens prepared from other strains may also be used when necessary.</w:t>
      </w:r>
    </w:p>
    <w:p w14:paraId="4505FF5C" w14:textId="77777777" w:rsidR="00D865A4" w:rsidRDefault="00D865A4" w:rsidP="00D865A4">
      <w:pPr>
        <w:pStyle w:val="i"/>
      </w:pPr>
      <w:r>
        <w:t>i)</w:t>
      </w:r>
      <w:r>
        <w:tab/>
      </w:r>
      <w:r w:rsidR="00186891" w:rsidRPr="00E163F0">
        <w:t>MG antigen for the RSA test</w:t>
      </w:r>
    </w:p>
    <w:p w14:paraId="792613E6" w14:textId="1A72E69E" w:rsidR="00186891" w:rsidRPr="00E163F0" w:rsidRDefault="00186891" w:rsidP="00D865A4">
      <w:pPr>
        <w:pStyle w:val="afourthpara"/>
      </w:pPr>
      <w:r w:rsidRPr="00E163F0">
        <w:t xml:space="preserve">The methods of quality control described below apply solely to suspensions of MG stained with a suitable dye </w:t>
      </w:r>
      <w:r w:rsidRPr="005B71B2">
        <w:rPr>
          <w:strike/>
        </w:rPr>
        <w:t xml:space="preserve">and </w:t>
      </w:r>
      <w:r w:rsidRPr="00E163F0">
        <w:t>containing preservative and intended for use in the rapid plate agglutination test with serum. Such antigens are available commercially.</w:t>
      </w:r>
    </w:p>
    <w:p w14:paraId="734ED5D6" w14:textId="77777777" w:rsidR="005B71B2" w:rsidRPr="00E163F0" w:rsidRDefault="005B71B2" w:rsidP="00D865A4">
      <w:pPr>
        <w:pStyle w:val="afourthpara"/>
      </w:pPr>
      <w:r w:rsidRPr="00E163F0">
        <w:t xml:space="preserve">On microscopic examination, the antigen should appear as a homogeneous suspension without floccules or precipitates and the suspending liquid should be free from residual dye. It must be </w:t>
      </w:r>
      <w:r w:rsidRPr="00446862">
        <w:rPr>
          <w:strike/>
        </w:rPr>
        <w:t xml:space="preserve">free from contamination </w:t>
      </w:r>
      <w:r w:rsidRPr="00446862">
        <w:rPr>
          <w:u w:val="double"/>
        </w:rPr>
        <w:t>sterile</w:t>
      </w:r>
      <w:r>
        <w:t xml:space="preserve"> with </w:t>
      </w:r>
      <w:r w:rsidRPr="00446862">
        <w:rPr>
          <w:strike/>
        </w:rPr>
        <w:t>bacteria and fungi. The</w:t>
      </w:r>
      <w:r>
        <w:rPr>
          <w:strike/>
        </w:rPr>
        <w:t xml:space="preserve"> </w:t>
      </w:r>
      <w:r w:rsidRPr="00446862">
        <w:rPr>
          <w:u w:val="double"/>
        </w:rPr>
        <w:t>a</w:t>
      </w:r>
      <w:r w:rsidRPr="00E163F0">
        <w:t xml:space="preserve"> pH </w:t>
      </w:r>
      <w:r w:rsidRPr="00446862">
        <w:rPr>
          <w:strike/>
        </w:rPr>
        <w:t>must be</w:t>
      </w:r>
      <w:r>
        <w:rPr>
          <w:strike/>
        </w:rPr>
        <w:t xml:space="preserve"> </w:t>
      </w:r>
      <w:r w:rsidRPr="00446862">
        <w:rPr>
          <w:u w:val="double"/>
        </w:rPr>
        <w:t>of</w:t>
      </w:r>
      <w:r>
        <w:t xml:space="preserve"> </w:t>
      </w:r>
      <w:r w:rsidRPr="00E163F0">
        <w:t>between 6.5 and 7</w:t>
      </w:r>
      <w:r w:rsidRPr="00446862">
        <w:rPr>
          <w:u w:val="double"/>
        </w:rPr>
        <w:t>.0</w:t>
      </w:r>
      <w:r w:rsidRPr="00446862">
        <w:rPr>
          <w:strike/>
        </w:rPr>
        <w:t>. It must be</w:t>
      </w:r>
      <w:r w:rsidRPr="00E163F0">
        <w:t xml:space="preserve"> </w:t>
      </w:r>
      <w:r w:rsidRPr="00446862">
        <w:rPr>
          <w:u w:val="double"/>
        </w:rPr>
        <w:t>and</w:t>
      </w:r>
      <w:r w:rsidRPr="00E163F0">
        <w:t xml:space="preserve"> stored at 5±3°C</w:t>
      </w:r>
      <w:r w:rsidRPr="00446862">
        <w:rPr>
          <w:strike/>
        </w:rPr>
        <w:t xml:space="preserve"> and</w:t>
      </w:r>
      <w:r w:rsidRPr="00446862">
        <w:rPr>
          <w:u w:val="double"/>
        </w:rPr>
        <w:t>.</w:t>
      </w:r>
      <w:r>
        <w:t xml:space="preserve"> </w:t>
      </w:r>
      <w:r w:rsidRPr="00446862">
        <w:rPr>
          <w:u w:val="double"/>
        </w:rPr>
        <w:t>It must</w:t>
      </w:r>
      <w:r w:rsidRPr="00E163F0">
        <w:t xml:space="preserve"> be warmed to room temperature before use.</w:t>
      </w:r>
    </w:p>
    <w:p w14:paraId="326E74D2" w14:textId="77777777" w:rsidR="005B71B2" w:rsidRPr="00E163F0" w:rsidRDefault="005B71B2" w:rsidP="00D865A4">
      <w:pPr>
        <w:pStyle w:val="afourthpara"/>
      </w:pPr>
      <w:r w:rsidRPr="00E163F0">
        <w:t xml:space="preserve">The sensitivity and specificity of the antigen is determined with respect to its reaction with known positive sera of high and low titre and known negative sera. A positive reaction is recognised by the formation of coloured floccules and the clearing of the suspending medium. The criteria described above </w:t>
      </w:r>
      <w:r w:rsidRPr="00446862">
        <w:rPr>
          <w:u w:val="double"/>
        </w:rPr>
        <w:t>must</w:t>
      </w:r>
      <w:r>
        <w:t xml:space="preserve"> </w:t>
      </w:r>
      <w:r w:rsidRPr="00E163F0">
        <w:t>continue to apply until the expiry date declared by the manufacturer.</w:t>
      </w:r>
    </w:p>
    <w:p w14:paraId="53CBA3BD" w14:textId="77777777" w:rsidR="00D865A4" w:rsidRDefault="00D865A4" w:rsidP="00D865A4">
      <w:pPr>
        <w:pStyle w:val="i"/>
      </w:pPr>
      <w:r>
        <w:t>ii)</w:t>
      </w:r>
      <w:r>
        <w:tab/>
      </w:r>
      <w:r w:rsidR="00186891" w:rsidRPr="00E163F0">
        <w:t>MG antigen for the HI test</w:t>
      </w:r>
    </w:p>
    <w:p w14:paraId="6818BBA6" w14:textId="1E7D77CC" w:rsidR="00186891" w:rsidRPr="00E163F0" w:rsidRDefault="00186891" w:rsidP="00D865A4">
      <w:pPr>
        <w:pStyle w:val="afourthpara"/>
      </w:pPr>
      <w:r w:rsidRPr="00E163F0">
        <w:t>The test is preferably performed with live, actively growing cultures. The antigen must be free from contamination with bacteria and fungi.</w:t>
      </w:r>
    </w:p>
    <w:p w14:paraId="4C7F5766" w14:textId="77777777" w:rsidR="00D865A4" w:rsidRDefault="00D865A4" w:rsidP="00D865A4">
      <w:pPr>
        <w:pStyle w:val="i"/>
      </w:pPr>
      <w:r>
        <w:t>iii)</w:t>
      </w:r>
      <w:r>
        <w:tab/>
      </w:r>
      <w:r w:rsidR="00186891" w:rsidRPr="00E163F0">
        <w:t>MG antigen for the ELISA</w:t>
      </w:r>
    </w:p>
    <w:p w14:paraId="17E3CCD0" w14:textId="120C1CC8" w:rsidR="00186891" w:rsidRPr="00E163F0" w:rsidRDefault="00186891" w:rsidP="00D865A4">
      <w:pPr>
        <w:pStyle w:val="afourthpara"/>
      </w:pPr>
      <w:r w:rsidRPr="00E163F0">
        <w:t xml:space="preserve">It may be difficult to prepare satisfactory antigen for use in the indirect ELISA without considerable prior experimentation and confirmation of sensitivity and specificity. Use of a </w:t>
      </w:r>
      <w:r w:rsidR="000377EC" w:rsidRPr="000377EC">
        <w:rPr>
          <w:u w:val="single"/>
        </w:rPr>
        <w:t>validated</w:t>
      </w:r>
      <w:r w:rsidR="000377EC">
        <w:t xml:space="preserve"> </w:t>
      </w:r>
      <w:r w:rsidRPr="000377EC">
        <w:rPr>
          <w:strike/>
        </w:rPr>
        <w:t>reliable</w:t>
      </w:r>
      <w:r w:rsidRPr="00E163F0">
        <w:t xml:space="preserve"> commercial kit is </w:t>
      </w:r>
      <w:r w:rsidRPr="000377EC">
        <w:rPr>
          <w:strike/>
        </w:rPr>
        <w:t>probably</w:t>
      </w:r>
      <w:r w:rsidRPr="00E163F0">
        <w:t xml:space="preserve"> the best approach for most diagnostic laboratories. </w:t>
      </w:r>
      <w:r w:rsidRPr="000377EC">
        <w:rPr>
          <w:strike/>
        </w:rPr>
        <w:t>Some kits are now USDA-licensed and approved for use in the NPIP in the USA</w:t>
      </w:r>
      <w:r w:rsidRPr="00E163F0">
        <w:t>.</w:t>
      </w:r>
    </w:p>
    <w:p w14:paraId="1935048F" w14:textId="37C064B8" w:rsidR="00186891" w:rsidRPr="00E163F0" w:rsidRDefault="00D865A4" w:rsidP="00D865A4">
      <w:pPr>
        <w:pStyle w:val="111"/>
      </w:pPr>
      <w:r>
        <w:lastRenderedPageBreak/>
        <w:t>2.4.2.</w:t>
      </w:r>
      <w:r w:rsidR="00186891" w:rsidRPr="00E163F0">
        <w:tab/>
      </w:r>
      <w:r w:rsidR="00186891" w:rsidRPr="00D865A4">
        <w:rPr>
          <w:i/>
        </w:rPr>
        <w:t>Mycoplasma synoviae</w:t>
      </w:r>
      <w:r w:rsidR="00186891" w:rsidRPr="00E163F0">
        <w:t xml:space="preserve"> antigens</w:t>
      </w:r>
    </w:p>
    <w:p w14:paraId="21FC8FE2" w14:textId="77777777" w:rsidR="00186891" w:rsidRPr="00E163F0" w:rsidRDefault="00186891" w:rsidP="00D865A4">
      <w:pPr>
        <w:pStyle w:val="111Para"/>
      </w:pPr>
      <w:r w:rsidRPr="00E163F0">
        <w:t>Antigens prepared from the WVU 1853 strain or other suitable strains should be used.</w:t>
      </w:r>
    </w:p>
    <w:p w14:paraId="3F74447A" w14:textId="77777777" w:rsidR="00D865A4" w:rsidRDefault="00D865A4" w:rsidP="00D865A4">
      <w:pPr>
        <w:pStyle w:val="i"/>
      </w:pPr>
      <w:r>
        <w:rPr>
          <w:u w:val="double"/>
        </w:rPr>
        <w:t>i)</w:t>
      </w:r>
      <w:r>
        <w:rPr>
          <w:u w:val="double"/>
        </w:rPr>
        <w:tab/>
      </w:r>
      <w:r w:rsidR="00452892" w:rsidRPr="00452892">
        <w:rPr>
          <w:u w:val="double"/>
        </w:rPr>
        <w:t>MS</w:t>
      </w:r>
      <w:r w:rsidR="00452892" w:rsidRPr="00452892">
        <w:t xml:space="preserve"> </w:t>
      </w:r>
      <w:r w:rsidR="00186891" w:rsidRPr="00452892">
        <w:rPr>
          <w:strike/>
        </w:rPr>
        <w:t>Mycoplasma synoviae</w:t>
      </w:r>
      <w:r w:rsidR="00186891" w:rsidRPr="00452892">
        <w:rPr>
          <w:iCs/>
          <w:strike/>
        </w:rPr>
        <w:t xml:space="preserve"> </w:t>
      </w:r>
      <w:r w:rsidR="00186891" w:rsidRPr="00E163F0">
        <w:rPr>
          <w:iCs/>
        </w:rPr>
        <w:t>antigen for the RSA test</w:t>
      </w:r>
    </w:p>
    <w:p w14:paraId="712891D6" w14:textId="26B4D322" w:rsidR="00186891" w:rsidRPr="00E163F0" w:rsidRDefault="00D865A4" w:rsidP="00D865A4">
      <w:pPr>
        <w:pStyle w:val="afourthpara"/>
      </w:pPr>
      <w:r w:rsidRPr="00E163F0">
        <w:t xml:space="preserve">The </w:t>
      </w:r>
      <w:r w:rsidR="00186891" w:rsidRPr="00E163F0">
        <w:t>specifications apply as for MG antigen for the RSA test.</w:t>
      </w:r>
    </w:p>
    <w:p w14:paraId="63C78178" w14:textId="689B5F5A" w:rsidR="00D865A4" w:rsidRDefault="00D865A4" w:rsidP="00D865A4">
      <w:pPr>
        <w:pStyle w:val="i"/>
        <w:rPr>
          <w:iCs/>
        </w:rPr>
      </w:pPr>
      <w:r>
        <w:rPr>
          <w:u w:val="double"/>
        </w:rPr>
        <w:t>ii)</w:t>
      </w:r>
      <w:r>
        <w:rPr>
          <w:u w:val="double"/>
        </w:rPr>
        <w:tab/>
      </w:r>
      <w:r w:rsidR="00452892" w:rsidRPr="00452892">
        <w:rPr>
          <w:u w:val="double"/>
        </w:rPr>
        <w:t>MS</w:t>
      </w:r>
      <w:r w:rsidR="00452892" w:rsidRPr="00452892">
        <w:t xml:space="preserve"> </w:t>
      </w:r>
      <w:r w:rsidR="00452892" w:rsidRPr="00452892">
        <w:rPr>
          <w:strike/>
        </w:rPr>
        <w:t>Mycoplasma synoviae</w:t>
      </w:r>
      <w:r w:rsidR="00452892" w:rsidRPr="00452892">
        <w:rPr>
          <w:iCs/>
          <w:strike/>
        </w:rPr>
        <w:t xml:space="preserve"> </w:t>
      </w:r>
      <w:r w:rsidR="00186891" w:rsidRPr="00E163F0">
        <w:rPr>
          <w:iCs/>
        </w:rPr>
        <w:t>antigen for the HI test</w:t>
      </w:r>
    </w:p>
    <w:p w14:paraId="3C6FBC8C" w14:textId="72410921" w:rsidR="00186891" w:rsidRPr="00E163F0" w:rsidRDefault="00A13A60" w:rsidP="00D865A4">
      <w:pPr>
        <w:pStyle w:val="afourthpara"/>
      </w:pPr>
      <w:r w:rsidRPr="00E163F0">
        <w:t xml:space="preserve">The </w:t>
      </w:r>
      <w:r w:rsidR="00186891" w:rsidRPr="00E163F0">
        <w:t>same specifications apply as for MG antigen for the HI test.</w:t>
      </w:r>
    </w:p>
    <w:p w14:paraId="25A11FCD" w14:textId="5D438547" w:rsidR="00186891" w:rsidRPr="00E163F0" w:rsidRDefault="00D865A4" w:rsidP="00D865A4">
      <w:pPr>
        <w:pStyle w:val="111"/>
      </w:pPr>
      <w:r>
        <w:t>2.4.3.</w:t>
      </w:r>
      <w:r w:rsidR="00186891" w:rsidRPr="00E163F0">
        <w:tab/>
        <w:t>Additional comments</w:t>
      </w:r>
    </w:p>
    <w:p w14:paraId="314DC641" w14:textId="77777777" w:rsidR="00186891" w:rsidRPr="00E163F0" w:rsidRDefault="00186891" w:rsidP="00D865A4">
      <w:pPr>
        <w:pStyle w:val="111Para"/>
      </w:pPr>
      <w:r w:rsidRPr="00E163F0">
        <w:t xml:space="preserve">Sera giving nonspecific reactions to the RSA test do not usually give a positive reaction in the HI test using live HA antigen. Positive RSA reactions can be confirmed by the HI test with sera taken after the first 2–3 weeks of infection (the time taken for HI antibodies to develop). However, the HI test tends to be strain specific </w:t>
      </w:r>
      <w:r w:rsidRPr="00E163F0">
        <w:rPr>
          <w:rFonts w:eastAsia="MS Mincho"/>
        </w:rPr>
        <w:t>(</w:t>
      </w:r>
      <w:r w:rsidR="00D41FBE">
        <w:rPr>
          <w:rFonts w:eastAsia="MS Mincho"/>
        </w:rPr>
        <w:t xml:space="preserve">Kleven </w:t>
      </w:r>
      <w:r w:rsidR="00CF5CA7" w:rsidRPr="00CF5CA7">
        <w:rPr>
          <w:rFonts w:eastAsia="MS Mincho"/>
          <w:i/>
        </w:rPr>
        <w:t>et al</w:t>
      </w:r>
      <w:r w:rsidR="00D41FBE">
        <w:rPr>
          <w:rFonts w:eastAsia="MS Mincho"/>
        </w:rPr>
        <w:t>., 1988</w:t>
      </w:r>
      <w:r w:rsidRPr="00E163F0">
        <w:rPr>
          <w:rFonts w:eastAsia="MS Mincho"/>
        </w:rPr>
        <w:t>)</w:t>
      </w:r>
      <w:r w:rsidRPr="00E163F0">
        <w:t xml:space="preserve"> and therefore may lack sensitivity. ELISA may be a useful alternative.</w:t>
      </w:r>
    </w:p>
    <w:p w14:paraId="0FBB69BB" w14:textId="77777777" w:rsidR="00186891" w:rsidRPr="00E163F0" w:rsidRDefault="00186891" w:rsidP="00D865A4">
      <w:pPr>
        <w:pStyle w:val="111Para"/>
        <w:spacing w:after="480"/>
      </w:pPr>
      <w:r w:rsidRPr="00E163F0">
        <w:t>Samples of serum should not be frozen before use in RSA tests. They should be free from haemolysis and contamination to avoid nonspecific reactions. The use of inactivated vaccines for other diseases may result in nonspecific reactions. Samples should be tested as soon as possible (within 72 hours) because mycoplasma antibodies may deteriorate on storage. Sera may be inactivated in a water bath at 56°C for 30 minutes.</w:t>
      </w:r>
    </w:p>
    <w:p w14:paraId="23D3F4AA" w14:textId="77777777" w:rsidR="00186891" w:rsidRPr="00E163F0" w:rsidRDefault="00186891" w:rsidP="00E163F0">
      <w:pPr>
        <w:pStyle w:val="A0"/>
      </w:pPr>
      <w:r w:rsidRPr="00E163F0">
        <w:t>C.  REQUIREMENTS FOR VACCINES AND DIAGNOSTIC BIOLOGICALS</w:t>
      </w:r>
    </w:p>
    <w:p w14:paraId="155DED69" w14:textId="1D7F222B" w:rsidR="00186891" w:rsidRPr="00E163F0" w:rsidRDefault="00186891" w:rsidP="00E163F0">
      <w:pPr>
        <w:pStyle w:val="paraA0"/>
      </w:pPr>
      <w:r w:rsidRPr="00E163F0">
        <w:t>The preferred method of control is to maintain MG- and MS-free flocks</w:t>
      </w:r>
      <w:r w:rsidR="00D71E08">
        <w:t xml:space="preserve">, </w:t>
      </w:r>
      <w:r w:rsidR="00D71E08" w:rsidRPr="00FF44FB">
        <w:rPr>
          <w:u w:val="double"/>
        </w:rPr>
        <w:t>to increase the biosecurity measures and to avoid or to limit mycoplasma production by the infected breeder groups, containing the spread of these pathogens through vertical transmission (Kleven</w:t>
      </w:r>
      <w:r w:rsidR="00D71E08">
        <w:rPr>
          <w:u w:val="double"/>
        </w:rPr>
        <w:t xml:space="preserve">, </w:t>
      </w:r>
      <w:r w:rsidR="00D71E08" w:rsidRPr="00FF44FB">
        <w:rPr>
          <w:u w:val="double"/>
        </w:rPr>
        <w:t>2008)</w:t>
      </w:r>
      <w:r w:rsidRPr="00E163F0">
        <w:t xml:space="preserve">. Vaccination should be considered only in situations where field exposure is inevitable, </w:t>
      </w:r>
      <w:r w:rsidR="005B4150" w:rsidRPr="005B4150">
        <w:rPr>
          <w:u w:val="double"/>
        </w:rPr>
        <w:t>or in specific cases</w:t>
      </w:r>
      <w:r w:rsidR="005B4150">
        <w:rPr>
          <w:u w:val="double"/>
        </w:rPr>
        <w:t>,</w:t>
      </w:r>
      <w:r w:rsidR="005B4150" w:rsidRPr="00E163F0">
        <w:t xml:space="preserve"> </w:t>
      </w:r>
      <w:r w:rsidRPr="00E163F0">
        <w:t>such as on multi-age sites. Potential exposure of neighbouring poultry flocks should also be carefully considered.</w:t>
      </w:r>
    </w:p>
    <w:p w14:paraId="6F535F6E" w14:textId="0CA80040" w:rsidR="005B4150" w:rsidRDefault="00186891" w:rsidP="002A1AEA">
      <w:pPr>
        <w:pStyle w:val="paraA0"/>
        <w:spacing w:after="200"/>
      </w:pPr>
      <w:r w:rsidRPr="00E163F0">
        <w:t>Two types of vaccines</w:t>
      </w:r>
      <w:r w:rsidR="005B4150">
        <w:t xml:space="preserve">, </w:t>
      </w:r>
      <w:r w:rsidR="005B4150" w:rsidRPr="005B4150">
        <w:rPr>
          <w:u w:val="double"/>
        </w:rPr>
        <w:t>live and killed,</w:t>
      </w:r>
      <w:r w:rsidRPr="00E163F0">
        <w:t xml:space="preserve"> are available for the control of MG</w:t>
      </w:r>
      <w:r w:rsidR="005B4150">
        <w:t xml:space="preserve"> </w:t>
      </w:r>
      <w:r w:rsidR="005B4150" w:rsidRPr="005B4150">
        <w:rPr>
          <w:u w:val="double"/>
        </w:rPr>
        <w:t>and MS:</w:t>
      </w:r>
      <w:r w:rsidRPr="00E163F0">
        <w:t xml:space="preserve"> </w:t>
      </w:r>
      <w:r w:rsidRPr="005B4150">
        <w:rPr>
          <w:strike/>
        </w:rPr>
        <w:t xml:space="preserve">These are </w:t>
      </w:r>
      <w:r w:rsidRPr="00E163F0">
        <w:t xml:space="preserve">mild to avirulent </w:t>
      </w:r>
      <w:r w:rsidR="005B4150" w:rsidRPr="005B4150">
        <w:rPr>
          <w:u w:val="double"/>
        </w:rPr>
        <w:t>live</w:t>
      </w:r>
      <w:r w:rsidR="005B4150">
        <w:t xml:space="preserve"> </w:t>
      </w:r>
      <w:r w:rsidRPr="00E163F0">
        <w:t xml:space="preserve">MG </w:t>
      </w:r>
      <w:r w:rsidR="005B4150" w:rsidRPr="005B4150">
        <w:rPr>
          <w:u w:val="double"/>
        </w:rPr>
        <w:t>or MS</w:t>
      </w:r>
      <w:r w:rsidR="005B4150">
        <w:t xml:space="preserve"> </w:t>
      </w:r>
      <w:r w:rsidRPr="00E163F0">
        <w:t>strains</w:t>
      </w:r>
      <w:r w:rsidR="005B4150">
        <w:t xml:space="preserve"> </w:t>
      </w:r>
      <w:r w:rsidR="005B4150" w:rsidRPr="005B4150">
        <w:rPr>
          <w:u w:val="double"/>
        </w:rPr>
        <w:t>and</w:t>
      </w:r>
      <w:r w:rsidRPr="00E163F0">
        <w:t xml:space="preserve"> </w:t>
      </w:r>
      <w:r w:rsidRPr="005B4150">
        <w:rPr>
          <w:strike/>
        </w:rPr>
        <w:t xml:space="preserve">used as live vaccines, or </w:t>
      </w:r>
      <w:r w:rsidRPr="00E163F0">
        <w:t xml:space="preserve">inactivated oil-emulsion bacterins. </w:t>
      </w:r>
      <w:r w:rsidRPr="005B4150">
        <w:rPr>
          <w:strike/>
        </w:rPr>
        <w:t xml:space="preserve">The subject </w:t>
      </w:r>
      <w:r w:rsidR="005B4150" w:rsidRPr="005B4150">
        <w:rPr>
          <w:u w:val="double"/>
        </w:rPr>
        <w:t xml:space="preserve">Several </w:t>
      </w:r>
      <w:r w:rsidR="005B4150">
        <w:rPr>
          <w:u w:val="double"/>
        </w:rPr>
        <w:t>scientific papers</w:t>
      </w:r>
      <w:r w:rsidR="005B4150" w:rsidRPr="005B4150">
        <w:rPr>
          <w:u w:val="double"/>
        </w:rPr>
        <w:t xml:space="preserve"> have been published on this issue, </w:t>
      </w:r>
      <w:r w:rsidR="005B4150">
        <w:rPr>
          <w:u w:val="double"/>
        </w:rPr>
        <w:t>provid</w:t>
      </w:r>
      <w:r w:rsidR="005B4150" w:rsidRPr="005B4150">
        <w:rPr>
          <w:u w:val="double"/>
        </w:rPr>
        <w:t xml:space="preserve">ing evidence </w:t>
      </w:r>
      <w:r w:rsidR="005B4150">
        <w:rPr>
          <w:u w:val="double"/>
        </w:rPr>
        <w:t>of</w:t>
      </w:r>
      <w:r w:rsidR="005B4150" w:rsidRPr="005B4150">
        <w:rPr>
          <w:u w:val="double"/>
        </w:rPr>
        <w:t xml:space="preserve"> the effect</w:t>
      </w:r>
      <w:r w:rsidR="005B4150" w:rsidRPr="00E163F0">
        <w:t xml:space="preserve"> </w:t>
      </w:r>
      <w:r w:rsidRPr="00E163F0">
        <w:t xml:space="preserve">of </w:t>
      </w:r>
      <w:r w:rsidRPr="005B4150">
        <w:rPr>
          <w:strike/>
        </w:rPr>
        <w:t xml:space="preserve">MG </w:t>
      </w:r>
      <w:r w:rsidRPr="00E163F0">
        <w:t xml:space="preserve">vaccination </w:t>
      </w:r>
      <w:r w:rsidRPr="005B4150">
        <w:rPr>
          <w:strike/>
        </w:rPr>
        <w:t xml:space="preserve">has been reviewed by Whithear </w:t>
      </w:r>
      <w:r w:rsidRPr="005B4150">
        <w:rPr>
          <w:rFonts w:eastAsia="MS Mincho"/>
          <w:strike/>
        </w:rPr>
        <w:t>(</w:t>
      </w:r>
      <w:r w:rsidR="00572B91" w:rsidRPr="005B4150">
        <w:rPr>
          <w:strike/>
        </w:rPr>
        <w:t>1996</w:t>
      </w:r>
      <w:r w:rsidRPr="005B4150">
        <w:rPr>
          <w:rFonts w:eastAsia="MS Mincho"/>
          <w:strike/>
        </w:rPr>
        <w:t>)</w:t>
      </w:r>
      <w:r w:rsidR="005B4150">
        <w:rPr>
          <w:rFonts w:eastAsia="MS Mincho"/>
          <w:strike/>
        </w:rPr>
        <w:t xml:space="preserve"> </w:t>
      </w:r>
      <w:r w:rsidR="005B4150" w:rsidRPr="005B4150">
        <w:rPr>
          <w:u w:val="double"/>
        </w:rPr>
        <w:t xml:space="preserve">on </w:t>
      </w:r>
      <w:r w:rsidR="00875152">
        <w:rPr>
          <w:u w:val="double"/>
        </w:rPr>
        <w:t xml:space="preserve">reducing </w:t>
      </w:r>
      <w:r w:rsidR="005B4150" w:rsidRPr="00A13A60">
        <w:rPr>
          <w:u w:val="double"/>
        </w:rPr>
        <w:t>drop</w:t>
      </w:r>
      <w:r w:rsidR="00C51069" w:rsidRPr="00A13A60">
        <w:rPr>
          <w:u w:val="double"/>
        </w:rPr>
        <w:t xml:space="preserve"> of egg</w:t>
      </w:r>
      <w:r w:rsidR="005B4150" w:rsidRPr="00A13A60">
        <w:rPr>
          <w:u w:val="double"/>
        </w:rPr>
        <w:t xml:space="preserve"> production, on</w:t>
      </w:r>
      <w:r w:rsidR="005B4150" w:rsidRPr="005B4150">
        <w:rPr>
          <w:u w:val="double"/>
        </w:rPr>
        <w:t xml:space="preserve"> limiting respiratory signs, airsacculitis, and in reducing egg transmission</w:t>
      </w:r>
      <w:r w:rsidRPr="005B4150">
        <w:t xml:space="preserve">. </w:t>
      </w:r>
    </w:p>
    <w:p w14:paraId="4F698BD7" w14:textId="5C691D5B" w:rsidR="00186891" w:rsidRPr="00E163F0" w:rsidRDefault="005B4150" w:rsidP="002A1AEA">
      <w:pPr>
        <w:pStyle w:val="paraA0"/>
        <w:spacing w:after="200"/>
      </w:pPr>
      <w:r w:rsidRPr="00E163F0">
        <w:t xml:space="preserve">Although </w:t>
      </w:r>
      <w:r w:rsidRPr="00A606AF">
        <w:rPr>
          <w:strike/>
        </w:rPr>
        <w:t>there is</w:t>
      </w:r>
      <w:r w:rsidRPr="005B4150">
        <w:rPr>
          <w:strike/>
        </w:rPr>
        <w:t xml:space="preserve"> </w:t>
      </w:r>
      <w:r w:rsidRPr="00E163F0">
        <w:t>antigenic variability</w:t>
      </w:r>
      <w:r>
        <w:t xml:space="preserve"> </w:t>
      </w:r>
      <w:r w:rsidRPr="00A606AF">
        <w:rPr>
          <w:u w:val="double"/>
        </w:rPr>
        <w:t>is present</w:t>
      </w:r>
      <w:r w:rsidRPr="00E163F0">
        <w:t xml:space="preserve"> </w:t>
      </w:r>
      <w:r>
        <w:t xml:space="preserve">among MG </w:t>
      </w:r>
      <w:r w:rsidRPr="00A606AF">
        <w:rPr>
          <w:u w:val="double"/>
        </w:rPr>
        <w:t>or MS</w:t>
      </w:r>
      <w:r w:rsidRPr="00E163F0">
        <w:t xml:space="preserve"> strains, it is thought that vaccination with a single</w:t>
      </w:r>
      <w:r>
        <w:t xml:space="preserve"> </w:t>
      </w:r>
      <w:r w:rsidRPr="00A606AF">
        <w:rPr>
          <w:u w:val="double"/>
        </w:rPr>
        <w:t>MG or MS</w:t>
      </w:r>
      <w:r w:rsidRPr="00E163F0">
        <w:t xml:space="preserve"> strain is sufficient</w:t>
      </w:r>
      <w:r w:rsidRPr="00A606AF">
        <w:rPr>
          <w:strike/>
        </w:rPr>
        <w:t>.</w:t>
      </w:r>
      <w:r>
        <w:t xml:space="preserve"> </w:t>
      </w:r>
      <w:r w:rsidRPr="00A606AF">
        <w:rPr>
          <w:u w:val="double"/>
        </w:rPr>
        <w:t>to achieve a good level of protection against the homologous species. Live vaccines can be considered a good and effective tool for the management and containment of mycoplasmoses. However, until recently, it was not easy to distinguish the vaccine strain from the wild strains using the available tests (Catania</w:t>
      </w:r>
      <w:r>
        <w:rPr>
          <w:u w:val="double"/>
        </w:rPr>
        <w:t>,</w:t>
      </w:r>
      <w:r w:rsidRPr="00A606AF">
        <w:rPr>
          <w:u w:val="double"/>
        </w:rPr>
        <w:t xml:space="preserve"> 2016b). However, the newer biomolecular techniques, while not simple or easy, have been validated for differentiating the strains (Dijkman</w:t>
      </w:r>
      <w:r w:rsidR="00D73A74">
        <w:rPr>
          <w:u w:val="double"/>
        </w:rPr>
        <w:t xml:space="preserve"> </w:t>
      </w:r>
      <w:r w:rsidR="00D73A74" w:rsidRPr="00D73A74">
        <w:rPr>
          <w:i/>
          <w:u w:val="double"/>
        </w:rPr>
        <w:t>et al.</w:t>
      </w:r>
      <w:r w:rsidRPr="00D73A74">
        <w:rPr>
          <w:i/>
          <w:u w:val="double"/>
        </w:rPr>
        <w:t>,</w:t>
      </w:r>
      <w:r w:rsidRPr="00A606AF">
        <w:rPr>
          <w:u w:val="double"/>
        </w:rPr>
        <w:t xml:space="preserve"> 2017; </w:t>
      </w:r>
      <w:r w:rsidR="005D058D" w:rsidRPr="00F6138E">
        <w:rPr>
          <w:u w:val="double"/>
        </w:rPr>
        <w:t xml:space="preserve">Kreizinger </w:t>
      </w:r>
      <w:r w:rsidR="005D058D" w:rsidRPr="00F6138E">
        <w:rPr>
          <w:i/>
          <w:u w:val="double"/>
        </w:rPr>
        <w:t>et al.,</w:t>
      </w:r>
      <w:r w:rsidRPr="00A606AF">
        <w:rPr>
          <w:u w:val="double"/>
        </w:rPr>
        <w:t xml:space="preserve"> 2017), though they are usually based on single</w:t>
      </w:r>
      <w:r w:rsidR="00D73A74">
        <w:rPr>
          <w:u w:val="double"/>
        </w:rPr>
        <w:t>-</w:t>
      </w:r>
      <w:r w:rsidRPr="00A606AF">
        <w:rPr>
          <w:u w:val="double"/>
        </w:rPr>
        <w:t>point mutations</w:t>
      </w:r>
      <w:r w:rsidR="00186891" w:rsidRPr="00E163F0">
        <w:t>.</w:t>
      </w:r>
    </w:p>
    <w:p w14:paraId="1F26A7E0" w14:textId="77777777" w:rsidR="00186891" w:rsidRPr="00E163F0" w:rsidRDefault="00186891" w:rsidP="002A1AEA">
      <w:pPr>
        <w:pStyle w:val="para1"/>
        <w:spacing w:after="200"/>
      </w:pPr>
      <w:r w:rsidRPr="00E163F0">
        <w:t>Guidelines for the production of veterinary vaccines are given in Chapter 1.1.</w:t>
      </w:r>
      <w:r w:rsidR="000136F7">
        <w:t>8</w:t>
      </w:r>
      <w:r w:rsidRPr="00E163F0">
        <w:t xml:space="preserve"> </w:t>
      </w:r>
      <w:r w:rsidRPr="00BA3280">
        <w:rPr>
          <w:i/>
        </w:rPr>
        <w:t>Principles of veterinary vaccine production</w:t>
      </w:r>
      <w:r w:rsidRPr="00E163F0">
        <w:t>. The guidelines given here and in Chapter 1.1.</w:t>
      </w:r>
      <w:r w:rsidR="000136F7">
        <w:t>8</w:t>
      </w:r>
      <w:r w:rsidRPr="00E163F0">
        <w:t xml:space="preserve"> are intended to be general in nature and may be supplemented by national and regional requirements.</w:t>
      </w:r>
    </w:p>
    <w:p w14:paraId="2902FE04" w14:textId="77777777" w:rsidR="00186891" w:rsidRPr="005B4150" w:rsidRDefault="00D609A7" w:rsidP="002A1AEA">
      <w:pPr>
        <w:pStyle w:val="1"/>
        <w:spacing w:after="200"/>
        <w:rPr>
          <w:strike/>
        </w:rPr>
      </w:pPr>
      <w:r w:rsidRPr="005B4150">
        <w:rPr>
          <w:strike/>
        </w:rPr>
        <w:t>C1.</w:t>
      </w:r>
      <w:r w:rsidR="00186891" w:rsidRPr="005B4150">
        <w:rPr>
          <w:strike/>
        </w:rPr>
        <w:tab/>
        <w:t>Live vaccines: methods of use</w:t>
      </w:r>
    </w:p>
    <w:p w14:paraId="17BDEFA9" w14:textId="6D59909D" w:rsidR="005B4150" w:rsidRPr="005B4150" w:rsidRDefault="005B4150" w:rsidP="005B4150">
      <w:pPr>
        <w:pStyle w:val="para1"/>
        <w:spacing w:after="200"/>
        <w:rPr>
          <w:u w:val="double"/>
        </w:rPr>
      </w:pPr>
      <w:r w:rsidRPr="005B4150">
        <w:rPr>
          <w:u w:val="double"/>
        </w:rPr>
        <w:t>Bacterin-based vaccines are used to prepare the immune system for exposure to the disease to reduce the clinical signs, such us egg</w:t>
      </w:r>
      <w:r w:rsidR="00996853">
        <w:rPr>
          <w:u w:val="double"/>
        </w:rPr>
        <w:t xml:space="preserve"> </w:t>
      </w:r>
      <w:r w:rsidRPr="005B4150">
        <w:rPr>
          <w:u w:val="double"/>
        </w:rPr>
        <w:t xml:space="preserve">production drops that occur as a consequence of MG infection in layers. Their use at present is limited mainly to MG. </w:t>
      </w:r>
    </w:p>
    <w:p w14:paraId="0871BF91" w14:textId="77777777" w:rsidR="00960C3E" w:rsidRPr="00E163F0" w:rsidRDefault="00960C3E" w:rsidP="00960C3E">
      <w:pPr>
        <w:pStyle w:val="para1"/>
        <w:spacing w:after="200"/>
      </w:pPr>
      <w:r w:rsidRPr="00E163F0">
        <w:t xml:space="preserve">The use of live vaccines is equivalent to </w:t>
      </w:r>
      <w:r w:rsidRPr="00A606AF">
        <w:rPr>
          <w:u w:val="double"/>
        </w:rPr>
        <w:t>a</w:t>
      </w:r>
      <w:r>
        <w:t xml:space="preserve"> </w:t>
      </w:r>
      <w:r w:rsidRPr="00E163F0">
        <w:t>‘controlled exposure’. The objective is to infect the flock with a mild, immunogenic MG</w:t>
      </w:r>
      <w:r>
        <w:t xml:space="preserve"> </w:t>
      </w:r>
      <w:r w:rsidRPr="00A606AF">
        <w:rPr>
          <w:u w:val="double"/>
        </w:rPr>
        <w:t>or MS</w:t>
      </w:r>
      <w:r w:rsidRPr="00E163F0">
        <w:t xml:space="preserve"> strain at an age when little or no significant damage occurs. Such exposure results in resistance to challenge later in life, </w:t>
      </w:r>
      <w:r w:rsidRPr="00A606AF">
        <w:rPr>
          <w:strike/>
        </w:rPr>
        <w:t>such as</w:t>
      </w:r>
      <w:r>
        <w:rPr>
          <w:strike/>
        </w:rPr>
        <w:t xml:space="preserve"> </w:t>
      </w:r>
      <w:r w:rsidRPr="00A606AF">
        <w:rPr>
          <w:u w:val="double"/>
        </w:rPr>
        <w:t>particularly</w:t>
      </w:r>
      <w:r w:rsidRPr="00E163F0">
        <w:t xml:space="preserve"> on multi-age commercial sites. Successfully vaccinated birds </w:t>
      </w:r>
      <w:r w:rsidRPr="00A606AF">
        <w:rPr>
          <w:strike/>
        </w:rPr>
        <w:t>are</w:t>
      </w:r>
      <w:r>
        <w:rPr>
          <w:strike/>
        </w:rPr>
        <w:t xml:space="preserve"> </w:t>
      </w:r>
      <w:r w:rsidRPr="00A606AF">
        <w:rPr>
          <w:u w:val="double"/>
        </w:rPr>
        <w:t>should be</w:t>
      </w:r>
      <w:r>
        <w:t xml:space="preserve"> </w:t>
      </w:r>
      <w:r w:rsidRPr="00E163F0">
        <w:t xml:space="preserve">resistant to respiratory disease, airsacculitis, </w:t>
      </w:r>
      <w:r w:rsidRPr="00A606AF">
        <w:rPr>
          <w:strike/>
        </w:rPr>
        <w:t xml:space="preserve">and </w:t>
      </w:r>
      <w:r w:rsidRPr="00E163F0">
        <w:t>egg production drops</w:t>
      </w:r>
      <w:r>
        <w:t xml:space="preserve"> </w:t>
      </w:r>
      <w:r w:rsidRPr="00A606AF">
        <w:rPr>
          <w:u w:val="double"/>
        </w:rPr>
        <w:t>or other specific lesions</w:t>
      </w:r>
      <w:r w:rsidRPr="00E163F0">
        <w:t xml:space="preserve"> caused by </w:t>
      </w:r>
      <w:r>
        <w:t>M</w:t>
      </w:r>
      <w:r w:rsidRPr="00E163F0">
        <w:t>G</w:t>
      </w:r>
      <w:r>
        <w:t xml:space="preserve"> </w:t>
      </w:r>
      <w:r w:rsidRPr="00A606AF">
        <w:rPr>
          <w:u w:val="double"/>
        </w:rPr>
        <w:t>or MS</w:t>
      </w:r>
      <w:r>
        <w:t>.</w:t>
      </w:r>
      <w:r w:rsidRPr="00E163F0">
        <w:t xml:space="preserve"> Vaccination </w:t>
      </w:r>
      <w:r w:rsidRPr="00A606AF">
        <w:rPr>
          <w:u w:val="double"/>
        </w:rPr>
        <w:t>should</w:t>
      </w:r>
      <w:r w:rsidRPr="00A20E05">
        <w:t xml:space="preserve"> </w:t>
      </w:r>
      <w:r w:rsidRPr="00E163F0">
        <w:t xml:space="preserve">also </w:t>
      </w:r>
      <w:r w:rsidRPr="00A606AF">
        <w:rPr>
          <w:strike/>
        </w:rPr>
        <w:t xml:space="preserve">results in reduced levels of egg </w:t>
      </w:r>
      <w:r w:rsidRPr="00A606AF">
        <w:rPr>
          <w:u w:val="double"/>
        </w:rPr>
        <w:t>reduce</w:t>
      </w:r>
      <w:r w:rsidRPr="00E163F0">
        <w:t xml:space="preserve"> transmission </w:t>
      </w:r>
      <w:r w:rsidRPr="00A606AF">
        <w:rPr>
          <w:u w:val="double"/>
        </w:rPr>
        <w:t xml:space="preserve">of the pathogen through the egg </w:t>
      </w:r>
      <w:r w:rsidRPr="00E163F0">
        <w:t>in breeders.</w:t>
      </w:r>
      <w:r>
        <w:t xml:space="preserve"> </w:t>
      </w:r>
    </w:p>
    <w:p w14:paraId="53D8FE5F" w14:textId="77777777" w:rsidR="00186891" w:rsidRPr="005B4150" w:rsidRDefault="00186891" w:rsidP="002A1AEA">
      <w:pPr>
        <w:pStyle w:val="para1"/>
        <w:spacing w:after="200"/>
        <w:rPr>
          <w:strike/>
        </w:rPr>
      </w:pPr>
      <w:r w:rsidRPr="005B4150">
        <w:rPr>
          <w:strike/>
        </w:rPr>
        <w:lastRenderedPageBreak/>
        <w:t xml:space="preserve">The F strain of MG has been the most commonly used vaccine strain </w:t>
      </w:r>
      <w:r w:rsidRPr="005B4150">
        <w:rPr>
          <w:rFonts w:eastAsia="MS Mincho"/>
          <w:strike/>
        </w:rPr>
        <w:t>(</w:t>
      </w:r>
      <w:r w:rsidR="00D41FBE" w:rsidRPr="005B4150">
        <w:rPr>
          <w:rFonts w:eastAsia="MS Mincho"/>
          <w:strike/>
        </w:rPr>
        <w:t xml:space="preserve">Carpenter </w:t>
      </w:r>
      <w:r w:rsidR="00CF5CA7" w:rsidRPr="005B4150">
        <w:rPr>
          <w:rFonts w:eastAsia="MS Mincho"/>
          <w:i/>
          <w:strike/>
        </w:rPr>
        <w:t>et al</w:t>
      </w:r>
      <w:r w:rsidR="00D41FBE" w:rsidRPr="005B4150">
        <w:rPr>
          <w:rFonts w:eastAsia="MS Mincho"/>
          <w:strike/>
        </w:rPr>
        <w:t>., 1981</w:t>
      </w:r>
      <w:r w:rsidRPr="005B4150">
        <w:rPr>
          <w:rFonts w:eastAsia="MS Mincho"/>
          <w:strike/>
        </w:rPr>
        <w:t>)</w:t>
      </w:r>
      <w:r w:rsidRPr="005B4150">
        <w:rPr>
          <w:strike/>
        </w:rPr>
        <w:t xml:space="preserve">. It is a naturally occurring strain of mild to moderate virulence for chickens, but it is virulent for turkeys. It ordinarily spreads slowly from bird to bird. When administered to healthy chickens via the upper respiratory tract, little or no respiratory reaction is observed. However, when administered by aerosol or in the presence of other respiratory disease agents, such as Newcastle disease or infectious bronchitis virus, respiratory signs and airsacculitis may result. Vaccinated chickens are permanent carriers, so a single dose is adequate. Use of F strain vaccine in each replacement flock on a multi-age site will eventually result in displacement of the field strain with the vaccine strain. Strains ts-11 and 6/85 are avirulent and spread to unvaccinated birds does not occur or occurs very poorly when birds are in very close contact </w:t>
      </w:r>
      <w:r w:rsidRPr="005B4150">
        <w:rPr>
          <w:rFonts w:eastAsia="MS Mincho"/>
          <w:strike/>
        </w:rPr>
        <w:t>(</w:t>
      </w:r>
      <w:r w:rsidR="00572B91" w:rsidRPr="005B4150">
        <w:rPr>
          <w:rFonts w:eastAsia="MS Mincho"/>
          <w:strike/>
        </w:rPr>
        <w:t xml:space="preserve">Ley </w:t>
      </w:r>
      <w:r w:rsidR="00CF5CA7" w:rsidRPr="005B4150">
        <w:rPr>
          <w:rFonts w:eastAsia="MS Mincho"/>
          <w:i/>
          <w:strike/>
        </w:rPr>
        <w:t>et al</w:t>
      </w:r>
      <w:r w:rsidR="00572B91" w:rsidRPr="005B4150">
        <w:rPr>
          <w:rFonts w:eastAsia="MS Mincho"/>
          <w:strike/>
        </w:rPr>
        <w:t>., 1997</w:t>
      </w:r>
      <w:r w:rsidRPr="005B4150">
        <w:rPr>
          <w:rFonts w:eastAsia="MS Mincho"/>
          <w:strike/>
        </w:rPr>
        <w:t>)</w:t>
      </w:r>
      <w:r w:rsidRPr="005B4150">
        <w:rPr>
          <w:strike/>
        </w:rPr>
        <w:t>.</w:t>
      </w:r>
    </w:p>
    <w:p w14:paraId="46A37155" w14:textId="77777777" w:rsidR="00186891" w:rsidRPr="00960C3E" w:rsidRDefault="00186891" w:rsidP="009419E4">
      <w:pPr>
        <w:pStyle w:val="para1"/>
        <w:keepLines/>
        <w:spacing w:after="200"/>
        <w:rPr>
          <w:strike/>
        </w:rPr>
      </w:pPr>
      <w:r w:rsidRPr="00960C3E">
        <w:rPr>
          <w:strike/>
        </w:rPr>
        <w:t>Commercial pullets are usually vaccinated between 12 and 16 weeks of age, but vaccination of younger or older birds is permissible. It is essential that vaccination occurs before the flock is naturally infected. Vaccination in cases of probable early field exposure can be carried out in birds as young as 2–4 weeks of age. For the F strain, intranasal or eyedrop administration is preferred. Administration in the drinking water may result in some birds being missed unless the procedure is carried out properly. Aerosol administration should also be done carefully, so that all birds are exposed. A respiratory reaction should be expected at approximately 5–7 days after vaccination if aerosol administration is used. Vaccinated flocks should be tested with the agglutination test approximately 3–4 weeks post-vaccination to be sure that all birds were properly exposed. It is desirable that birds be vaccinated at an age when there is no reaction to other respiratory vaccines. Strain ts-11 should be administered by eyedrop, and 6/85 is given as a fine spray. Vaccination with ts-11 results in a low but distinctive serological response by serum plate agglutination, HI, and ELISA, but vaccination with 6/85 does not ordinarily result in a serological response. No post-vaccination reaction should be observed with 6/85 or ts-11. Flocks vaccinated with F strain or ts-11 are culture positive for the life of the flock, but 6/85 may be difficult to recover later than 4–6 weeks after vaccination.</w:t>
      </w:r>
    </w:p>
    <w:p w14:paraId="073F9629" w14:textId="77777777" w:rsidR="00186891" w:rsidRPr="00960C3E" w:rsidRDefault="00186891" w:rsidP="002A1AEA">
      <w:pPr>
        <w:pStyle w:val="para1"/>
        <w:spacing w:after="200"/>
        <w:rPr>
          <w:strike/>
        </w:rPr>
      </w:pPr>
      <w:r w:rsidRPr="00960C3E">
        <w:rPr>
          <w:strike/>
        </w:rPr>
        <w:t>Commercial live vaccines should be used within 1–2 hours after reconstitution. Lyophilised vaccine should be stored at 4°C. Some manufacturers supply the vaccine frozen. Such vaccine should be stored in liquid nitrogen, dry ice, or at –70°C or colder. Live MG vaccine is not stable for long periods at ordinary freezer temperatures. Storage for more than a few days at –20°C should be avoided.</w:t>
      </w:r>
    </w:p>
    <w:p w14:paraId="2D7052ED" w14:textId="77777777" w:rsidR="00186891" w:rsidRPr="00960C3E" w:rsidRDefault="00186891" w:rsidP="002A1AEA">
      <w:pPr>
        <w:pStyle w:val="para1"/>
        <w:spacing w:after="200"/>
        <w:rPr>
          <w:strike/>
        </w:rPr>
      </w:pPr>
      <w:r w:rsidRPr="00960C3E">
        <w:rPr>
          <w:strike/>
        </w:rPr>
        <w:t xml:space="preserve">Strains 6/85 and ts-11 are inherently safer than F strain, although the level of protection may be somewhat less, and may be useful as the primary vaccine strain on a multi-age site or as a ‘second generation vaccine’ on sites previously using F strain vaccine. They may also be preferred in situations where inadvertent exposure of neighbouring poultry flocks is of concern. F strain displaces wild-type MG more efficiently than either ts-11 or 6/85, but ts-11 has been used to eradicate F strain MG from a multi-age commercial egg-production site </w:t>
      </w:r>
      <w:r w:rsidRPr="00960C3E">
        <w:rPr>
          <w:rFonts w:eastAsia="MS Mincho"/>
          <w:strike/>
        </w:rPr>
        <w:t>(</w:t>
      </w:r>
      <w:r w:rsidR="00572B91" w:rsidRPr="00960C3E">
        <w:rPr>
          <w:strike/>
        </w:rPr>
        <w:t>Turner &amp; Kleven, 1998</w:t>
      </w:r>
      <w:r w:rsidRPr="00960C3E">
        <w:rPr>
          <w:rFonts w:eastAsia="MS Mincho"/>
          <w:strike/>
        </w:rPr>
        <w:t>)</w:t>
      </w:r>
      <w:r w:rsidRPr="00960C3E">
        <w:rPr>
          <w:strike/>
        </w:rPr>
        <w:t xml:space="preserve">. Multi-age sites where strain 6/85 is consistently used often test MG-negative, suggesting that it has displaced the wild-type strain. </w:t>
      </w:r>
    </w:p>
    <w:p w14:paraId="492A1222" w14:textId="77777777" w:rsidR="00186891" w:rsidRPr="00960C3E" w:rsidRDefault="00186891" w:rsidP="002A1AEA">
      <w:pPr>
        <w:pStyle w:val="para1"/>
        <w:spacing w:after="200"/>
        <w:rPr>
          <w:strike/>
        </w:rPr>
      </w:pPr>
      <w:r w:rsidRPr="00960C3E">
        <w:rPr>
          <w:strike/>
        </w:rPr>
        <w:t>Live vaccines have also been used in some countries in broiler breeder pullets. In Australia, ts-11 live vaccine is being extensively used in broiler breeder pullets as well as in commercial layers. F strain vaccine has been used in broiler breeder pullets raised under multi-age conditions in some Latin American countries for several years; more recently there has been limited use of strains ts-11 and 6/85. There has been limited use of the 6/85 strain as a vaccine for commercial turkeys in the USA, but no good data on its effectiveness are available. Generally, vaccination of turkeys with live vaccines is not recommended and vaccination of broilers with either live or inactivated vaccines has not been successful. None of the vaccines has been validated for use in game birds.</w:t>
      </w:r>
    </w:p>
    <w:p w14:paraId="6E06797E" w14:textId="77777777" w:rsidR="00186891" w:rsidRPr="00960C3E" w:rsidRDefault="00186891" w:rsidP="00E163F0">
      <w:pPr>
        <w:pStyle w:val="para1"/>
        <w:rPr>
          <w:strike/>
        </w:rPr>
      </w:pPr>
      <w:r w:rsidRPr="00960C3E">
        <w:rPr>
          <w:strike/>
        </w:rPr>
        <w:t>A live vaccine for MS is available in several countries for use in broiler breeder and layer chickens. It is produced from a temperature-sensitive mutant, MS-H (</w:t>
      </w:r>
      <w:r w:rsidR="00572B91" w:rsidRPr="00960C3E">
        <w:rPr>
          <w:strike/>
        </w:rPr>
        <w:t xml:space="preserve">Markham </w:t>
      </w:r>
      <w:r w:rsidR="00CF5CA7" w:rsidRPr="00960C3E">
        <w:rPr>
          <w:i/>
          <w:strike/>
        </w:rPr>
        <w:t>et al</w:t>
      </w:r>
      <w:r w:rsidR="00572B91" w:rsidRPr="00960C3E">
        <w:rPr>
          <w:strike/>
        </w:rPr>
        <w:t>., 1998</w:t>
      </w:r>
      <w:r w:rsidRPr="00960C3E">
        <w:rPr>
          <w:strike/>
        </w:rPr>
        <w:t>). Its characteristics and method of use are similar to those for the MG vaccine, ts-11.</w:t>
      </w:r>
    </w:p>
    <w:p w14:paraId="096FBA22" w14:textId="77777777" w:rsidR="00186891" w:rsidRPr="00960C3E" w:rsidRDefault="00D609A7" w:rsidP="00E163F0">
      <w:pPr>
        <w:pStyle w:val="1"/>
        <w:rPr>
          <w:strike/>
        </w:rPr>
      </w:pPr>
      <w:r w:rsidRPr="00960C3E">
        <w:rPr>
          <w:strike/>
        </w:rPr>
        <w:t>C2.</w:t>
      </w:r>
      <w:r w:rsidR="00186891" w:rsidRPr="00960C3E">
        <w:rPr>
          <w:strike/>
        </w:rPr>
        <w:tab/>
        <w:t>Inactivated vaccines: method of use</w:t>
      </w:r>
    </w:p>
    <w:p w14:paraId="1E44586F" w14:textId="77777777" w:rsidR="00186891" w:rsidRPr="00960C3E" w:rsidRDefault="00186891" w:rsidP="00E163F0">
      <w:pPr>
        <w:pStyle w:val="para1"/>
        <w:rPr>
          <w:strike/>
        </w:rPr>
      </w:pPr>
      <w:r w:rsidRPr="00960C3E">
        <w:rPr>
          <w:strike/>
        </w:rPr>
        <w:t>MG bacterins are prepared from a concentrated suspension of whole cells that is emulsified into an oil adjuvant. A high antigen content is essential.</w:t>
      </w:r>
    </w:p>
    <w:p w14:paraId="3F016900" w14:textId="77777777" w:rsidR="00186891" w:rsidRPr="00960C3E" w:rsidRDefault="00186891" w:rsidP="00E163F0">
      <w:pPr>
        <w:pStyle w:val="para1"/>
        <w:rPr>
          <w:strike/>
        </w:rPr>
      </w:pPr>
      <w:r w:rsidRPr="00960C3E">
        <w:rPr>
          <w:strike/>
        </w:rPr>
        <w:t xml:space="preserve">Bacterins are ordinarily used in commercial pullets to provide protection against egg-production drops that occur after MG exposure on multi-age layer sites </w:t>
      </w:r>
      <w:r w:rsidRPr="00960C3E">
        <w:rPr>
          <w:rFonts w:eastAsia="MS Mincho"/>
          <w:strike/>
        </w:rPr>
        <w:t>(</w:t>
      </w:r>
      <w:r w:rsidR="00572B91" w:rsidRPr="00960C3E">
        <w:rPr>
          <w:rFonts w:eastAsia="MS Mincho"/>
          <w:strike/>
        </w:rPr>
        <w:t xml:space="preserve">Hildebrand </w:t>
      </w:r>
      <w:r w:rsidR="00CF5CA7" w:rsidRPr="00960C3E">
        <w:rPr>
          <w:rFonts w:eastAsia="MS Mincho"/>
          <w:i/>
          <w:strike/>
        </w:rPr>
        <w:t>et al</w:t>
      </w:r>
      <w:r w:rsidR="00572B91" w:rsidRPr="00960C3E">
        <w:rPr>
          <w:rFonts w:eastAsia="MS Mincho"/>
          <w:strike/>
        </w:rPr>
        <w:t>., 1983</w:t>
      </w:r>
      <w:r w:rsidRPr="00960C3E">
        <w:rPr>
          <w:rFonts w:eastAsia="MS Mincho"/>
          <w:strike/>
        </w:rPr>
        <w:t>)</w:t>
      </w:r>
      <w:r w:rsidRPr="00960C3E">
        <w:rPr>
          <w:strike/>
        </w:rPr>
        <w:t>. They may also be used to reduce the level of egg transmission in breeder pullets. Use of bacterins in broilers is limited by the fact that birds vaccinated before 1–2 weeks of age are not protected. Although bacterins may provide protection against respiratory signs, airsacculitis, and egg-production losses, vaccinated flocks are readily infected. The duration of immunity is not known, but most flocks are exposed within 1–2 months after vaccination.</w:t>
      </w:r>
    </w:p>
    <w:p w14:paraId="3425F433" w14:textId="77777777" w:rsidR="00186891" w:rsidRPr="00960C3E" w:rsidRDefault="00186891" w:rsidP="00E163F0">
      <w:pPr>
        <w:pStyle w:val="para1"/>
        <w:rPr>
          <w:strike/>
        </w:rPr>
      </w:pPr>
      <w:r w:rsidRPr="00960C3E">
        <w:rPr>
          <w:strike/>
        </w:rPr>
        <w:t xml:space="preserve">Administration is by the intramuscular or subcutaneous route, usually with a dose of 0.5 ml per bird. There is a risk that a persistent reaction at the site of vaccination will require trimming of carcasses of spent fowl vaccinated by the intramuscular route, so subcutaneous administration in the upper dorsal part of the neck is the most commonly used route. Two doses are preferred, but cost and labour considerations may dictate the use of a single dose, usually between 16 and 18 weeks of age for commercial pullets. A multidose syringe may be used. All equipment </w:t>
      </w:r>
      <w:r w:rsidRPr="00960C3E">
        <w:rPr>
          <w:strike/>
        </w:rPr>
        <w:lastRenderedPageBreak/>
        <w:t>should be cleaned and sterilised between flocks, and vaccination crews should exercise proper methods of biosecurity when travelling between flocks. Vaccine should be stored at 2–8°C up to the time of use. It should not be frozen or exposed to strong light.</w:t>
      </w:r>
    </w:p>
    <w:p w14:paraId="2F162225" w14:textId="77777777" w:rsidR="00186891" w:rsidRPr="00960C3E" w:rsidRDefault="00186891" w:rsidP="00E163F0">
      <w:pPr>
        <w:pStyle w:val="para1"/>
        <w:rPr>
          <w:strike/>
        </w:rPr>
      </w:pPr>
      <w:r w:rsidRPr="00960C3E">
        <w:rPr>
          <w:strike/>
        </w:rPr>
        <w:t>A similar bacterin for MS is also licensed in the USA, but it has received limited use.</w:t>
      </w:r>
    </w:p>
    <w:p w14:paraId="7F28A234" w14:textId="5938F116" w:rsidR="00186891" w:rsidRPr="00E163F0" w:rsidRDefault="00186891" w:rsidP="009419E4">
      <w:pPr>
        <w:pStyle w:val="1"/>
        <w:keepNext/>
        <w:spacing w:after="120"/>
      </w:pPr>
      <w:r w:rsidRPr="00E163F0">
        <w:t>1.</w:t>
      </w:r>
      <w:r w:rsidRPr="00E163F0">
        <w:tab/>
      </w:r>
      <w:r w:rsidR="00633C10" w:rsidRPr="00633C10">
        <w:rPr>
          <w:u w:val="double"/>
        </w:rPr>
        <w:t>Outline of production and minimum requirements for vaccines</w:t>
      </w:r>
      <w:r w:rsidR="00633C10" w:rsidRPr="00E163F0">
        <w:t xml:space="preserve"> </w:t>
      </w:r>
      <w:r w:rsidRPr="00633C10">
        <w:rPr>
          <w:strike/>
        </w:rPr>
        <w:t>Seed management</w:t>
      </w:r>
    </w:p>
    <w:p w14:paraId="54E3B101" w14:textId="77777777" w:rsidR="00186891" w:rsidRPr="00E163F0" w:rsidRDefault="00D609A7" w:rsidP="009419E4">
      <w:pPr>
        <w:pStyle w:val="11"/>
        <w:keepNext/>
        <w:spacing w:after="120"/>
      </w:pPr>
      <w:r>
        <w:t>1.1.</w:t>
      </w:r>
      <w:r w:rsidR="00186891" w:rsidRPr="00E163F0">
        <w:tab/>
        <w:t>Characteristics of the seed</w:t>
      </w:r>
    </w:p>
    <w:p w14:paraId="3E0A66FA" w14:textId="77777777" w:rsidR="00186891" w:rsidRPr="00E163F0" w:rsidRDefault="00D609A7" w:rsidP="00A844BE">
      <w:pPr>
        <w:pStyle w:val="111"/>
      </w:pPr>
      <w:r>
        <w:t>1.1.1.</w:t>
      </w:r>
      <w:r w:rsidR="00186891" w:rsidRPr="00E163F0">
        <w:tab/>
        <w:t>Live vaccine</w:t>
      </w:r>
    </w:p>
    <w:p w14:paraId="301D6913" w14:textId="77777777" w:rsidR="00186891" w:rsidRPr="00E163F0" w:rsidRDefault="00186891" w:rsidP="00A844BE">
      <w:pPr>
        <w:pStyle w:val="111Para"/>
      </w:pPr>
      <w:r w:rsidRPr="00E163F0">
        <w:t>The vaccine strain should be immunogenic, must readily colonise the upper respiratory tract, and cause minimal damage to the respiratory system. A strong antibody response does not necessarily correlate with immunity.</w:t>
      </w:r>
    </w:p>
    <w:p w14:paraId="7354D916" w14:textId="350A082B" w:rsidR="00186891" w:rsidRPr="00E163F0" w:rsidRDefault="00186891" w:rsidP="00A844BE">
      <w:pPr>
        <w:pStyle w:val="111Para"/>
      </w:pPr>
      <w:r w:rsidRPr="00E163F0">
        <w:t>The seed culture should be free from all extraneous agents. The culture should be cloned to ensure purity. If desired, restriction endonuclease patterns of the mycoplasmal DNA</w:t>
      </w:r>
      <w:r w:rsidRPr="00960C3E">
        <w:rPr>
          <w:strike/>
        </w:rPr>
        <w:t xml:space="preserve"> on agarose gels</w:t>
      </w:r>
      <w:r w:rsidR="00960C3E" w:rsidRPr="00960C3E">
        <w:rPr>
          <w:u w:val="double"/>
        </w:rPr>
        <w:t>,</w:t>
      </w:r>
      <w:r w:rsidRPr="00E163F0">
        <w:t xml:space="preserve"> </w:t>
      </w:r>
      <w:r w:rsidR="00960C3E" w:rsidRPr="00960C3E">
        <w:rPr>
          <w:u w:val="double"/>
        </w:rPr>
        <w:t>or other methods such as 16s PCR DGGE</w:t>
      </w:r>
      <w:r w:rsidR="00960C3E">
        <w:rPr>
          <w:u w:val="double"/>
        </w:rPr>
        <w:t>,</w:t>
      </w:r>
      <w:r w:rsidR="00960C3E" w:rsidRPr="00E163F0">
        <w:t xml:space="preserve"> </w:t>
      </w:r>
      <w:r w:rsidRPr="00E163F0">
        <w:t>can be run to be sure of the identity and purity of the strain.</w:t>
      </w:r>
    </w:p>
    <w:p w14:paraId="1919235F" w14:textId="77777777" w:rsidR="00186891" w:rsidRPr="00E163F0" w:rsidRDefault="00186891" w:rsidP="00A844BE">
      <w:pPr>
        <w:pStyle w:val="111Para"/>
      </w:pPr>
      <w:r w:rsidRPr="00E163F0">
        <w:t>The seed culture should be stable with no tendency to revert to virulence. This can be confirmed with ten back passages in susceptible chickens. Contact chickens can be introduced at weekly intervals. If necessary, tracheal swabs can be taken from infected chickens and can then be inserted into the trachea of contact chickens. Transmission of the organism should be proven. The resulting isolate can then be used to challenge susceptible chickens.</w:t>
      </w:r>
    </w:p>
    <w:p w14:paraId="746EA915" w14:textId="77777777" w:rsidR="00186891" w:rsidRPr="00E163F0" w:rsidRDefault="00D609A7" w:rsidP="00A844BE">
      <w:pPr>
        <w:pStyle w:val="111"/>
      </w:pPr>
      <w:r>
        <w:t>1.1.2.</w:t>
      </w:r>
      <w:r w:rsidR="00186891" w:rsidRPr="00E163F0">
        <w:tab/>
        <w:t>Killed vaccine</w:t>
      </w:r>
    </w:p>
    <w:p w14:paraId="545985F6" w14:textId="77777777" w:rsidR="00186891" w:rsidRPr="00E163F0" w:rsidRDefault="00186891" w:rsidP="00A844BE">
      <w:pPr>
        <w:pStyle w:val="111Para"/>
      </w:pPr>
      <w:r w:rsidRPr="00E163F0">
        <w:t>For killed vaccines the most important characteristics are high yield and good antigenicity. It is assumed, but not proven, that virulent strains are desirable. The seed culture should be free from all extraneous organisms.</w:t>
      </w:r>
    </w:p>
    <w:p w14:paraId="0975079C" w14:textId="77777777" w:rsidR="00186891" w:rsidRPr="00E163F0" w:rsidRDefault="00D609A7" w:rsidP="00A844BE">
      <w:pPr>
        <w:pStyle w:val="11"/>
      </w:pPr>
      <w:r>
        <w:t>1.2.</w:t>
      </w:r>
      <w:r w:rsidR="00186891" w:rsidRPr="00E163F0">
        <w:tab/>
        <w:t>Method of culture</w:t>
      </w:r>
    </w:p>
    <w:p w14:paraId="69B1ABF5" w14:textId="77777777" w:rsidR="00186891" w:rsidRPr="00E163F0" w:rsidRDefault="00186891" w:rsidP="00A844BE">
      <w:pPr>
        <w:pStyle w:val="11Para"/>
      </w:pPr>
      <w:r w:rsidRPr="00E163F0">
        <w:t xml:space="preserve">The seed culture may be propagated in a medium similar to that described above (Section B.1) </w:t>
      </w:r>
      <w:r w:rsidR="00D41FBE" w:rsidRPr="00E163F0">
        <w:t>for</w:t>
      </w:r>
      <w:r w:rsidRPr="00E163F0">
        <w:t xml:space="preserve"> live vaccines, the broth culture is lyophilised or frozen at –70°C or colder. For bacterins the culture must be concentrated and resuspended in a small volume of saline or PBS before the emulsion is prepared.</w:t>
      </w:r>
    </w:p>
    <w:p w14:paraId="601ED05C" w14:textId="77777777" w:rsidR="00186891" w:rsidRPr="00E163F0" w:rsidRDefault="00D609A7" w:rsidP="00A844BE">
      <w:pPr>
        <w:pStyle w:val="11"/>
      </w:pPr>
      <w:r>
        <w:t>1.3.</w:t>
      </w:r>
      <w:r w:rsidR="00186891" w:rsidRPr="00E163F0">
        <w:tab/>
        <w:t>Validation as a vaccine</w:t>
      </w:r>
    </w:p>
    <w:p w14:paraId="192C4B04" w14:textId="77777777" w:rsidR="00186891" w:rsidRPr="00E163F0" w:rsidRDefault="00186891" w:rsidP="00A844BE">
      <w:pPr>
        <w:pStyle w:val="11Para"/>
      </w:pPr>
      <w:r w:rsidRPr="00E163F0">
        <w:t>Data on efficacy should be obtained before bulk manufacture of vaccine begins. Chickens should be vaccinated by the same route that will be used in the field. Vaccinated birds should be challenged, and protection should be determined against respiratory signs, nasal discharge, and/or airsacculitis. Ideally, protection against egg-production losses should be evaluated, but such challenge trials are expensive and cumbersome.</w:t>
      </w:r>
    </w:p>
    <w:p w14:paraId="53469A04" w14:textId="77777777" w:rsidR="00186891" w:rsidRPr="00E163F0" w:rsidRDefault="00186891" w:rsidP="00A844BE">
      <w:pPr>
        <w:pStyle w:val="11Para"/>
      </w:pPr>
      <w:r w:rsidRPr="00E163F0">
        <w:t xml:space="preserve">Efficacy test: Groups of 20 specific pathogen free (SPF) chickens or at least mycoplasma-free chickens, 2 weeks of age or older, are vaccinated by eyedrop or other route of administration with one field dose of live vaccine, or subcutaneously or intramuscularly with one dose (usually 0.5 ml) of bacterin. A similar group of unvaccinated chickens is maintained separately as controls. All chickens should be challenged with a 24-hour broth culture of a virulent strain of MG, 2–3 weeks post-vaccination. A simple challenge method is inoculation of 0.1 ml of the challenge culture into the posterior thoracic air sac. All birds are necropsied 7–10 days post-challenge, and air sac lesions are scored. Alternative methods are to challenge by inoculating 0.1 ml into the infraorbital sinus and examining the birds for nasal discharge from 7 to 14 days post-challenge or to challenge by aerosol and measure the thickness of the tracheal mucosa on microscopic sections at four to six equidistant predetermined points </w:t>
      </w:r>
      <w:r w:rsidRPr="00E163F0">
        <w:rPr>
          <w:rFonts w:eastAsia="MS Mincho"/>
        </w:rPr>
        <w:t>(</w:t>
      </w:r>
      <w:r w:rsidR="00572B91" w:rsidRPr="00572B91">
        <w:t>Whithear, 1996</w:t>
      </w:r>
      <w:r w:rsidRPr="00E163F0">
        <w:rPr>
          <w:rFonts w:eastAsia="MS Mincho"/>
        </w:rPr>
        <w:t>)</w:t>
      </w:r>
      <w:r w:rsidRPr="00E163F0">
        <w:t>.</w:t>
      </w:r>
    </w:p>
    <w:p w14:paraId="568F62D2" w14:textId="64B4CDD8" w:rsidR="00186891" w:rsidRDefault="00557776" w:rsidP="00557776">
      <w:pPr>
        <w:pStyle w:val="11"/>
      </w:pPr>
      <w:r>
        <w:t>1.4</w:t>
      </w:r>
      <w:r w:rsidR="00186891" w:rsidRPr="00E163F0">
        <w:t>.</w:t>
      </w:r>
      <w:r w:rsidR="00186891" w:rsidRPr="00E163F0">
        <w:tab/>
        <w:t>Method of manufacture</w:t>
      </w:r>
    </w:p>
    <w:p w14:paraId="0749C1A5" w14:textId="41031712" w:rsidR="00557776" w:rsidRPr="00557776" w:rsidRDefault="00557776" w:rsidP="00557776">
      <w:pPr>
        <w:pStyle w:val="111"/>
        <w:rPr>
          <w:u w:val="double"/>
        </w:rPr>
      </w:pPr>
      <w:r w:rsidRPr="00557776">
        <w:rPr>
          <w:u w:val="double"/>
        </w:rPr>
        <w:t>1.4.1.</w:t>
      </w:r>
      <w:r w:rsidRPr="00557776">
        <w:rPr>
          <w:u w:val="double"/>
        </w:rPr>
        <w:tab/>
        <w:t>Procedure</w:t>
      </w:r>
    </w:p>
    <w:p w14:paraId="55CEE42F" w14:textId="77777777" w:rsidR="00186891" w:rsidRPr="00E163F0" w:rsidRDefault="00186891" w:rsidP="00557776">
      <w:pPr>
        <w:pStyle w:val="111Para"/>
      </w:pPr>
      <w:r w:rsidRPr="00E163F0">
        <w:t>The vaccine must be manufactured in suitable clean and secure accommodation, well separated from diagnostic facilities or commercial poultry. Special care must be taken to avoid MG contamination of other products manufactured in the same facility.</w:t>
      </w:r>
    </w:p>
    <w:p w14:paraId="7D14CD5E" w14:textId="77777777" w:rsidR="00186891" w:rsidRPr="00E163F0" w:rsidRDefault="00186891" w:rsidP="00557776">
      <w:pPr>
        <w:pStyle w:val="111Para"/>
      </w:pPr>
      <w:r w:rsidRPr="00E163F0">
        <w:lastRenderedPageBreak/>
        <w:t>Production of vaccine should be on a seed-lot system, using a suitable MG strain of known origin, passage history, and purity. The growth medium is similar to that given above. The serum used in the growth medium should be inactivated at 56°C for 1 hour to prevent contamination with any mycoplasma</w:t>
      </w:r>
      <w:r w:rsidRPr="00557776">
        <w:rPr>
          <w:strike/>
        </w:rPr>
        <w:t>l organism</w:t>
      </w:r>
      <w:r w:rsidRPr="00720EAB">
        <w:t xml:space="preserve"> </w:t>
      </w:r>
      <w:r w:rsidRPr="00E163F0">
        <w:t>that may be present, and filter sterilised. A source of SPF serum is desirable.</w:t>
      </w:r>
    </w:p>
    <w:p w14:paraId="22177760" w14:textId="77777777" w:rsidR="00186891" w:rsidRPr="00E163F0" w:rsidRDefault="00186891" w:rsidP="00557776">
      <w:pPr>
        <w:pStyle w:val="111Para"/>
      </w:pPr>
      <w:r w:rsidRPr="00E163F0">
        <w:t>Broth medium is inoculated, with a rapidly growing inoculum, at a rate of approximately 5% (v/v). Incubation is at 37°C. Production can be in batches using large flasks or in a fermenter. In batch cultures, harvest is approximately 24 hours after inoculation. Live vaccines are preserved by lyophilisation or by freezing at –70°C, in liquid nitrogen, or on dry ice.</w:t>
      </w:r>
    </w:p>
    <w:p w14:paraId="794B6AD3" w14:textId="2F2AAB46" w:rsidR="00186891" w:rsidRDefault="00186891" w:rsidP="00557776">
      <w:pPr>
        <w:pStyle w:val="111Para"/>
      </w:pPr>
      <w:r w:rsidRPr="00E163F0">
        <w:t>For bacterin production, the antigen must be concentrated, usually by centrifugation, ultrafiltration, or other suitable method. Bacterins are made as water-in-oil emulsions, typically 80% mineral oil, 20% aqueous, with suitable emulsifying agents.</w:t>
      </w:r>
    </w:p>
    <w:p w14:paraId="12F97200" w14:textId="59CFAA34" w:rsidR="00557776" w:rsidRPr="00C73F42" w:rsidRDefault="00557776" w:rsidP="00C73F42">
      <w:pPr>
        <w:pStyle w:val="111"/>
        <w:rPr>
          <w:u w:val="double"/>
        </w:rPr>
      </w:pPr>
      <w:r w:rsidRPr="00C73F42">
        <w:rPr>
          <w:u w:val="double"/>
        </w:rPr>
        <w:t>1.4.2.</w:t>
      </w:r>
      <w:r w:rsidRPr="00C73F42">
        <w:rPr>
          <w:u w:val="double"/>
        </w:rPr>
        <w:tab/>
      </w:r>
      <w:r w:rsidR="00C73F42" w:rsidRPr="00C73F42">
        <w:rPr>
          <w:u w:val="double"/>
        </w:rPr>
        <w:t>Requirements for ingredients</w:t>
      </w:r>
    </w:p>
    <w:p w14:paraId="07F14697" w14:textId="4EF6160D" w:rsidR="00557776" w:rsidRPr="00C73F42" w:rsidRDefault="00C73F42" w:rsidP="00557776">
      <w:pPr>
        <w:pStyle w:val="111Para"/>
        <w:rPr>
          <w:u w:val="double"/>
        </w:rPr>
      </w:pPr>
      <w:r w:rsidRPr="00C73F42">
        <w:rPr>
          <w:rFonts w:eastAsia="Times New Roman"/>
          <w:u w:val="double"/>
          <w:lang w:eastAsia="fr-FR"/>
        </w:rPr>
        <w:t>See Chapter 1.1.8 with special focus on products of biological origin originating from a country with negligible risk for transmissible spongiform encephalopathies.</w:t>
      </w:r>
    </w:p>
    <w:p w14:paraId="5D4E0F65" w14:textId="4516F97F" w:rsidR="00186891" w:rsidRPr="00E163F0" w:rsidRDefault="00C73F42" w:rsidP="00C73F42">
      <w:pPr>
        <w:pStyle w:val="111"/>
      </w:pPr>
      <w:r>
        <w:t>1.4.</w:t>
      </w:r>
      <w:r w:rsidR="00186891" w:rsidRPr="00E163F0">
        <w:t>3.</w:t>
      </w:r>
      <w:r w:rsidR="00186891" w:rsidRPr="00E163F0">
        <w:tab/>
        <w:t>In-process control</w:t>
      </w:r>
    </w:p>
    <w:p w14:paraId="16B18184" w14:textId="19A8F24F" w:rsidR="00EF16EF" w:rsidRDefault="00C73F42" w:rsidP="00C73F42">
      <w:pPr>
        <w:pStyle w:val="i"/>
      </w:pPr>
      <w:r>
        <w:t>i)</w:t>
      </w:r>
      <w:r>
        <w:tab/>
      </w:r>
      <w:r w:rsidR="00EF16EF">
        <w:t>Antigen content</w:t>
      </w:r>
    </w:p>
    <w:p w14:paraId="32C2670A" w14:textId="77777777" w:rsidR="00186891" w:rsidRPr="00E163F0" w:rsidRDefault="00186891" w:rsidP="00C73F42">
      <w:pPr>
        <w:pStyle w:val="afourthpara"/>
      </w:pPr>
      <w:r w:rsidRPr="00E163F0">
        <w:t>At harvest, the titre should be from 10</w:t>
      </w:r>
      <w:r w:rsidRPr="00E51C77">
        <w:rPr>
          <w:vertAlign w:val="superscript"/>
        </w:rPr>
        <w:t>8</w:t>
      </w:r>
      <w:r w:rsidRPr="00E163F0">
        <w:t xml:space="preserve"> to 10</w:t>
      </w:r>
      <w:r w:rsidRPr="00E51C77">
        <w:rPr>
          <w:vertAlign w:val="superscript"/>
        </w:rPr>
        <w:t>9 </w:t>
      </w:r>
      <w:r w:rsidRPr="00E163F0">
        <w:t>CFU/ml. The antigen concentration of bacterins is difficult to standardise but may be based on packed cell volume, which is typically 1% (v/v) packed cells in the final product.</w:t>
      </w:r>
    </w:p>
    <w:p w14:paraId="66F7CC6A" w14:textId="6AE010F9" w:rsidR="00EF16EF" w:rsidRDefault="00C73F42" w:rsidP="00C73F42">
      <w:pPr>
        <w:pStyle w:val="i"/>
      </w:pPr>
      <w:r>
        <w:t>ii)</w:t>
      </w:r>
      <w:r>
        <w:tab/>
      </w:r>
      <w:r w:rsidR="00EF16EF">
        <w:t>Inactivation of killed vaccines</w:t>
      </w:r>
    </w:p>
    <w:p w14:paraId="4B69D9EC" w14:textId="77777777" w:rsidR="00186891" w:rsidRPr="00E163F0" w:rsidRDefault="00EF16EF" w:rsidP="00C73F42">
      <w:pPr>
        <w:pStyle w:val="afourthpara"/>
      </w:pPr>
      <w:r>
        <w:t>I</w:t>
      </w:r>
      <w:r w:rsidR="00186891" w:rsidRPr="00E163F0">
        <w:t>nactivation is frequently done with either beta-propiolactone or formaldehyde. The inactivating agent and the inactivation procedure must be shown under the conditions of vaccine manufacture to inactivate the vaccine organism and potential contaminants.</w:t>
      </w:r>
    </w:p>
    <w:p w14:paraId="36D9FD4A" w14:textId="77777777" w:rsidR="00186891" w:rsidRPr="00E163F0" w:rsidRDefault="00186891" w:rsidP="00C73F42">
      <w:pPr>
        <w:pStyle w:val="afourthpara"/>
      </w:pPr>
      <w:r w:rsidRPr="00E163F0">
        <w:t>Prior to inactivation, care should be taken to ensure a homogeneous suspension free from particles that may not be penetrated by the inactivating agent. A test for inactivation should be carried out by culture in mycoplasma broth on each batch of both the bulk harvest after inactivation and the final product. No evidence of growth of mycoplasma should be observed.</w:t>
      </w:r>
    </w:p>
    <w:p w14:paraId="63D6CF74" w14:textId="612C92E8" w:rsidR="00EF16EF" w:rsidRDefault="00C73F42" w:rsidP="00C73F42">
      <w:pPr>
        <w:pStyle w:val="i"/>
      </w:pPr>
      <w:r>
        <w:t>iii)</w:t>
      </w:r>
      <w:r>
        <w:tab/>
      </w:r>
      <w:r w:rsidR="00EF16EF">
        <w:t>Sterility of killed vaccines</w:t>
      </w:r>
    </w:p>
    <w:p w14:paraId="42E19199" w14:textId="77777777" w:rsidR="00186891" w:rsidRPr="00E163F0" w:rsidRDefault="00186891" w:rsidP="00C73F42">
      <w:pPr>
        <w:pStyle w:val="afourthpara"/>
      </w:pPr>
      <w:r w:rsidRPr="00E163F0">
        <w:t>Oil used in the vaccine must be sterilised by heating at 160°C for 1 hour, or by filtration, and the procedure must be shown to be effective. Tests appropriate to oil-emulsion vaccines are carried out on each batch of final vaccine as described, for example, in the British Pharmacopoeia (Veterinary) 1985.</w:t>
      </w:r>
    </w:p>
    <w:p w14:paraId="629B691B" w14:textId="72A2E19D" w:rsidR="00186891" w:rsidRPr="00E163F0" w:rsidRDefault="00C73F42" w:rsidP="00C73F42">
      <w:pPr>
        <w:pStyle w:val="111"/>
      </w:pPr>
      <w:r>
        <w:t>1.4.4</w:t>
      </w:r>
      <w:r w:rsidR="00186891" w:rsidRPr="00E163F0">
        <w:t>.</w:t>
      </w:r>
      <w:r w:rsidR="00186891" w:rsidRPr="00E163F0">
        <w:tab/>
        <w:t>Batch control</w:t>
      </w:r>
    </w:p>
    <w:p w14:paraId="7F1C186E" w14:textId="7B5860DE" w:rsidR="00186891" w:rsidRPr="00E163F0" w:rsidRDefault="00C73F42" w:rsidP="00C73F42">
      <w:pPr>
        <w:pStyle w:val="i"/>
      </w:pPr>
      <w:r>
        <w:t>i)</w:t>
      </w:r>
      <w:r w:rsidR="00186891" w:rsidRPr="00E163F0">
        <w:tab/>
        <w:t>Sterility</w:t>
      </w:r>
    </w:p>
    <w:p w14:paraId="73E23C2E" w14:textId="77777777" w:rsidR="00186891" w:rsidRPr="00E163F0" w:rsidRDefault="00186891" w:rsidP="00C73F42">
      <w:pPr>
        <w:pStyle w:val="afourthpara"/>
      </w:pPr>
      <w:r w:rsidRPr="00E163F0">
        <w:t xml:space="preserve">Tests for sterility and freedom from contamination </w:t>
      </w:r>
      <w:r w:rsidR="00E51C77" w:rsidRPr="00E163F0">
        <w:t xml:space="preserve">of biological materials </w:t>
      </w:r>
      <w:r w:rsidR="00E51C77">
        <w:t xml:space="preserve">intended for veterinary use </w:t>
      </w:r>
      <w:r w:rsidRPr="00E163F0">
        <w:t>may be found in Chapter 1.1.</w:t>
      </w:r>
      <w:r w:rsidR="000136F7">
        <w:t>9</w:t>
      </w:r>
      <w:r w:rsidRPr="00E163F0">
        <w:t>.</w:t>
      </w:r>
    </w:p>
    <w:p w14:paraId="492B933E" w14:textId="686AF04A" w:rsidR="00186891" w:rsidRPr="00E163F0" w:rsidRDefault="00C73F42" w:rsidP="00C73F42">
      <w:pPr>
        <w:pStyle w:val="i"/>
      </w:pPr>
      <w:r>
        <w:t>ii)</w:t>
      </w:r>
      <w:r w:rsidR="00186891" w:rsidRPr="00E163F0">
        <w:tab/>
        <w:t>Safety</w:t>
      </w:r>
    </w:p>
    <w:p w14:paraId="27BC85F8" w14:textId="27A861FE" w:rsidR="00186891" w:rsidRPr="00E163F0" w:rsidRDefault="00EE19BD" w:rsidP="00EE19BD">
      <w:pPr>
        <w:pStyle w:val="ififthlevel"/>
      </w:pPr>
      <w:r>
        <w:t>a)</w:t>
      </w:r>
      <w:r w:rsidR="00186891" w:rsidRPr="00E163F0">
        <w:tab/>
        <w:t>Live vaccine safety test</w:t>
      </w:r>
    </w:p>
    <w:p w14:paraId="066C49C6" w14:textId="77777777" w:rsidR="00186891" w:rsidRPr="00E163F0" w:rsidRDefault="00186891" w:rsidP="00EE19BD">
      <w:pPr>
        <w:pStyle w:val="ififthpara"/>
      </w:pPr>
      <w:r w:rsidRPr="00E163F0">
        <w:t>The birds vaccinated in the efficacy test given above can be used to evaluate the safety of the vaccine.</w:t>
      </w:r>
    </w:p>
    <w:p w14:paraId="0356D9C5" w14:textId="2993A816" w:rsidR="00186891" w:rsidRPr="00E163F0" w:rsidRDefault="00EE19BD" w:rsidP="00EE19BD">
      <w:pPr>
        <w:pStyle w:val="ififthlevel"/>
      </w:pPr>
      <w:r>
        <w:t>b)</w:t>
      </w:r>
      <w:r w:rsidR="00186891" w:rsidRPr="00E163F0">
        <w:tab/>
        <w:t>Killed vaccine safety test</w:t>
      </w:r>
    </w:p>
    <w:p w14:paraId="35ED0DD1" w14:textId="77777777" w:rsidR="00186891" w:rsidRPr="00E163F0" w:rsidRDefault="00186891" w:rsidP="00EE19BD">
      <w:pPr>
        <w:pStyle w:val="ififthpara"/>
      </w:pPr>
      <w:r w:rsidRPr="00E163F0">
        <w:t>Birds vaccinated in the efficacy test described above may be observed for adverse local or systemic effects.</w:t>
      </w:r>
    </w:p>
    <w:p w14:paraId="6237EE0E" w14:textId="69AF6526" w:rsidR="00186891" w:rsidRPr="00E163F0" w:rsidRDefault="00C73F42" w:rsidP="00C73F42">
      <w:pPr>
        <w:pStyle w:val="i"/>
      </w:pPr>
      <w:r>
        <w:t>iii)</w:t>
      </w:r>
      <w:r w:rsidR="00186891" w:rsidRPr="00E163F0">
        <w:tab/>
      </w:r>
      <w:r w:rsidRPr="00C73F42">
        <w:rPr>
          <w:u w:val="double"/>
        </w:rPr>
        <w:t>Batch</w:t>
      </w:r>
      <w:r>
        <w:t xml:space="preserve"> </w:t>
      </w:r>
      <w:r w:rsidRPr="00E163F0">
        <w:t>potency</w:t>
      </w:r>
    </w:p>
    <w:p w14:paraId="16B474D7" w14:textId="43804F00" w:rsidR="00186891" w:rsidRPr="00E163F0" w:rsidRDefault="00186891" w:rsidP="00EE19BD">
      <w:pPr>
        <w:pStyle w:val="afourthpara"/>
      </w:pPr>
      <w:r w:rsidRPr="00E163F0">
        <w:t xml:space="preserve">Potency tests for both live and killed vaccine can be conducted by the procedures given above for the efficacy test. The titre of live vaccines should be sufficient to induce infection </w:t>
      </w:r>
      <w:r w:rsidRPr="00E163F0">
        <w:lastRenderedPageBreak/>
        <w:t>by the route recommended</w:t>
      </w:r>
      <w:r w:rsidR="00EE19BD">
        <w:t xml:space="preserve"> </w:t>
      </w:r>
      <w:r w:rsidR="00EE19BD" w:rsidRPr="00EE19BD">
        <w:rPr>
          <w:u w:val="double"/>
        </w:rPr>
        <w:t>by producers per dose per bird to last until the expiry date</w:t>
      </w:r>
      <w:r w:rsidR="00EE19BD">
        <w:rPr>
          <w:u w:val="double"/>
        </w:rPr>
        <w:t>.</w:t>
      </w:r>
      <w:r w:rsidRPr="00E163F0">
        <w:t xml:space="preserve"> </w:t>
      </w:r>
      <w:r w:rsidRPr="00EE19BD">
        <w:rPr>
          <w:strike/>
        </w:rPr>
        <w:t>10</w:t>
      </w:r>
      <w:r w:rsidRPr="00EE19BD">
        <w:rPr>
          <w:strike/>
          <w:vertAlign w:val="superscript"/>
        </w:rPr>
        <w:t>5 </w:t>
      </w:r>
      <w:r w:rsidRPr="00EE19BD">
        <w:rPr>
          <w:strike/>
        </w:rPr>
        <w:t>CFU/dose is sufficient for eyedrop administration of live F strain vaccine. The recommended dose of ts-11 is ≥ 10</w:t>
      </w:r>
      <w:r w:rsidRPr="00EE19BD">
        <w:rPr>
          <w:strike/>
          <w:vertAlign w:val="superscript"/>
        </w:rPr>
        <w:t>7.7 </w:t>
      </w:r>
      <w:r w:rsidRPr="00EE19BD">
        <w:rPr>
          <w:strike/>
        </w:rPr>
        <w:t>colour changing units (CCU)/dose and for 6/85 a dose of 10</w:t>
      </w:r>
      <w:r w:rsidRPr="00EE19BD">
        <w:rPr>
          <w:strike/>
          <w:vertAlign w:val="superscript"/>
        </w:rPr>
        <w:t>7</w:t>
      </w:r>
      <w:r w:rsidRPr="00EE19BD">
        <w:rPr>
          <w:strike/>
        </w:rPr>
        <w:t>–10</w:t>
      </w:r>
      <w:r w:rsidRPr="00EE19BD">
        <w:rPr>
          <w:strike/>
          <w:vertAlign w:val="superscript"/>
        </w:rPr>
        <w:t>8 </w:t>
      </w:r>
      <w:r w:rsidRPr="00EE19BD">
        <w:rPr>
          <w:strike/>
        </w:rPr>
        <w:t>CFU was effective in challenge trials. For MS-H, doses of ≥ 4.8 × 10</w:t>
      </w:r>
      <w:r w:rsidRPr="00EE19BD">
        <w:rPr>
          <w:strike/>
          <w:vertAlign w:val="superscript"/>
        </w:rPr>
        <w:t>5</w:t>
      </w:r>
      <w:r w:rsidRPr="00EE19BD">
        <w:rPr>
          <w:strike/>
        </w:rPr>
        <w:t xml:space="preserve"> were shown to be effective.</w:t>
      </w:r>
    </w:p>
    <w:p w14:paraId="23F32935" w14:textId="77777777" w:rsidR="00186891" w:rsidRPr="00EE19BD" w:rsidRDefault="00D609A7" w:rsidP="009419E4">
      <w:pPr>
        <w:pStyle w:val="11"/>
        <w:keepNext/>
        <w:rPr>
          <w:strike/>
        </w:rPr>
      </w:pPr>
      <w:r w:rsidRPr="00EE19BD">
        <w:rPr>
          <w:strike/>
        </w:rPr>
        <w:t>4.4.</w:t>
      </w:r>
      <w:r w:rsidR="00186891" w:rsidRPr="00EE19BD">
        <w:rPr>
          <w:strike/>
        </w:rPr>
        <w:tab/>
        <w:t>Duration of immunity (killed vaccine)</w:t>
      </w:r>
    </w:p>
    <w:p w14:paraId="4280AC92" w14:textId="77777777" w:rsidR="00186891" w:rsidRPr="00EE19BD" w:rsidRDefault="00186891" w:rsidP="00A844BE">
      <w:pPr>
        <w:pStyle w:val="11Para"/>
        <w:rPr>
          <w:strike/>
        </w:rPr>
      </w:pPr>
      <w:r w:rsidRPr="00EE19BD">
        <w:rPr>
          <w:strike/>
        </w:rPr>
        <w:t>Because flocks are generally exposed within 1–2 months after vaccination, duration of immunity is not a primary consideration. After field challenge, resistance is considered to be permanent.</w:t>
      </w:r>
    </w:p>
    <w:p w14:paraId="5D694078" w14:textId="58AA01F4" w:rsidR="00186891" w:rsidRPr="00E163F0" w:rsidRDefault="00EE19BD" w:rsidP="00EE19BD">
      <w:pPr>
        <w:pStyle w:val="i"/>
      </w:pPr>
      <w:r>
        <w:t>iv)</w:t>
      </w:r>
      <w:r w:rsidR="00186891" w:rsidRPr="00E163F0">
        <w:tab/>
        <w:t>Stability</w:t>
      </w:r>
    </w:p>
    <w:p w14:paraId="29DB16DC" w14:textId="77777777" w:rsidR="00186891" w:rsidRPr="00E163F0" w:rsidRDefault="00186891" w:rsidP="00EE19BD">
      <w:pPr>
        <w:pStyle w:val="afourthpara"/>
      </w:pPr>
      <w:r w:rsidRPr="00E163F0">
        <w:t>Evidence should be provided on three batches of vaccine to show that the vaccine passes the batch potency test at 3 months beyond the requested shelf life.</w:t>
      </w:r>
    </w:p>
    <w:p w14:paraId="5508B28A" w14:textId="77777777" w:rsidR="00186891" w:rsidRPr="00EE19BD" w:rsidRDefault="00D609A7" w:rsidP="00A844BE">
      <w:pPr>
        <w:pStyle w:val="11"/>
        <w:rPr>
          <w:strike/>
        </w:rPr>
      </w:pPr>
      <w:r w:rsidRPr="00EE19BD">
        <w:rPr>
          <w:strike/>
        </w:rPr>
        <w:t>4.6.</w:t>
      </w:r>
      <w:r w:rsidR="00186891" w:rsidRPr="00EE19BD">
        <w:rPr>
          <w:strike/>
        </w:rPr>
        <w:tab/>
        <w:t>Preservatives</w:t>
      </w:r>
    </w:p>
    <w:p w14:paraId="49B62FF3" w14:textId="77777777" w:rsidR="00186891" w:rsidRPr="00EE19BD" w:rsidRDefault="00186891" w:rsidP="00A844BE">
      <w:pPr>
        <w:pStyle w:val="11Para"/>
        <w:rPr>
          <w:strike/>
        </w:rPr>
      </w:pPr>
      <w:r w:rsidRPr="00EE19BD">
        <w:rPr>
          <w:strike/>
        </w:rPr>
        <w:t xml:space="preserve">A preservative is normally required for vaccine in multidose containers. The concentration of the preservative in the final vaccine and its persistency throughout the shelf life should be checked. </w:t>
      </w:r>
    </w:p>
    <w:p w14:paraId="6D5A529E" w14:textId="63376DED" w:rsidR="00186891" w:rsidRDefault="00186891" w:rsidP="00A844BE">
      <w:pPr>
        <w:pStyle w:val="11Para"/>
        <w:rPr>
          <w:strike/>
        </w:rPr>
      </w:pPr>
      <w:r w:rsidRPr="00EE19BD">
        <w:rPr>
          <w:strike/>
        </w:rPr>
        <w:t>A suitable preservative that has already been established for such purposes should be used. Mycoplasmas are susceptible to many antibacterials except for penicillins; such antibiotics should not be included as preservatives.</w:t>
      </w:r>
    </w:p>
    <w:p w14:paraId="2B1E012D" w14:textId="0712FAEF" w:rsidR="00EE19BD" w:rsidRPr="00EE19BD" w:rsidRDefault="00EE19BD" w:rsidP="00EE19BD">
      <w:pPr>
        <w:pStyle w:val="11"/>
        <w:rPr>
          <w:u w:val="double"/>
        </w:rPr>
      </w:pPr>
      <w:r w:rsidRPr="00EE19BD">
        <w:rPr>
          <w:u w:val="double"/>
        </w:rPr>
        <w:t>1.5.</w:t>
      </w:r>
      <w:bookmarkStart w:id="2" w:name="_Hlk20208739"/>
      <w:r w:rsidRPr="00EE19BD">
        <w:rPr>
          <w:u w:val="double"/>
        </w:rPr>
        <w:tab/>
        <w:t>Requirements for authorisation/registration/licensing</w:t>
      </w:r>
      <w:bookmarkEnd w:id="2"/>
    </w:p>
    <w:p w14:paraId="391FE142" w14:textId="71CD3B57" w:rsidR="00EE19BD" w:rsidRPr="00EE19BD" w:rsidRDefault="00EE19BD" w:rsidP="00EE19BD">
      <w:pPr>
        <w:pStyle w:val="111"/>
        <w:rPr>
          <w:u w:val="double"/>
        </w:rPr>
      </w:pPr>
      <w:r w:rsidRPr="00EE19BD">
        <w:rPr>
          <w:u w:val="double"/>
        </w:rPr>
        <w:t>1.5.1.</w:t>
      </w:r>
      <w:r w:rsidRPr="00EE19BD">
        <w:rPr>
          <w:u w:val="double"/>
        </w:rPr>
        <w:tab/>
        <w:t>Manufacturing process</w:t>
      </w:r>
    </w:p>
    <w:p w14:paraId="17116683" w14:textId="11B098CD" w:rsidR="00EE19BD" w:rsidRPr="00EE19BD" w:rsidRDefault="00EE19BD" w:rsidP="00EE19BD">
      <w:pPr>
        <w:pStyle w:val="111Para"/>
        <w:rPr>
          <w:u w:val="double"/>
        </w:rPr>
      </w:pPr>
      <w:r w:rsidRPr="00EE19BD">
        <w:rPr>
          <w:u w:val="double"/>
        </w:rPr>
        <w:t xml:space="preserve">For </w:t>
      </w:r>
      <w:r w:rsidR="006959BB" w:rsidRPr="00EE19BD">
        <w:rPr>
          <w:u w:val="double"/>
        </w:rPr>
        <w:t xml:space="preserve">vaccine </w:t>
      </w:r>
      <w:r w:rsidRPr="00EE19BD">
        <w:rPr>
          <w:u w:val="double"/>
        </w:rPr>
        <w:t xml:space="preserve">registration, all relevant details concerning manufacture of the vaccine and quality control testing (see Section C.2.1 and 2) should be submitted to the </w:t>
      </w:r>
      <w:r w:rsidR="006959BB" w:rsidRPr="00EE19BD">
        <w:rPr>
          <w:u w:val="double"/>
        </w:rPr>
        <w:t>Authorities</w:t>
      </w:r>
      <w:r w:rsidRPr="00EE19BD">
        <w:rPr>
          <w:u w:val="double"/>
        </w:rPr>
        <w:t xml:space="preserve">. Information </w:t>
      </w:r>
      <w:r w:rsidR="00065929">
        <w:rPr>
          <w:u w:val="double"/>
        </w:rPr>
        <w:t>should</w:t>
      </w:r>
      <w:r w:rsidRPr="00EE19BD">
        <w:rPr>
          <w:u w:val="double"/>
        </w:rPr>
        <w:t xml:space="preserve"> be provided from three consecutive vaccine batches to demonstrate consistency of production.</w:t>
      </w:r>
    </w:p>
    <w:p w14:paraId="119678A6" w14:textId="5671A860" w:rsidR="00EE19BD" w:rsidRPr="00EE19BD" w:rsidRDefault="00EE19BD" w:rsidP="00EE19BD">
      <w:pPr>
        <w:pStyle w:val="111"/>
        <w:rPr>
          <w:u w:val="double"/>
        </w:rPr>
      </w:pPr>
      <w:r w:rsidRPr="00EE19BD">
        <w:rPr>
          <w:u w:val="double"/>
        </w:rPr>
        <w:t>1.5.2.</w:t>
      </w:r>
      <w:r w:rsidRPr="00EE19BD">
        <w:rPr>
          <w:u w:val="double"/>
        </w:rPr>
        <w:tab/>
        <w:t>Safety requirements</w:t>
      </w:r>
    </w:p>
    <w:p w14:paraId="3D207355" w14:textId="4FF1B46D" w:rsidR="00186891" w:rsidRPr="00E163F0" w:rsidRDefault="00EE19BD" w:rsidP="00EE19BD">
      <w:pPr>
        <w:pStyle w:val="i"/>
      </w:pPr>
      <w:r>
        <w:t>i)</w:t>
      </w:r>
      <w:r w:rsidR="00186891" w:rsidRPr="00E163F0">
        <w:tab/>
        <w:t>Precautions (hazards)</w:t>
      </w:r>
    </w:p>
    <w:p w14:paraId="20F54824" w14:textId="77777777" w:rsidR="00186891" w:rsidRPr="00E163F0" w:rsidRDefault="00186891" w:rsidP="00EE19BD">
      <w:pPr>
        <w:pStyle w:val="afourthpara"/>
      </w:pPr>
      <w:r w:rsidRPr="00E163F0">
        <w:t>Oil-emulsion vaccines cause serious injury to the vaccinator if accidentally injected into the hand or other tissues. In the event of such an accident, the person should go at once to a hospital, taking the vaccine package with him or her. Each vaccine bottle and package should be clearly marked with a warning of the serious consequences of accidental self-injection. Such wounds should be treated by the casualty doctor as a ‘grease gun injury’.</w:t>
      </w:r>
    </w:p>
    <w:p w14:paraId="7CDD52C2" w14:textId="77777777" w:rsidR="00186891" w:rsidRPr="00E163F0" w:rsidRDefault="00186891" w:rsidP="00EE19BD">
      <w:pPr>
        <w:pStyle w:val="afourthpara"/>
      </w:pPr>
      <w:r w:rsidRPr="00E163F0">
        <w:t>Personnel vaccinating birds with live virus vaccines by aerosol spray should wear protective clothes and masks.</w:t>
      </w:r>
    </w:p>
    <w:p w14:paraId="07D78691" w14:textId="3FE772A8" w:rsidR="00EE19BD" w:rsidRPr="00EE19BD" w:rsidRDefault="00EE19BD" w:rsidP="00EE19BD">
      <w:pPr>
        <w:pStyle w:val="111"/>
        <w:rPr>
          <w:u w:val="double"/>
        </w:rPr>
      </w:pPr>
      <w:r>
        <w:rPr>
          <w:u w:val="double"/>
        </w:rPr>
        <w:t>1.5</w:t>
      </w:r>
      <w:r w:rsidRPr="00EE19BD">
        <w:rPr>
          <w:u w:val="double"/>
        </w:rPr>
        <w:t>.3.</w:t>
      </w:r>
      <w:r w:rsidRPr="00EE19BD">
        <w:rPr>
          <w:u w:val="double"/>
        </w:rPr>
        <w:tab/>
        <w:t>Efficacy requirements</w:t>
      </w:r>
    </w:p>
    <w:p w14:paraId="72522733" w14:textId="77777777" w:rsidR="00EE19BD" w:rsidRPr="00EE19BD" w:rsidRDefault="00EE19BD" w:rsidP="00EE19BD">
      <w:pPr>
        <w:pStyle w:val="111Para"/>
        <w:rPr>
          <w:u w:val="double"/>
        </w:rPr>
      </w:pPr>
      <w:r w:rsidRPr="00EE19BD">
        <w:rPr>
          <w:u w:val="double"/>
        </w:rPr>
        <w:t>To register a commercial vaccine, a batch or batches produced according to the standard method and containing the minimum amount of antigen or potency value shall prove its efficacy (protection); each future commercial batch shall be tested before release to ensure it has the same potency value demonstrated by the batch(es) used for the efficacy test(s). Each batch of live vaccine should contain sufficient live mycoplasmas per dose per bird to last until the expiry date.</w:t>
      </w:r>
    </w:p>
    <w:p w14:paraId="54B6D2C3" w14:textId="4527EC9C" w:rsidR="00EE19BD" w:rsidRPr="00EE19BD" w:rsidRDefault="00EE19BD" w:rsidP="00EE19BD">
      <w:pPr>
        <w:pStyle w:val="111Para"/>
        <w:rPr>
          <w:u w:val="double"/>
        </w:rPr>
      </w:pPr>
      <w:r w:rsidRPr="00EE19BD">
        <w:rPr>
          <w:u w:val="double"/>
        </w:rPr>
        <w:t>Vaccine efficacy (protection) should be estimated in vaccinated animals directly by evaluating their resistance to challenge.</w:t>
      </w:r>
    </w:p>
    <w:p w14:paraId="51BCD9D5" w14:textId="77777777" w:rsidR="00186891" w:rsidRPr="00EE19BD" w:rsidRDefault="00186891" w:rsidP="00E163F0">
      <w:pPr>
        <w:pStyle w:val="1"/>
        <w:rPr>
          <w:strike/>
        </w:rPr>
      </w:pPr>
      <w:r w:rsidRPr="00EE19BD">
        <w:rPr>
          <w:strike/>
        </w:rPr>
        <w:t>5.</w:t>
      </w:r>
      <w:r w:rsidRPr="00EE19BD">
        <w:rPr>
          <w:strike/>
        </w:rPr>
        <w:tab/>
        <w:t>Tests on the final product</w:t>
      </w:r>
    </w:p>
    <w:p w14:paraId="54FD95DF" w14:textId="77777777" w:rsidR="00186891" w:rsidRPr="00EE19BD" w:rsidRDefault="00D609A7" w:rsidP="00A844BE">
      <w:pPr>
        <w:pStyle w:val="11"/>
        <w:rPr>
          <w:strike/>
        </w:rPr>
      </w:pPr>
      <w:r w:rsidRPr="00EE19BD">
        <w:rPr>
          <w:strike/>
        </w:rPr>
        <w:t>5.1.</w:t>
      </w:r>
      <w:r w:rsidR="00186891" w:rsidRPr="00EE19BD">
        <w:rPr>
          <w:strike/>
        </w:rPr>
        <w:tab/>
        <w:t>Safety</w:t>
      </w:r>
    </w:p>
    <w:p w14:paraId="1F6B6F85" w14:textId="77777777" w:rsidR="00186891" w:rsidRPr="00EE19BD" w:rsidRDefault="00186891" w:rsidP="00A844BE">
      <w:pPr>
        <w:pStyle w:val="11Para"/>
        <w:rPr>
          <w:strike/>
        </w:rPr>
      </w:pPr>
      <w:r w:rsidRPr="00EE19BD">
        <w:rPr>
          <w:strike/>
        </w:rPr>
        <w:t>See Section C.4.</w:t>
      </w:r>
      <w:r w:rsidR="00EF16EF" w:rsidRPr="00EE19BD">
        <w:rPr>
          <w:strike/>
        </w:rPr>
        <w:t>2</w:t>
      </w:r>
      <w:r w:rsidRPr="00EE19BD">
        <w:rPr>
          <w:strike/>
        </w:rPr>
        <w:t>.</w:t>
      </w:r>
    </w:p>
    <w:p w14:paraId="77A1FD2E" w14:textId="77777777" w:rsidR="00186891" w:rsidRPr="00EE19BD" w:rsidRDefault="00D609A7" w:rsidP="00A844BE">
      <w:pPr>
        <w:pStyle w:val="11"/>
        <w:rPr>
          <w:strike/>
        </w:rPr>
      </w:pPr>
      <w:r w:rsidRPr="00EE19BD">
        <w:rPr>
          <w:strike/>
        </w:rPr>
        <w:lastRenderedPageBreak/>
        <w:t>5.2.</w:t>
      </w:r>
      <w:r w:rsidR="00186891" w:rsidRPr="00EE19BD">
        <w:rPr>
          <w:strike/>
        </w:rPr>
        <w:tab/>
        <w:t>Potency</w:t>
      </w:r>
    </w:p>
    <w:p w14:paraId="1C7AD2F0" w14:textId="77777777" w:rsidR="00186891" w:rsidRPr="00EE19BD" w:rsidRDefault="00186891" w:rsidP="00A844BE">
      <w:pPr>
        <w:pStyle w:val="11Para"/>
        <w:spacing w:after="480"/>
        <w:rPr>
          <w:strike/>
        </w:rPr>
      </w:pPr>
      <w:r w:rsidRPr="00EE19BD">
        <w:rPr>
          <w:strike/>
        </w:rPr>
        <w:t>See Section C.4.</w:t>
      </w:r>
      <w:r w:rsidR="00EF16EF" w:rsidRPr="00EE19BD">
        <w:rPr>
          <w:strike/>
        </w:rPr>
        <w:t>3</w:t>
      </w:r>
      <w:r w:rsidRPr="00EE19BD">
        <w:rPr>
          <w:strike/>
        </w:rPr>
        <w:t>.</w:t>
      </w:r>
    </w:p>
    <w:p w14:paraId="2EFAF32B" w14:textId="77777777" w:rsidR="00186891" w:rsidRPr="00E163F0" w:rsidRDefault="00186891" w:rsidP="00E163F0">
      <w:pPr>
        <w:pStyle w:val="Referencetitle"/>
      </w:pPr>
      <w:r w:rsidRPr="00E163F0">
        <w:t>REFERENCES</w:t>
      </w:r>
    </w:p>
    <w:p w14:paraId="01E4A34B" w14:textId="088114B4" w:rsidR="00AA6A31" w:rsidRPr="00E90E7F" w:rsidRDefault="00AA6A31" w:rsidP="00AA6A31">
      <w:pPr>
        <w:pStyle w:val="Ref"/>
        <w:ind w:left="0" w:firstLine="0"/>
        <w:rPr>
          <w:smallCaps/>
          <w:u w:val="double"/>
        </w:rPr>
      </w:pPr>
      <w:r w:rsidRPr="00E90E7F">
        <w:rPr>
          <w:smallCaps/>
          <w:u w:val="double"/>
        </w:rPr>
        <w:t>Abolnik C. &amp; Gouws J. (2014).</w:t>
      </w:r>
      <w:r w:rsidRPr="00E90E7F">
        <w:rPr>
          <w:u w:val="double"/>
        </w:rPr>
        <w:t xml:space="preserve"> Extended survival times of </w:t>
      </w:r>
      <w:r w:rsidRPr="009A0D1F">
        <w:rPr>
          <w:i/>
          <w:u w:val="double"/>
        </w:rPr>
        <w:t>Mycoplasma gallisepticum</w:t>
      </w:r>
      <w:r w:rsidRPr="00E90E7F">
        <w:rPr>
          <w:u w:val="double"/>
        </w:rPr>
        <w:t xml:space="preserve"> and </w:t>
      </w:r>
      <w:r w:rsidRPr="009A0D1F">
        <w:rPr>
          <w:i/>
          <w:u w:val="double"/>
        </w:rPr>
        <w:t>Mycoplasma synoviae</w:t>
      </w:r>
      <w:r w:rsidRPr="00E90E7F">
        <w:rPr>
          <w:u w:val="double"/>
        </w:rPr>
        <w:t xml:space="preserve"> on kanekalon synthetic hair fibres. </w:t>
      </w:r>
      <w:r w:rsidRPr="00E90E7F">
        <w:rPr>
          <w:i/>
          <w:u w:val="double"/>
        </w:rPr>
        <w:t>Poult. Sci.</w:t>
      </w:r>
      <w:r w:rsidRPr="00E90E7F">
        <w:rPr>
          <w:u w:val="double"/>
        </w:rPr>
        <w:t xml:space="preserve">, </w:t>
      </w:r>
      <w:r w:rsidRPr="00E90E7F">
        <w:rPr>
          <w:b/>
          <w:u w:val="double"/>
        </w:rPr>
        <w:t>93</w:t>
      </w:r>
      <w:r w:rsidRPr="00E90E7F">
        <w:rPr>
          <w:u w:val="double"/>
        </w:rPr>
        <w:t>, 8–11 (doi: 10.3382/ps.2013-03457).</w:t>
      </w:r>
    </w:p>
    <w:p w14:paraId="6C4F7204" w14:textId="77777777" w:rsidR="00186891" w:rsidRDefault="00186891" w:rsidP="00D41FBE">
      <w:pPr>
        <w:pStyle w:val="Ref"/>
        <w:ind w:left="0" w:firstLine="0"/>
      </w:pPr>
      <w:r w:rsidRPr="00E163F0">
        <w:rPr>
          <w:smallCaps/>
        </w:rPr>
        <w:t>Allan W.H. &amp; Gough R.E.</w:t>
      </w:r>
      <w:r w:rsidRPr="00E163F0">
        <w:t xml:space="preserve"> (1974). A standard haemagglutination test for Newcastle disease. 1. A comparison of macro and micro methods. </w:t>
      </w:r>
      <w:r w:rsidRPr="00E163F0">
        <w:rPr>
          <w:i/>
        </w:rPr>
        <w:t>Vet. Rec.</w:t>
      </w:r>
      <w:r w:rsidRPr="00E163F0">
        <w:t xml:space="preserve">, </w:t>
      </w:r>
      <w:r w:rsidRPr="00E163F0">
        <w:rPr>
          <w:b/>
        </w:rPr>
        <w:t>95</w:t>
      </w:r>
      <w:r w:rsidRPr="00E163F0">
        <w:t>, 120–123.</w:t>
      </w:r>
    </w:p>
    <w:p w14:paraId="37778DE9" w14:textId="02ACA04D" w:rsidR="00AA6A31" w:rsidRPr="00E90E7F" w:rsidRDefault="00AA6A31" w:rsidP="00AA6A31">
      <w:pPr>
        <w:pStyle w:val="Ref"/>
        <w:ind w:left="0" w:firstLine="0"/>
        <w:rPr>
          <w:smallCaps/>
          <w:u w:val="double"/>
        </w:rPr>
      </w:pPr>
      <w:r w:rsidRPr="006F7FF5">
        <w:rPr>
          <w:smallCaps/>
          <w:u w:val="double"/>
          <w:lang w:val="en-IE"/>
        </w:rPr>
        <w:t>Armour N.K. &amp; Ferguson-Noel N. (2015).</w:t>
      </w:r>
      <w:r w:rsidRPr="006F7FF5">
        <w:rPr>
          <w:u w:val="double"/>
          <w:lang w:val="en-IE"/>
        </w:rPr>
        <w:t xml:space="preserve"> </w:t>
      </w:r>
      <w:r w:rsidRPr="00E90E7F">
        <w:rPr>
          <w:u w:val="double"/>
        </w:rPr>
        <w:t xml:space="preserve">Evaluation of the egg transmission and pathogenicity of </w:t>
      </w:r>
      <w:r w:rsidRPr="009A0D1F">
        <w:rPr>
          <w:i/>
          <w:u w:val="double"/>
        </w:rPr>
        <w:t>Mycoplasma gallisepticum</w:t>
      </w:r>
      <w:r w:rsidRPr="00E90E7F">
        <w:rPr>
          <w:u w:val="double"/>
        </w:rPr>
        <w:t xml:space="preserve"> isolates genotyped as ts-11. </w:t>
      </w:r>
      <w:r w:rsidRPr="00E90E7F">
        <w:rPr>
          <w:i/>
          <w:u w:val="double"/>
        </w:rPr>
        <w:t>Avian Pathol.</w:t>
      </w:r>
      <w:r w:rsidRPr="00E90E7F">
        <w:rPr>
          <w:u w:val="double"/>
        </w:rPr>
        <w:t xml:space="preserve">, </w:t>
      </w:r>
      <w:r w:rsidRPr="00E90E7F">
        <w:rPr>
          <w:b/>
          <w:u w:val="double"/>
        </w:rPr>
        <w:t>44</w:t>
      </w:r>
      <w:r w:rsidRPr="00E90E7F">
        <w:rPr>
          <w:u w:val="double"/>
        </w:rPr>
        <w:t>, 296–304 (doi: 10.1080/03079457.2015.1044890).</w:t>
      </w:r>
    </w:p>
    <w:p w14:paraId="3ED5E28A" w14:textId="77777777" w:rsidR="00186891" w:rsidRPr="00AA6A31" w:rsidRDefault="00186891" w:rsidP="00D41FBE">
      <w:pPr>
        <w:pStyle w:val="Ref"/>
        <w:ind w:left="0" w:firstLine="0"/>
        <w:rPr>
          <w:strike/>
        </w:rPr>
      </w:pPr>
      <w:r w:rsidRPr="00AA6A31">
        <w:rPr>
          <w:smallCaps/>
          <w:strike/>
        </w:rPr>
        <w:t>Bradbury</w:t>
      </w:r>
      <w:r w:rsidRPr="00AA6A31">
        <w:rPr>
          <w:strike/>
        </w:rPr>
        <w:t xml:space="preserve"> J.M. (2001). Avian mycoplasmas. </w:t>
      </w:r>
      <w:r w:rsidRPr="00AA6A31">
        <w:rPr>
          <w:i/>
          <w:strike/>
        </w:rPr>
        <w:t>In</w:t>
      </w:r>
      <w:r w:rsidRPr="00AA6A31">
        <w:rPr>
          <w:strike/>
        </w:rPr>
        <w:t>: Poultry Diseases, Fifth Edition, Jordan F., Pattison M., Alexander D. &amp; Faragher T., eds. W.B. Saunders, London, UK, 178–193.</w:t>
      </w:r>
    </w:p>
    <w:p w14:paraId="2E608EF1" w14:textId="77777777" w:rsidR="00186891" w:rsidRPr="00E163F0" w:rsidRDefault="00186891" w:rsidP="00D41FBE">
      <w:pPr>
        <w:pStyle w:val="Ref"/>
        <w:ind w:left="0" w:firstLine="0"/>
      </w:pPr>
      <w:r w:rsidRPr="00E163F0">
        <w:rPr>
          <w:smallCaps/>
        </w:rPr>
        <w:t>Bradbury</w:t>
      </w:r>
      <w:r w:rsidRPr="00E163F0">
        <w:t xml:space="preserve"> J.M. (2005). Workshop of European Mycoplasma Specialists. </w:t>
      </w:r>
      <w:r w:rsidRPr="00E163F0">
        <w:rPr>
          <w:i/>
        </w:rPr>
        <w:t>World Poult. Sci. J.</w:t>
      </w:r>
      <w:r w:rsidRPr="00E163F0">
        <w:t xml:space="preserve">, </w:t>
      </w:r>
      <w:r w:rsidRPr="00E163F0">
        <w:rPr>
          <w:b/>
        </w:rPr>
        <w:t>61</w:t>
      </w:r>
      <w:r w:rsidRPr="00E163F0">
        <w:t>, 355–357.</w:t>
      </w:r>
    </w:p>
    <w:p w14:paraId="49587FFA" w14:textId="77777777" w:rsidR="00186891" w:rsidRPr="006C512E" w:rsidRDefault="00186891" w:rsidP="00D41FBE">
      <w:pPr>
        <w:pStyle w:val="Ref"/>
        <w:ind w:left="0" w:firstLine="0"/>
        <w:rPr>
          <w:strike/>
          <w:lang w:val="es-SV"/>
        </w:rPr>
      </w:pPr>
      <w:r w:rsidRPr="00AA6A31">
        <w:rPr>
          <w:smallCaps/>
          <w:strike/>
        </w:rPr>
        <w:t>Carpenter T.E., Mallinson E.T., Miller K.F., Gentry R.F. &amp; Schwartz L.D</w:t>
      </w:r>
      <w:r w:rsidRPr="00AA6A31">
        <w:rPr>
          <w:strike/>
        </w:rPr>
        <w:t xml:space="preserve">. (1981). Vaccination with F-strain </w:t>
      </w:r>
      <w:r w:rsidRPr="00AA6A31">
        <w:rPr>
          <w:i/>
          <w:strike/>
        </w:rPr>
        <w:t>Mycoplasma gallisepticum</w:t>
      </w:r>
      <w:r w:rsidRPr="00AA6A31">
        <w:rPr>
          <w:strike/>
        </w:rPr>
        <w:t xml:space="preserve"> to reduce production losses in layer chickens. </w:t>
      </w:r>
      <w:r w:rsidRPr="006C512E">
        <w:rPr>
          <w:i/>
          <w:strike/>
          <w:lang w:val="es-SV"/>
        </w:rPr>
        <w:t>Avian Dis.</w:t>
      </w:r>
      <w:r w:rsidRPr="006C512E">
        <w:rPr>
          <w:strike/>
          <w:lang w:val="es-SV"/>
        </w:rPr>
        <w:t xml:space="preserve">, </w:t>
      </w:r>
      <w:r w:rsidRPr="006C512E">
        <w:rPr>
          <w:b/>
          <w:strike/>
          <w:lang w:val="es-SV"/>
        </w:rPr>
        <w:t>25</w:t>
      </w:r>
      <w:r w:rsidRPr="006C512E">
        <w:rPr>
          <w:strike/>
          <w:lang w:val="es-SV"/>
        </w:rPr>
        <w:t>, 404–409.</w:t>
      </w:r>
    </w:p>
    <w:p w14:paraId="635727CC" w14:textId="77777777" w:rsidR="009A0D1F" w:rsidRPr="00A91C54" w:rsidRDefault="009A0D1F" w:rsidP="009A0D1F">
      <w:pPr>
        <w:pStyle w:val="Ref"/>
        <w:ind w:left="0" w:firstLine="0"/>
        <w:rPr>
          <w:smallCaps/>
          <w:u w:val="double"/>
          <w:lang w:val="it-IT"/>
        </w:rPr>
      </w:pPr>
      <w:r w:rsidRPr="00E90E7F">
        <w:rPr>
          <w:smallCaps/>
          <w:u w:val="double"/>
          <w:lang w:val="it-IT"/>
        </w:rPr>
        <w:t xml:space="preserve">Catania S., Bilato D., Gobbo F., Granato A., Terregino C., Iob L. &amp; Nicholas R.A. </w:t>
      </w:r>
      <w:r w:rsidRPr="00E90E7F">
        <w:rPr>
          <w:u w:val="double"/>
          <w:lang w:val="it-IT"/>
        </w:rPr>
        <w:t xml:space="preserve">(2010). </w:t>
      </w:r>
      <w:r w:rsidRPr="00E90E7F">
        <w:rPr>
          <w:u w:val="double"/>
        </w:rPr>
        <w:t xml:space="preserve">Treatment of eggshell abnormalities and reduced egg production caused by </w:t>
      </w:r>
      <w:r w:rsidRPr="009A0D1F">
        <w:rPr>
          <w:i/>
          <w:u w:val="double"/>
        </w:rPr>
        <w:t>Mycoplasma synoviae</w:t>
      </w:r>
      <w:r w:rsidRPr="00E90E7F">
        <w:rPr>
          <w:u w:val="double"/>
        </w:rPr>
        <w:t xml:space="preserve"> infection. </w:t>
      </w:r>
      <w:r w:rsidRPr="00A91C54">
        <w:rPr>
          <w:i/>
          <w:u w:val="double"/>
          <w:lang w:val="it-IT"/>
        </w:rPr>
        <w:t>Avian Dis.</w:t>
      </w:r>
      <w:r w:rsidRPr="00A91C54">
        <w:rPr>
          <w:u w:val="double"/>
          <w:lang w:val="it-IT"/>
        </w:rPr>
        <w:t xml:space="preserve">, </w:t>
      </w:r>
      <w:r w:rsidRPr="00A91C54">
        <w:rPr>
          <w:b/>
          <w:u w:val="double"/>
          <w:lang w:val="it-IT"/>
        </w:rPr>
        <w:t>54</w:t>
      </w:r>
      <w:r w:rsidRPr="00A91C54">
        <w:rPr>
          <w:u w:val="double"/>
          <w:lang w:val="it-IT"/>
        </w:rPr>
        <w:t>, 961–964.</w:t>
      </w:r>
    </w:p>
    <w:p w14:paraId="208C3925" w14:textId="579FD794" w:rsidR="00AA6A31" w:rsidRPr="00E90E7F" w:rsidRDefault="00AA6A31" w:rsidP="00AA6A31">
      <w:pPr>
        <w:pStyle w:val="Ref"/>
        <w:ind w:left="0" w:firstLine="0"/>
        <w:rPr>
          <w:smallCaps/>
          <w:u w:val="double"/>
          <w:lang w:val="it-IT"/>
        </w:rPr>
      </w:pPr>
      <w:r w:rsidRPr="00E90E7F">
        <w:rPr>
          <w:smallCaps/>
          <w:u w:val="double"/>
          <w:lang w:val="it-IT"/>
        </w:rPr>
        <w:t>Catania S., Gobbo F., Bilato D., Gagliazzo L., Moronato M.L., Terregino C., Bradbury J.M. &amp; Ramírez A.S. (2016</w:t>
      </w:r>
      <w:r w:rsidRPr="00E90E7F">
        <w:rPr>
          <w:u w:val="double"/>
          <w:lang w:val="it-IT"/>
        </w:rPr>
        <w:t>a</w:t>
      </w:r>
      <w:r w:rsidRPr="00E90E7F">
        <w:rPr>
          <w:smallCaps/>
          <w:u w:val="double"/>
          <w:lang w:val="it-IT"/>
        </w:rPr>
        <w:t xml:space="preserve">). </w:t>
      </w:r>
      <w:r w:rsidRPr="00E90E7F">
        <w:rPr>
          <w:u w:val="double"/>
        </w:rPr>
        <w:t xml:space="preserve">Two strains of </w:t>
      </w:r>
      <w:r w:rsidRPr="009A0D1F">
        <w:rPr>
          <w:i/>
          <w:u w:val="double"/>
        </w:rPr>
        <w:t>Mycoplasma synoviae</w:t>
      </w:r>
      <w:r w:rsidRPr="00E90E7F">
        <w:rPr>
          <w:u w:val="double"/>
        </w:rPr>
        <w:t xml:space="preserve"> from chicken flocks on the same layer farm differ in their ability to produce eggshell apex abnormality. </w:t>
      </w:r>
      <w:r w:rsidRPr="00E90E7F">
        <w:rPr>
          <w:i/>
          <w:u w:val="double"/>
          <w:lang w:val="it-IT"/>
        </w:rPr>
        <w:t>Vet</w:t>
      </w:r>
      <w:r w:rsidR="009A0D1F">
        <w:rPr>
          <w:i/>
          <w:u w:val="double"/>
          <w:lang w:val="it-IT"/>
        </w:rPr>
        <w:t>.</w:t>
      </w:r>
      <w:r w:rsidRPr="00E90E7F">
        <w:rPr>
          <w:i/>
          <w:u w:val="double"/>
          <w:lang w:val="it-IT"/>
        </w:rPr>
        <w:t xml:space="preserve"> Microbiol.</w:t>
      </w:r>
      <w:r w:rsidRPr="00E90E7F">
        <w:rPr>
          <w:u w:val="double"/>
          <w:lang w:val="it-IT"/>
        </w:rPr>
        <w:t>,</w:t>
      </w:r>
      <w:r w:rsidR="009A0D1F">
        <w:rPr>
          <w:u w:val="double"/>
          <w:lang w:val="it-IT"/>
        </w:rPr>
        <w:t xml:space="preserve"> </w:t>
      </w:r>
      <w:r w:rsidRPr="00E90E7F">
        <w:rPr>
          <w:b/>
          <w:u w:val="double"/>
          <w:lang w:val="it-IT"/>
        </w:rPr>
        <w:t>193</w:t>
      </w:r>
      <w:r w:rsidRPr="00E90E7F">
        <w:rPr>
          <w:u w:val="double"/>
          <w:lang w:val="it-IT"/>
        </w:rPr>
        <w:t>, 60–66 (doi: 10.1016/j.vetmic.2016.08.007)</w:t>
      </w:r>
      <w:r w:rsidR="009A0D1F">
        <w:rPr>
          <w:u w:val="double"/>
          <w:lang w:val="it-IT"/>
        </w:rPr>
        <w:t>.</w:t>
      </w:r>
    </w:p>
    <w:p w14:paraId="3E7906E0" w14:textId="77777777" w:rsidR="00AA6A31" w:rsidRPr="00A91C54" w:rsidRDefault="00AA6A31" w:rsidP="00AA6A31">
      <w:pPr>
        <w:pStyle w:val="Ref"/>
        <w:ind w:left="0" w:firstLine="0"/>
        <w:rPr>
          <w:smallCaps/>
          <w:u w:val="double"/>
          <w:lang w:val="it-IT"/>
        </w:rPr>
      </w:pPr>
      <w:r w:rsidRPr="00E90E7F">
        <w:rPr>
          <w:smallCaps/>
          <w:u w:val="double"/>
          <w:lang w:val="it-IT"/>
        </w:rPr>
        <w:t xml:space="preserve">Catania S., Gobbo F., Ramirez A.S., Guadagnini D., Baldasso E., Moronato M.L. &amp; Nicholas R.A. </w:t>
      </w:r>
      <w:r w:rsidRPr="00E90E7F">
        <w:rPr>
          <w:u w:val="double"/>
          <w:lang w:val="it-IT"/>
        </w:rPr>
        <w:t xml:space="preserve">(2016b). </w:t>
      </w:r>
      <w:r w:rsidRPr="00E90E7F">
        <w:rPr>
          <w:u w:val="double"/>
        </w:rPr>
        <w:t xml:space="preserve">Laboratory investigations into the origin of </w:t>
      </w:r>
      <w:r w:rsidRPr="009A0D1F">
        <w:rPr>
          <w:i/>
          <w:u w:val="double"/>
        </w:rPr>
        <w:t>Mycoplasma synoviae</w:t>
      </w:r>
      <w:r w:rsidRPr="00E90E7F">
        <w:rPr>
          <w:u w:val="double"/>
        </w:rPr>
        <w:t xml:space="preserve"> isolated from a lesser flamingo (</w:t>
      </w:r>
      <w:r w:rsidRPr="009A0D1F">
        <w:rPr>
          <w:i/>
          <w:u w:val="double"/>
        </w:rPr>
        <w:t>Phoeniconaias minor</w:t>
      </w:r>
      <w:r w:rsidRPr="00E90E7F">
        <w:rPr>
          <w:u w:val="double"/>
        </w:rPr>
        <w:t xml:space="preserve">). </w:t>
      </w:r>
      <w:r w:rsidRPr="00A91C54">
        <w:rPr>
          <w:i/>
          <w:u w:val="double"/>
          <w:lang w:val="it-IT"/>
        </w:rPr>
        <w:t>BMC Vet. Res.</w:t>
      </w:r>
      <w:r w:rsidRPr="00A91C54">
        <w:rPr>
          <w:u w:val="double"/>
          <w:lang w:val="it-IT"/>
        </w:rPr>
        <w:t xml:space="preserve">, </w:t>
      </w:r>
      <w:r w:rsidRPr="00A91C54">
        <w:rPr>
          <w:b/>
          <w:u w:val="double"/>
          <w:lang w:val="it-IT"/>
        </w:rPr>
        <w:t>12</w:t>
      </w:r>
      <w:r w:rsidRPr="00A91C54">
        <w:rPr>
          <w:u w:val="double"/>
          <w:lang w:val="it-IT"/>
        </w:rPr>
        <w:t>, 52 (doi: 10.1186/s12917-016-0680-1).</w:t>
      </w:r>
    </w:p>
    <w:p w14:paraId="44098F53" w14:textId="384650A5" w:rsidR="00AA6A31" w:rsidRPr="00E90E7F" w:rsidRDefault="00AA6A31" w:rsidP="00AA6A31">
      <w:pPr>
        <w:pStyle w:val="Ref"/>
        <w:ind w:left="0" w:firstLine="0"/>
        <w:rPr>
          <w:smallCaps/>
          <w:u w:val="double"/>
          <w:lang w:val="en-US"/>
        </w:rPr>
      </w:pPr>
      <w:r w:rsidRPr="00A91C54">
        <w:rPr>
          <w:smallCaps/>
          <w:u w:val="double"/>
          <w:lang w:val="it-IT"/>
        </w:rPr>
        <w:t>Catania S</w:t>
      </w:r>
      <w:r w:rsidR="009A0D1F" w:rsidRPr="00A91C54">
        <w:rPr>
          <w:smallCaps/>
          <w:u w:val="double"/>
          <w:lang w:val="it-IT"/>
        </w:rPr>
        <w:t>.</w:t>
      </w:r>
      <w:r w:rsidRPr="00A91C54">
        <w:rPr>
          <w:smallCaps/>
          <w:u w:val="double"/>
          <w:lang w:val="it-IT"/>
        </w:rPr>
        <w:t>, Gobbo F</w:t>
      </w:r>
      <w:r w:rsidR="009A0D1F" w:rsidRPr="00A91C54">
        <w:rPr>
          <w:smallCaps/>
          <w:u w:val="double"/>
          <w:lang w:val="it-IT"/>
        </w:rPr>
        <w:t>.</w:t>
      </w:r>
      <w:r w:rsidRPr="00A91C54">
        <w:rPr>
          <w:smallCaps/>
          <w:u w:val="double"/>
          <w:lang w:val="it-IT"/>
        </w:rPr>
        <w:t>, Rodio S</w:t>
      </w:r>
      <w:r w:rsidR="009A0D1F" w:rsidRPr="00A91C54">
        <w:rPr>
          <w:smallCaps/>
          <w:u w:val="double"/>
          <w:lang w:val="it-IT"/>
        </w:rPr>
        <w:t>.</w:t>
      </w:r>
      <w:r w:rsidRPr="00A91C54">
        <w:rPr>
          <w:smallCaps/>
          <w:u w:val="double"/>
          <w:lang w:val="it-IT"/>
        </w:rPr>
        <w:t>, Qualtieri K</w:t>
      </w:r>
      <w:r w:rsidR="009A0D1F" w:rsidRPr="00A91C54">
        <w:rPr>
          <w:smallCaps/>
          <w:u w:val="double"/>
          <w:lang w:val="it-IT"/>
        </w:rPr>
        <w:t>.</w:t>
      </w:r>
      <w:r w:rsidRPr="00A91C54">
        <w:rPr>
          <w:smallCaps/>
          <w:u w:val="double"/>
          <w:lang w:val="it-IT"/>
        </w:rPr>
        <w:t>, Santone C</w:t>
      </w:r>
      <w:r w:rsidR="009A0D1F" w:rsidRPr="00A91C54">
        <w:rPr>
          <w:smallCaps/>
          <w:u w:val="double"/>
          <w:lang w:val="it-IT"/>
        </w:rPr>
        <w:t xml:space="preserve">. &amp; </w:t>
      </w:r>
      <w:r w:rsidRPr="00A91C54">
        <w:rPr>
          <w:smallCaps/>
          <w:u w:val="double"/>
          <w:lang w:val="it-IT"/>
        </w:rPr>
        <w:t>Nicholas R</w:t>
      </w:r>
      <w:r w:rsidR="009A0D1F" w:rsidRPr="00A91C54">
        <w:rPr>
          <w:smallCaps/>
          <w:u w:val="double"/>
          <w:lang w:val="it-IT"/>
        </w:rPr>
        <w:t>.</w:t>
      </w:r>
      <w:r w:rsidRPr="00A91C54">
        <w:rPr>
          <w:smallCaps/>
          <w:u w:val="double"/>
          <w:lang w:val="it-IT"/>
        </w:rPr>
        <w:t>A.</w:t>
      </w:r>
      <w:r w:rsidRPr="00A91C54">
        <w:rPr>
          <w:u w:val="double"/>
          <w:lang w:val="it-IT"/>
        </w:rPr>
        <w:t xml:space="preserve"> </w:t>
      </w:r>
      <w:r w:rsidRPr="00A91C54">
        <w:rPr>
          <w:smallCaps/>
          <w:u w:val="double"/>
          <w:lang w:val="it-IT"/>
        </w:rPr>
        <w:t>(2014).</w:t>
      </w:r>
      <w:r w:rsidRPr="00A91C54">
        <w:rPr>
          <w:sz w:val="20"/>
          <w:szCs w:val="20"/>
          <w:u w:val="double"/>
          <w:lang w:val="it-IT"/>
        </w:rPr>
        <w:t xml:space="preserve"> </w:t>
      </w:r>
      <w:r w:rsidRPr="00E90E7F">
        <w:rPr>
          <w:u w:val="double"/>
        </w:rPr>
        <w:t xml:space="preserve">First isolation of </w:t>
      </w:r>
      <w:r w:rsidRPr="009A0D1F">
        <w:rPr>
          <w:i/>
          <w:u w:val="double"/>
        </w:rPr>
        <w:t>Mycoplasma iowae</w:t>
      </w:r>
      <w:r w:rsidRPr="00E90E7F">
        <w:rPr>
          <w:u w:val="double"/>
        </w:rPr>
        <w:t xml:space="preserve"> in grey partridge flocks. </w:t>
      </w:r>
      <w:r w:rsidRPr="00E90E7F">
        <w:rPr>
          <w:i/>
          <w:u w:val="double"/>
          <w:lang w:val="en-US"/>
        </w:rPr>
        <w:t>Avian Dis</w:t>
      </w:r>
      <w:r w:rsidRPr="00E90E7F">
        <w:rPr>
          <w:u w:val="double"/>
          <w:lang w:val="en-US"/>
        </w:rPr>
        <w:t>.</w:t>
      </w:r>
      <w:r w:rsidR="009A0D1F">
        <w:rPr>
          <w:u w:val="double"/>
          <w:lang w:val="en-US"/>
        </w:rPr>
        <w:t>,</w:t>
      </w:r>
      <w:r w:rsidRPr="00E90E7F">
        <w:rPr>
          <w:sz w:val="20"/>
          <w:szCs w:val="20"/>
          <w:u w:val="double"/>
          <w:lang w:val="en-US"/>
        </w:rPr>
        <w:t xml:space="preserve"> </w:t>
      </w:r>
      <w:r w:rsidRPr="00E90E7F">
        <w:rPr>
          <w:b/>
          <w:sz w:val="20"/>
          <w:szCs w:val="20"/>
          <w:u w:val="double"/>
          <w:lang w:val="en-US"/>
        </w:rPr>
        <w:t>58</w:t>
      </w:r>
      <w:r w:rsidR="009A0D1F" w:rsidRPr="009A0D1F">
        <w:rPr>
          <w:sz w:val="20"/>
          <w:szCs w:val="20"/>
          <w:u w:val="double"/>
          <w:lang w:val="en-US"/>
        </w:rPr>
        <w:t xml:space="preserve">, </w:t>
      </w:r>
      <w:r w:rsidRPr="00E90E7F">
        <w:rPr>
          <w:sz w:val="20"/>
          <w:szCs w:val="20"/>
          <w:u w:val="double"/>
          <w:lang w:val="en-US"/>
        </w:rPr>
        <w:t>323</w:t>
      </w:r>
      <w:r w:rsidR="009A0D1F">
        <w:rPr>
          <w:sz w:val="20"/>
          <w:szCs w:val="20"/>
          <w:u w:val="double"/>
          <w:lang w:val="en-US"/>
        </w:rPr>
        <w:t>–32</w:t>
      </w:r>
      <w:r w:rsidRPr="00E90E7F">
        <w:rPr>
          <w:sz w:val="20"/>
          <w:szCs w:val="20"/>
          <w:u w:val="double"/>
          <w:lang w:val="en-US"/>
        </w:rPr>
        <w:t>5.</w:t>
      </w:r>
    </w:p>
    <w:p w14:paraId="63327E26" w14:textId="77777777" w:rsidR="00186891" w:rsidRPr="00E163F0" w:rsidRDefault="00186891" w:rsidP="00D41FBE">
      <w:pPr>
        <w:pStyle w:val="Ref"/>
        <w:ind w:left="0" w:firstLine="0"/>
      </w:pPr>
      <w:r w:rsidRPr="00E163F0">
        <w:rPr>
          <w:smallCaps/>
        </w:rPr>
        <w:t>Clyde</w:t>
      </w:r>
      <w:r w:rsidRPr="00E163F0">
        <w:t xml:space="preserve"> W.A., </w:t>
      </w:r>
      <w:r w:rsidRPr="00E163F0">
        <w:rPr>
          <w:smallCaps/>
        </w:rPr>
        <w:t>Jr</w:t>
      </w:r>
      <w:r w:rsidRPr="00E163F0">
        <w:t xml:space="preserve">. (1983). Growth inhibition tests. </w:t>
      </w:r>
      <w:r w:rsidRPr="00E163F0">
        <w:rPr>
          <w:i/>
        </w:rPr>
        <w:t>In</w:t>
      </w:r>
      <w:r w:rsidRPr="00E163F0">
        <w:t>: Methods in Mycoplasmology, Vol. 1, Razin S. &amp; Tully J.G., eds. Academic Press, New York, USA, and London, UK, 405–410.</w:t>
      </w:r>
    </w:p>
    <w:p w14:paraId="231E59F6" w14:textId="77777777" w:rsidR="00186891" w:rsidRPr="009A0D1F" w:rsidRDefault="00186891" w:rsidP="00D41FBE">
      <w:pPr>
        <w:pStyle w:val="Ref"/>
        <w:ind w:left="0" w:firstLine="0"/>
        <w:rPr>
          <w:strike/>
        </w:rPr>
      </w:pPr>
      <w:r w:rsidRPr="009A0D1F">
        <w:rPr>
          <w:smallCaps/>
          <w:strike/>
        </w:rPr>
        <w:t>Czifra G., Sundquist B., Tuboly T. &amp; Stipkovits L</w:t>
      </w:r>
      <w:r w:rsidRPr="009A0D1F">
        <w:rPr>
          <w:strike/>
        </w:rPr>
        <w:t xml:space="preserve">. (1993). Evaluation of a monoclonal blocking enzyme-linked immunosorbent assay for the detection of </w:t>
      </w:r>
      <w:r w:rsidRPr="009A0D1F">
        <w:rPr>
          <w:i/>
          <w:iCs/>
          <w:strike/>
        </w:rPr>
        <w:t>Mycoplasma gallisepticum</w:t>
      </w:r>
      <w:r w:rsidRPr="009A0D1F">
        <w:rPr>
          <w:strike/>
        </w:rPr>
        <w:t xml:space="preserve">-specific antibodies. </w:t>
      </w:r>
      <w:r w:rsidRPr="009A0D1F">
        <w:rPr>
          <w:i/>
          <w:strike/>
        </w:rPr>
        <w:t>Avian Dis.</w:t>
      </w:r>
      <w:r w:rsidRPr="009A0D1F">
        <w:rPr>
          <w:strike/>
        </w:rPr>
        <w:t xml:space="preserve">, </w:t>
      </w:r>
      <w:r w:rsidRPr="009A0D1F">
        <w:rPr>
          <w:b/>
          <w:strike/>
        </w:rPr>
        <w:t>37</w:t>
      </w:r>
      <w:r w:rsidRPr="009A0D1F">
        <w:rPr>
          <w:strike/>
        </w:rPr>
        <w:t>, 680–688.</w:t>
      </w:r>
    </w:p>
    <w:p w14:paraId="20677E06" w14:textId="6DC1706F" w:rsidR="00AA6A31" w:rsidRPr="00E90E7F" w:rsidRDefault="00AA6A31" w:rsidP="00AA6A31">
      <w:pPr>
        <w:pStyle w:val="Ref"/>
        <w:ind w:left="0" w:firstLine="0"/>
        <w:rPr>
          <w:smallCaps/>
          <w:u w:val="double"/>
        </w:rPr>
      </w:pPr>
      <w:r w:rsidRPr="00E90E7F">
        <w:rPr>
          <w:smallCaps/>
          <w:u w:val="double"/>
        </w:rPr>
        <w:t xml:space="preserve">Dijkman R., Feberwee A. &amp; Landman W.J. (2016). </w:t>
      </w:r>
      <w:hyperlink r:id="rId8" w:history="1">
        <w:r w:rsidRPr="00E90E7F">
          <w:rPr>
            <w:u w:val="double"/>
          </w:rPr>
          <w:t>Development and evaluation of a multi-locus sequence typing scheme for Mycoplasma synoviae.</w:t>
        </w:r>
      </w:hyperlink>
      <w:r w:rsidRPr="00E90E7F">
        <w:rPr>
          <w:u w:val="double"/>
        </w:rPr>
        <w:t xml:space="preserve"> </w:t>
      </w:r>
      <w:r w:rsidRPr="00E90E7F">
        <w:rPr>
          <w:i/>
          <w:u w:val="double"/>
        </w:rPr>
        <w:t>Avian Pathol.</w:t>
      </w:r>
      <w:r w:rsidRPr="00E90E7F">
        <w:rPr>
          <w:u w:val="double"/>
        </w:rPr>
        <w:t xml:space="preserve">, </w:t>
      </w:r>
      <w:r w:rsidRPr="00E90E7F">
        <w:rPr>
          <w:b/>
          <w:u w:val="double"/>
        </w:rPr>
        <w:t>45</w:t>
      </w:r>
      <w:r w:rsidRPr="00E90E7F">
        <w:rPr>
          <w:u w:val="double"/>
        </w:rPr>
        <w:t>, 426–442 (</w:t>
      </w:r>
      <w:r w:rsidRPr="00E90E7F">
        <w:rPr>
          <w:color w:val="000000"/>
          <w:u w:val="double"/>
          <w:shd w:val="clear" w:color="auto" w:fill="FFFFFF"/>
        </w:rPr>
        <w:t>doi: 10.1080/03079457.</w:t>
      </w:r>
      <w:r w:rsidRPr="00E90E7F">
        <w:rPr>
          <w:b/>
          <w:bCs/>
          <w:color w:val="000000"/>
          <w:u w:val="double"/>
        </w:rPr>
        <w:t>2016</w:t>
      </w:r>
      <w:r w:rsidRPr="00E90E7F">
        <w:rPr>
          <w:color w:val="000000"/>
          <w:u w:val="double"/>
          <w:shd w:val="clear" w:color="auto" w:fill="FFFFFF"/>
        </w:rPr>
        <w:t>.1154135).</w:t>
      </w:r>
    </w:p>
    <w:p w14:paraId="3D5A619B" w14:textId="290DAA78" w:rsidR="00AA6A31" w:rsidRPr="00E90E7F" w:rsidRDefault="00AA6A31" w:rsidP="00AA6A31">
      <w:pPr>
        <w:pStyle w:val="Ref"/>
        <w:ind w:left="0" w:firstLine="0"/>
        <w:rPr>
          <w:smallCaps/>
          <w:u w:val="double"/>
        </w:rPr>
      </w:pPr>
      <w:r w:rsidRPr="00E90E7F">
        <w:rPr>
          <w:smallCaps/>
          <w:u w:val="double"/>
        </w:rPr>
        <w:t>Dijkman R., Feberwee A. &amp; Landman W.J.M. (2017)</w:t>
      </w:r>
      <w:r w:rsidR="005111D2">
        <w:rPr>
          <w:smallCaps/>
          <w:u w:val="double"/>
        </w:rPr>
        <w:t>.</w:t>
      </w:r>
      <w:r w:rsidRPr="00E90E7F">
        <w:rPr>
          <w:smallCaps/>
          <w:u w:val="double"/>
        </w:rPr>
        <w:t xml:space="preserve"> </w:t>
      </w:r>
      <w:r w:rsidRPr="00E90E7F">
        <w:rPr>
          <w:u w:val="double"/>
        </w:rPr>
        <w:t xml:space="preserve">Development, validation and field evaluation of a quantitative real-time PCR able to differentiate between field </w:t>
      </w:r>
      <w:r w:rsidRPr="009A0D1F">
        <w:rPr>
          <w:i/>
          <w:u w:val="double"/>
        </w:rPr>
        <w:t>Mycoplasma synoviae</w:t>
      </w:r>
      <w:r w:rsidRPr="00E90E7F">
        <w:rPr>
          <w:u w:val="double"/>
        </w:rPr>
        <w:t xml:space="preserve"> and the MS-H-live vaccine strain. </w:t>
      </w:r>
      <w:r w:rsidRPr="00E90E7F">
        <w:rPr>
          <w:i/>
          <w:u w:val="double"/>
        </w:rPr>
        <w:t>Avian Pathol.</w:t>
      </w:r>
      <w:r w:rsidRPr="00E90E7F">
        <w:rPr>
          <w:u w:val="double"/>
        </w:rPr>
        <w:t xml:space="preserve">, </w:t>
      </w:r>
      <w:r w:rsidRPr="00E90E7F">
        <w:rPr>
          <w:b/>
          <w:u w:val="double"/>
        </w:rPr>
        <w:t>46</w:t>
      </w:r>
      <w:r w:rsidRPr="00E90E7F">
        <w:rPr>
          <w:u w:val="double"/>
        </w:rPr>
        <w:t>, 403–415 (doi: 10.1080/03079457.2017.1296105).</w:t>
      </w:r>
      <w:r w:rsidRPr="00E90E7F">
        <w:rPr>
          <w:smallCaps/>
          <w:u w:val="double"/>
        </w:rPr>
        <w:t xml:space="preserve">  </w:t>
      </w:r>
    </w:p>
    <w:p w14:paraId="4F5F3E57" w14:textId="62C2F44C" w:rsidR="00AA6A31" w:rsidRPr="00E90E7F" w:rsidRDefault="00AA6A31" w:rsidP="00AA6A31">
      <w:pPr>
        <w:pStyle w:val="Ref"/>
        <w:ind w:left="0" w:firstLine="0"/>
        <w:rPr>
          <w:smallCaps/>
          <w:u w:val="double"/>
        </w:rPr>
      </w:pPr>
      <w:r w:rsidRPr="00E90E7F">
        <w:rPr>
          <w:smallCaps/>
          <w:u w:val="double"/>
        </w:rPr>
        <w:t>El-Gazzar M., Ghanem M., McDonald K., Ferguson-Noel N., Raviv Z. &amp; Slemons R.D. (2017).</w:t>
      </w:r>
      <w:r w:rsidRPr="00E90E7F">
        <w:rPr>
          <w:color w:val="000000"/>
          <w:sz w:val="22"/>
          <w:szCs w:val="22"/>
          <w:u w:val="double"/>
        </w:rPr>
        <w:t xml:space="preserve"> </w:t>
      </w:r>
      <w:hyperlink r:id="rId9" w:history="1">
        <w:r w:rsidRPr="00E90E7F">
          <w:rPr>
            <w:u w:val="double"/>
          </w:rPr>
          <w:t xml:space="preserve">Development of Multilocus Sequence Typing (MLST) for </w:t>
        </w:r>
        <w:r w:rsidRPr="009A0D1F">
          <w:rPr>
            <w:i/>
            <w:u w:val="double"/>
          </w:rPr>
          <w:t>Mycoplasma synoviae</w:t>
        </w:r>
        <w:r w:rsidRPr="00E90E7F">
          <w:rPr>
            <w:u w:val="double"/>
          </w:rPr>
          <w:t>.</w:t>
        </w:r>
      </w:hyperlink>
      <w:r w:rsidRPr="00E90E7F">
        <w:rPr>
          <w:u w:val="double"/>
        </w:rPr>
        <w:t xml:space="preserve"> </w:t>
      </w:r>
      <w:r w:rsidRPr="00E90E7F">
        <w:rPr>
          <w:i/>
          <w:u w:val="double"/>
        </w:rPr>
        <w:t>Avian Dis.</w:t>
      </w:r>
      <w:r w:rsidRPr="00E90E7F">
        <w:rPr>
          <w:u w:val="double"/>
        </w:rPr>
        <w:t xml:space="preserve">, </w:t>
      </w:r>
      <w:r w:rsidRPr="00E90E7F">
        <w:rPr>
          <w:b/>
          <w:u w:val="double"/>
        </w:rPr>
        <w:t>61</w:t>
      </w:r>
      <w:r w:rsidRPr="00E90E7F">
        <w:rPr>
          <w:u w:val="double"/>
        </w:rPr>
        <w:t>, 25–32 (doi: 10.1637/11417-040516-Reg).</w:t>
      </w:r>
    </w:p>
    <w:p w14:paraId="49463AB3" w14:textId="77777777" w:rsidR="00AA6A31" w:rsidRPr="00AA6A31" w:rsidRDefault="00AA6A31" w:rsidP="00AA6A31">
      <w:pPr>
        <w:pStyle w:val="Ref"/>
        <w:ind w:left="0" w:firstLine="0"/>
        <w:rPr>
          <w:strike/>
        </w:rPr>
      </w:pPr>
      <w:r w:rsidRPr="00AA6A31">
        <w:rPr>
          <w:smallCaps/>
          <w:strike/>
        </w:rPr>
        <w:t>Fan H.H., Kleven S.H. &amp; Jackwood M.W.</w:t>
      </w:r>
      <w:r w:rsidRPr="00AA6A31">
        <w:rPr>
          <w:strike/>
        </w:rPr>
        <w:t xml:space="preserve"> (1995). Application of polymerase chain reaction with arbitrary primers to strain identification of </w:t>
      </w:r>
      <w:r w:rsidRPr="00AA6A31">
        <w:rPr>
          <w:i/>
          <w:iCs/>
          <w:strike/>
        </w:rPr>
        <w:t>Mycoplasma gallisepticum</w:t>
      </w:r>
      <w:r w:rsidRPr="00AA6A31">
        <w:rPr>
          <w:strike/>
        </w:rPr>
        <w:t xml:space="preserve">. </w:t>
      </w:r>
      <w:r w:rsidRPr="00AA6A31">
        <w:rPr>
          <w:i/>
          <w:strike/>
        </w:rPr>
        <w:t>Avian Dis.</w:t>
      </w:r>
      <w:r w:rsidRPr="00AA6A31">
        <w:rPr>
          <w:strike/>
        </w:rPr>
        <w:t xml:space="preserve">, </w:t>
      </w:r>
      <w:r w:rsidRPr="00AA6A31">
        <w:rPr>
          <w:b/>
          <w:strike/>
        </w:rPr>
        <w:t>39</w:t>
      </w:r>
      <w:r w:rsidRPr="00AA6A31">
        <w:rPr>
          <w:strike/>
        </w:rPr>
        <w:t>, 729–735.</w:t>
      </w:r>
    </w:p>
    <w:p w14:paraId="13E770F1" w14:textId="08C77AFC" w:rsidR="00AA6A31" w:rsidRPr="00E90E7F" w:rsidRDefault="00AA6A31" w:rsidP="00AA6A31">
      <w:pPr>
        <w:pStyle w:val="Ref"/>
        <w:ind w:left="0" w:firstLine="0"/>
        <w:rPr>
          <w:smallCaps/>
          <w:u w:val="double"/>
        </w:rPr>
      </w:pPr>
      <w:r w:rsidRPr="00E90E7F">
        <w:rPr>
          <w:smallCaps/>
          <w:u w:val="double"/>
        </w:rPr>
        <w:t>Feberwee A., Morrow C.J., Ghorashi S.A., Noormohammadi A.H. &amp; Landman W.J. (</w:t>
      </w:r>
      <w:r w:rsidRPr="00E73420">
        <w:rPr>
          <w:u w:val="double"/>
        </w:rPr>
        <w:t>2009</w:t>
      </w:r>
      <w:r w:rsidR="00E73420" w:rsidRPr="00E73420">
        <w:rPr>
          <w:u w:val="double"/>
        </w:rPr>
        <w:t>a</w:t>
      </w:r>
      <w:r w:rsidRPr="00E73420">
        <w:rPr>
          <w:u w:val="double"/>
        </w:rPr>
        <w:t>)</w:t>
      </w:r>
      <w:r w:rsidRPr="00E90E7F">
        <w:rPr>
          <w:u w:val="double"/>
        </w:rPr>
        <w:t xml:space="preserve"> Effect of a live </w:t>
      </w:r>
      <w:r w:rsidRPr="009A0D1F">
        <w:rPr>
          <w:i/>
          <w:u w:val="double"/>
        </w:rPr>
        <w:t>Mycoplasma synoviae</w:t>
      </w:r>
      <w:r w:rsidRPr="00E90E7F">
        <w:rPr>
          <w:u w:val="double"/>
        </w:rPr>
        <w:t xml:space="preserve"> vaccine on the production of eggshell apex abnormalities induced by a</w:t>
      </w:r>
      <w:r w:rsidR="009A0D1F">
        <w:rPr>
          <w:u w:val="double"/>
        </w:rPr>
        <w:t>n</w:t>
      </w:r>
      <w:r w:rsidRPr="00E90E7F">
        <w:rPr>
          <w:u w:val="double"/>
        </w:rPr>
        <w:t xml:space="preserve"> </w:t>
      </w:r>
      <w:r w:rsidRPr="009A0D1F">
        <w:rPr>
          <w:i/>
          <w:u w:val="double"/>
        </w:rPr>
        <w:t>M. synoviae</w:t>
      </w:r>
      <w:r w:rsidRPr="00E90E7F">
        <w:rPr>
          <w:u w:val="double"/>
        </w:rPr>
        <w:t xml:space="preserve"> infection preceded by an infection with infectious bronchitis virus D1466. </w:t>
      </w:r>
      <w:r w:rsidRPr="00E90E7F">
        <w:rPr>
          <w:i/>
          <w:u w:val="double"/>
        </w:rPr>
        <w:t>Avian Pathol.</w:t>
      </w:r>
      <w:r w:rsidRPr="00E90E7F">
        <w:rPr>
          <w:u w:val="double"/>
        </w:rPr>
        <w:t xml:space="preserve">, </w:t>
      </w:r>
      <w:r w:rsidRPr="00E90E7F">
        <w:rPr>
          <w:b/>
          <w:u w:val="double"/>
        </w:rPr>
        <w:t>38</w:t>
      </w:r>
      <w:r w:rsidRPr="00E90E7F">
        <w:rPr>
          <w:u w:val="double"/>
        </w:rPr>
        <w:t>, 333–340 (doi: 10.1080/03079450903183652).</w:t>
      </w:r>
    </w:p>
    <w:p w14:paraId="30E47F28" w14:textId="3847343B" w:rsidR="00AA6A31" w:rsidRPr="00E90E7F" w:rsidRDefault="00AA6A31" w:rsidP="00AA6A31">
      <w:pPr>
        <w:pStyle w:val="Ref"/>
        <w:ind w:left="0" w:firstLine="0"/>
        <w:rPr>
          <w:smallCaps/>
          <w:u w:val="double"/>
        </w:rPr>
      </w:pPr>
      <w:r w:rsidRPr="00E90E7F">
        <w:rPr>
          <w:smallCaps/>
          <w:u w:val="double"/>
        </w:rPr>
        <w:lastRenderedPageBreak/>
        <w:t>Feberwee A., de Wit J.J. &amp; Landman W.J.M. (</w:t>
      </w:r>
      <w:r w:rsidRPr="00E73420">
        <w:rPr>
          <w:u w:val="double"/>
        </w:rPr>
        <w:t>2009</w:t>
      </w:r>
      <w:r w:rsidR="00E73420" w:rsidRPr="00E73420">
        <w:rPr>
          <w:u w:val="double"/>
        </w:rPr>
        <w:t>b</w:t>
      </w:r>
      <w:r w:rsidRPr="00E90E7F">
        <w:rPr>
          <w:smallCaps/>
          <w:u w:val="double"/>
        </w:rPr>
        <w:t>).</w:t>
      </w:r>
      <w:r w:rsidRPr="00E90E7F">
        <w:rPr>
          <w:u w:val="double"/>
        </w:rPr>
        <w:t xml:space="preserve"> Induction of eggshell apex abnormalities by </w:t>
      </w:r>
      <w:r w:rsidRPr="009A0D1F">
        <w:rPr>
          <w:i/>
          <w:u w:val="double"/>
        </w:rPr>
        <w:t>Mycoplasma synoviae:</w:t>
      </w:r>
      <w:r w:rsidRPr="00E90E7F">
        <w:rPr>
          <w:u w:val="double"/>
        </w:rPr>
        <w:t xml:space="preserve"> field and experimental studies. </w:t>
      </w:r>
      <w:r w:rsidRPr="00E90E7F">
        <w:rPr>
          <w:i/>
          <w:u w:val="double"/>
        </w:rPr>
        <w:t>Avian Pathol.</w:t>
      </w:r>
      <w:r w:rsidRPr="00E90E7F">
        <w:rPr>
          <w:u w:val="double"/>
        </w:rPr>
        <w:t xml:space="preserve">, </w:t>
      </w:r>
      <w:r w:rsidRPr="00E90E7F">
        <w:rPr>
          <w:b/>
          <w:u w:val="double"/>
        </w:rPr>
        <w:t>38</w:t>
      </w:r>
      <w:r w:rsidRPr="00E90E7F">
        <w:rPr>
          <w:u w:val="double"/>
        </w:rPr>
        <w:t>, 77–85</w:t>
      </w:r>
      <w:r w:rsidR="009A0D1F">
        <w:rPr>
          <w:u w:val="double"/>
        </w:rPr>
        <w:t>.</w:t>
      </w:r>
    </w:p>
    <w:p w14:paraId="7E7F372D" w14:textId="77777777" w:rsidR="00AA6A31" w:rsidRPr="00AA6A31" w:rsidRDefault="00AA6A31" w:rsidP="00AA6A31">
      <w:pPr>
        <w:pStyle w:val="Ref"/>
        <w:ind w:left="0" w:firstLine="0"/>
        <w:rPr>
          <w:strike/>
        </w:rPr>
      </w:pPr>
      <w:r w:rsidRPr="00AA6A31">
        <w:rPr>
          <w:smallCaps/>
          <w:strike/>
        </w:rPr>
        <w:t>Ferguson N.M., Hepp D., Sun S., Ikuta N., Levisohn S., Kleven S.H. &amp; García M.</w:t>
      </w:r>
      <w:r w:rsidRPr="00AA6A31">
        <w:rPr>
          <w:strike/>
        </w:rPr>
        <w:t xml:space="preserve"> (2005). Use of molecular diversity of </w:t>
      </w:r>
      <w:r w:rsidRPr="00AA6A31">
        <w:rPr>
          <w:i/>
          <w:iCs/>
          <w:strike/>
        </w:rPr>
        <w:t>Mycoplasma gallisepticum</w:t>
      </w:r>
      <w:r w:rsidRPr="00AA6A31">
        <w:rPr>
          <w:strike/>
        </w:rPr>
        <w:t xml:space="preserve"> by gene-targeted sequencing (GTS) and random amplified polymorphic DNA (RAPD) analysis for epidemiological studies. </w:t>
      </w:r>
      <w:r w:rsidRPr="00AA6A31">
        <w:rPr>
          <w:i/>
          <w:strike/>
        </w:rPr>
        <w:t>Microbiol.</w:t>
      </w:r>
      <w:r w:rsidRPr="00AA6A31">
        <w:rPr>
          <w:strike/>
        </w:rPr>
        <w:t xml:space="preserve">, </w:t>
      </w:r>
      <w:r w:rsidRPr="00AA6A31">
        <w:rPr>
          <w:b/>
          <w:strike/>
        </w:rPr>
        <w:t>151</w:t>
      </w:r>
      <w:r w:rsidRPr="00AA6A31">
        <w:rPr>
          <w:strike/>
        </w:rPr>
        <w:t>, 1883–1893.</w:t>
      </w:r>
    </w:p>
    <w:p w14:paraId="48EEDE73" w14:textId="71DF51E9" w:rsidR="00AA6A31" w:rsidRPr="00E90E7F" w:rsidRDefault="00AA6A31" w:rsidP="00AA6A31">
      <w:pPr>
        <w:pStyle w:val="Ref"/>
        <w:ind w:left="0" w:firstLine="0"/>
        <w:rPr>
          <w:smallCaps/>
          <w:u w:val="double"/>
        </w:rPr>
      </w:pPr>
      <w:r w:rsidRPr="00E90E7F">
        <w:rPr>
          <w:smallCaps/>
          <w:u w:val="double"/>
        </w:rPr>
        <w:t xml:space="preserve">Ferguson-Noel N. &amp; Noormohammadi A.H. </w:t>
      </w:r>
      <w:r w:rsidRPr="00E90E7F">
        <w:rPr>
          <w:u w:val="double"/>
        </w:rPr>
        <w:t xml:space="preserve">(2013). </w:t>
      </w:r>
      <w:r w:rsidRPr="00E90E7F">
        <w:rPr>
          <w:i/>
          <w:iCs/>
          <w:u w:val="double"/>
        </w:rPr>
        <w:t>Mycoplasma synoviae</w:t>
      </w:r>
      <w:r w:rsidRPr="00E90E7F">
        <w:rPr>
          <w:u w:val="double"/>
        </w:rPr>
        <w:t xml:space="preserve"> infection. </w:t>
      </w:r>
      <w:r w:rsidRPr="00E90E7F">
        <w:rPr>
          <w:i/>
          <w:u w:val="double"/>
        </w:rPr>
        <w:t>In</w:t>
      </w:r>
      <w:r w:rsidRPr="00E90E7F">
        <w:rPr>
          <w:u w:val="double"/>
        </w:rPr>
        <w:t xml:space="preserve">: Diseases of Poultry, </w:t>
      </w:r>
      <w:r w:rsidR="006D79FC">
        <w:rPr>
          <w:u w:val="double"/>
        </w:rPr>
        <w:t>13</w:t>
      </w:r>
      <w:r w:rsidR="006D79FC" w:rsidRPr="006D79FC">
        <w:rPr>
          <w:u w:val="double"/>
          <w:vertAlign w:val="superscript"/>
        </w:rPr>
        <w:t>th</w:t>
      </w:r>
      <w:r w:rsidR="006D79FC">
        <w:rPr>
          <w:u w:val="double"/>
        </w:rPr>
        <w:t xml:space="preserve"> Edition, </w:t>
      </w:r>
      <w:r w:rsidRPr="00E90E7F">
        <w:rPr>
          <w:u w:val="double"/>
        </w:rPr>
        <w:t>Swayne</w:t>
      </w:r>
      <w:r w:rsidR="009A0D1F" w:rsidRPr="009A0D1F">
        <w:rPr>
          <w:u w:val="double"/>
        </w:rPr>
        <w:t xml:space="preserve"> </w:t>
      </w:r>
      <w:r w:rsidR="009A0D1F" w:rsidRPr="00E90E7F">
        <w:rPr>
          <w:u w:val="double"/>
        </w:rPr>
        <w:t>David</w:t>
      </w:r>
      <w:r w:rsidR="009A0D1F" w:rsidRPr="009A0D1F">
        <w:rPr>
          <w:u w:val="double"/>
        </w:rPr>
        <w:t xml:space="preserve"> </w:t>
      </w:r>
      <w:r w:rsidR="009A0D1F" w:rsidRPr="00E90E7F">
        <w:rPr>
          <w:u w:val="double"/>
        </w:rPr>
        <w:t>E.</w:t>
      </w:r>
      <w:r w:rsidRPr="00E90E7F">
        <w:rPr>
          <w:u w:val="double"/>
        </w:rPr>
        <w:t>, Glisson</w:t>
      </w:r>
      <w:r w:rsidR="009A0D1F" w:rsidRPr="009A0D1F">
        <w:rPr>
          <w:u w:val="double"/>
        </w:rPr>
        <w:t xml:space="preserve"> </w:t>
      </w:r>
      <w:r w:rsidR="009A0D1F" w:rsidRPr="00E90E7F">
        <w:rPr>
          <w:u w:val="double"/>
        </w:rPr>
        <w:t>J.R.</w:t>
      </w:r>
      <w:r w:rsidRPr="00E90E7F">
        <w:rPr>
          <w:u w:val="double"/>
        </w:rPr>
        <w:t>, McDougald</w:t>
      </w:r>
      <w:r w:rsidR="009A0D1F" w:rsidRPr="009A0D1F">
        <w:rPr>
          <w:u w:val="double"/>
        </w:rPr>
        <w:t xml:space="preserve"> </w:t>
      </w:r>
      <w:r w:rsidR="009A0D1F" w:rsidRPr="00E90E7F">
        <w:rPr>
          <w:u w:val="double"/>
        </w:rPr>
        <w:t>L.R.</w:t>
      </w:r>
      <w:r w:rsidRPr="00E90E7F">
        <w:rPr>
          <w:u w:val="double"/>
        </w:rPr>
        <w:t>, Nolan</w:t>
      </w:r>
      <w:r w:rsidR="009A0D1F" w:rsidRPr="009A0D1F">
        <w:rPr>
          <w:u w:val="double"/>
        </w:rPr>
        <w:t xml:space="preserve"> </w:t>
      </w:r>
      <w:r w:rsidR="009A0D1F" w:rsidRPr="00E90E7F">
        <w:rPr>
          <w:u w:val="double"/>
        </w:rPr>
        <w:t>L.K.</w:t>
      </w:r>
      <w:r w:rsidRPr="00E90E7F">
        <w:rPr>
          <w:u w:val="double"/>
        </w:rPr>
        <w:t>, Suarez</w:t>
      </w:r>
      <w:r w:rsidR="009A0D1F" w:rsidRPr="009A0D1F">
        <w:rPr>
          <w:u w:val="double"/>
        </w:rPr>
        <w:t xml:space="preserve"> </w:t>
      </w:r>
      <w:r w:rsidR="009A0D1F" w:rsidRPr="00E90E7F">
        <w:rPr>
          <w:u w:val="double"/>
        </w:rPr>
        <w:t>D.L.</w:t>
      </w:r>
      <w:r w:rsidR="009A0D1F">
        <w:rPr>
          <w:u w:val="double"/>
        </w:rPr>
        <w:t xml:space="preserve"> &amp;</w:t>
      </w:r>
      <w:r w:rsidRPr="00E90E7F">
        <w:rPr>
          <w:u w:val="double"/>
        </w:rPr>
        <w:t xml:space="preserve"> Nair</w:t>
      </w:r>
      <w:r w:rsidR="009A0D1F" w:rsidRPr="009A0D1F">
        <w:rPr>
          <w:u w:val="double"/>
        </w:rPr>
        <w:t xml:space="preserve"> </w:t>
      </w:r>
      <w:r w:rsidR="009A0D1F" w:rsidRPr="00E90E7F">
        <w:rPr>
          <w:u w:val="double"/>
        </w:rPr>
        <w:t>V.L.</w:t>
      </w:r>
      <w:r w:rsidRPr="00E90E7F">
        <w:rPr>
          <w:u w:val="double"/>
        </w:rPr>
        <w:t>,</w:t>
      </w:r>
      <w:r w:rsidR="009A0D1F">
        <w:rPr>
          <w:u w:val="double"/>
        </w:rPr>
        <w:t xml:space="preserve"> eds.</w:t>
      </w:r>
      <w:r w:rsidRPr="00E90E7F">
        <w:rPr>
          <w:u w:val="double"/>
        </w:rPr>
        <w:t xml:space="preserve"> </w:t>
      </w:r>
      <w:r w:rsidR="00235D3F" w:rsidRPr="00E90E7F">
        <w:rPr>
          <w:u w:val="double"/>
        </w:rPr>
        <w:t>Wiley</w:t>
      </w:r>
      <w:r w:rsidR="00235D3F">
        <w:rPr>
          <w:u w:val="double"/>
        </w:rPr>
        <w:t>-</w:t>
      </w:r>
      <w:r w:rsidRPr="00E90E7F">
        <w:rPr>
          <w:u w:val="double"/>
        </w:rPr>
        <w:t>Black</w:t>
      </w:r>
      <w:r w:rsidR="00235D3F">
        <w:rPr>
          <w:u w:val="double"/>
        </w:rPr>
        <w:t>w</w:t>
      </w:r>
      <w:r w:rsidRPr="00E90E7F">
        <w:rPr>
          <w:u w:val="double"/>
        </w:rPr>
        <w:t xml:space="preserve">ell, </w:t>
      </w:r>
      <w:r w:rsidR="00235D3F">
        <w:rPr>
          <w:u w:val="double"/>
        </w:rPr>
        <w:t xml:space="preserve">Ames, Iowa, USA and Oxford, UK, </w:t>
      </w:r>
      <w:r w:rsidRPr="00E90E7F">
        <w:rPr>
          <w:u w:val="double"/>
        </w:rPr>
        <w:t>900–906.</w:t>
      </w:r>
    </w:p>
    <w:p w14:paraId="2AA38255" w14:textId="77777777" w:rsidR="00186891" w:rsidRPr="00AA6A31" w:rsidRDefault="00186891" w:rsidP="00D41FBE">
      <w:pPr>
        <w:pStyle w:val="Ref"/>
        <w:ind w:left="0" w:firstLine="0"/>
        <w:rPr>
          <w:strike/>
        </w:rPr>
      </w:pPr>
      <w:r w:rsidRPr="00AA6A31">
        <w:rPr>
          <w:smallCaps/>
          <w:strike/>
        </w:rPr>
        <w:t>Freundt</w:t>
      </w:r>
      <w:r w:rsidRPr="00AA6A31">
        <w:rPr>
          <w:strike/>
        </w:rPr>
        <w:t xml:space="preserve"> E.A. (1983). Culture media for classic mycoplasmas. </w:t>
      </w:r>
      <w:r w:rsidRPr="00AA6A31">
        <w:rPr>
          <w:i/>
          <w:strike/>
        </w:rPr>
        <w:t>In</w:t>
      </w:r>
      <w:r w:rsidRPr="00AA6A31">
        <w:rPr>
          <w:strike/>
        </w:rPr>
        <w:t>: The Mycoplasmas, Vol. 1, Razin S. &amp; Tully J.G., eds. Academic Press, New York, USA and London, UK, 127–135.</w:t>
      </w:r>
    </w:p>
    <w:p w14:paraId="5DCBBB5D" w14:textId="77777777" w:rsidR="00186891" w:rsidRPr="00E73420" w:rsidRDefault="00186891" w:rsidP="00572B91">
      <w:pPr>
        <w:pStyle w:val="Ref"/>
        <w:ind w:left="0" w:firstLine="0"/>
      </w:pPr>
      <w:r w:rsidRPr="00E73420">
        <w:rPr>
          <w:smallCaps/>
        </w:rPr>
        <w:t>Frey M.L., Hanson R.P. &amp; Anderson D.P.</w:t>
      </w:r>
      <w:r w:rsidRPr="00E73420">
        <w:t xml:space="preserve"> (1968). A medium for the isolation of avian Mycoplasmas. </w:t>
      </w:r>
      <w:r w:rsidRPr="00E73420">
        <w:rPr>
          <w:i/>
        </w:rPr>
        <w:t>Am. J. Vet. Res.</w:t>
      </w:r>
      <w:r w:rsidRPr="00E73420">
        <w:t xml:space="preserve">, </w:t>
      </w:r>
      <w:r w:rsidRPr="00E73420">
        <w:rPr>
          <w:b/>
        </w:rPr>
        <w:t>29</w:t>
      </w:r>
      <w:r w:rsidRPr="00E73420">
        <w:t>, 2163–2171.</w:t>
      </w:r>
    </w:p>
    <w:p w14:paraId="6BDFB95F" w14:textId="77777777" w:rsidR="00186891" w:rsidRPr="00E163F0" w:rsidRDefault="00186891" w:rsidP="00572B91">
      <w:pPr>
        <w:pStyle w:val="Ref"/>
        <w:ind w:left="0" w:firstLine="0"/>
        <w:rPr>
          <w:lang w:val="de-DE"/>
        </w:rPr>
      </w:pPr>
      <w:r w:rsidRPr="00E163F0">
        <w:rPr>
          <w:smallCaps/>
        </w:rPr>
        <w:t>García M., Ikuta N., Levisohn S. &amp; Kleven S.</w:t>
      </w:r>
      <w:r w:rsidRPr="00E163F0">
        <w:t xml:space="preserve">H. (2005). Evaluation and comparison of various PCR methods for detection of </w:t>
      </w:r>
      <w:r w:rsidRPr="00E163F0">
        <w:rPr>
          <w:i/>
          <w:iCs/>
        </w:rPr>
        <w:t>Mycoplasma gallisepticum</w:t>
      </w:r>
      <w:r w:rsidRPr="00E163F0">
        <w:t xml:space="preserve"> infection in chickens. </w:t>
      </w:r>
      <w:r w:rsidRPr="00E163F0">
        <w:rPr>
          <w:i/>
          <w:lang w:val="de-DE"/>
        </w:rPr>
        <w:t>Avian Dis.</w:t>
      </w:r>
      <w:r w:rsidRPr="00E163F0">
        <w:rPr>
          <w:lang w:val="de-DE"/>
        </w:rPr>
        <w:t xml:space="preserve">, </w:t>
      </w:r>
      <w:r w:rsidRPr="00E163F0">
        <w:rPr>
          <w:b/>
          <w:lang w:val="de-DE"/>
        </w:rPr>
        <w:t>49</w:t>
      </w:r>
      <w:r w:rsidRPr="00E163F0">
        <w:rPr>
          <w:lang w:val="de-DE"/>
        </w:rPr>
        <w:t>, 125–132.</w:t>
      </w:r>
    </w:p>
    <w:p w14:paraId="2D5FA580" w14:textId="77777777" w:rsidR="00AA6A31" w:rsidRPr="00E90E7F" w:rsidRDefault="00AA6A31" w:rsidP="00AA6A31">
      <w:pPr>
        <w:pStyle w:val="Ref"/>
        <w:ind w:left="0" w:firstLine="0"/>
        <w:rPr>
          <w:smallCaps/>
          <w:u w:val="double"/>
        </w:rPr>
      </w:pPr>
      <w:r w:rsidRPr="00E90E7F">
        <w:rPr>
          <w:smallCaps/>
          <w:u w:val="double"/>
        </w:rPr>
        <w:t xml:space="preserve">Ghanem M. &amp; El-Gazzar M. (2018) </w:t>
      </w:r>
      <w:r w:rsidRPr="00E90E7F">
        <w:rPr>
          <w:u w:val="double"/>
        </w:rPr>
        <w:t xml:space="preserve">Development of </w:t>
      </w:r>
      <w:r w:rsidRPr="00235D3F">
        <w:rPr>
          <w:i/>
          <w:u w:val="double"/>
        </w:rPr>
        <w:t>Mycoplasma synoviae</w:t>
      </w:r>
      <w:r w:rsidRPr="00E90E7F">
        <w:rPr>
          <w:u w:val="double"/>
        </w:rPr>
        <w:t xml:space="preserve"> (MS) core genome multilocus sequence typing (cgMLST) scheme. </w:t>
      </w:r>
      <w:r w:rsidRPr="00E90E7F">
        <w:rPr>
          <w:i/>
          <w:u w:val="double"/>
        </w:rPr>
        <w:t>Vet. Microbiol.</w:t>
      </w:r>
      <w:r w:rsidRPr="00E90E7F">
        <w:rPr>
          <w:u w:val="double"/>
        </w:rPr>
        <w:t xml:space="preserve">, </w:t>
      </w:r>
      <w:r w:rsidRPr="00E90E7F">
        <w:rPr>
          <w:b/>
          <w:u w:val="double"/>
        </w:rPr>
        <w:t>218</w:t>
      </w:r>
      <w:r w:rsidRPr="00E90E7F">
        <w:rPr>
          <w:u w:val="double"/>
        </w:rPr>
        <w:t>, 84–89 (doi: 10.1016/j.vetmic.2018.03.021).</w:t>
      </w:r>
    </w:p>
    <w:p w14:paraId="495CF3CB" w14:textId="5D7F3415" w:rsidR="00AA6A31" w:rsidRPr="00E90E7F" w:rsidRDefault="00AA6A31" w:rsidP="00AA6A31">
      <w:pPr>
        <w:pStyle w:val="Ref"/>
        <w:ind w:left="0" w:firstLine="0"/>
        <w:rPr>
          <w:u w:val="double"/>
        </w:rPr>
      </w:pPr>
      <w:r w:rsidRPr="00E90E7F">
        <w:rPr>
          <w:smallCaps/>
          <w:u w:val="double"/>
        </w:rPr>
        <w:t>Ghanem M., Wang L., Zhang Y., Edwards S., Lu A., Ley D. &amp; El-Gazzar M.</w:t>
      </w:r>
      <w:r w:rsidRPr="00E90E7F">
        <w:rPr>
          <w:u w:val="double"/>
        </w:rPr>
        <w:t xml:space="preserve"> </w:t>
      </w:r>
      <w:r w:rsidRPr="00E90E7F">
        <w:rPr>
          <w:smallCaps/>
          <w:u w:val="double"/>
        </w:rPr>
        <w:t>(2017).</w:t>
      </w:r>
      <w:r w:rsidRPr="00E90E7F">
        <w:rPr>
          <w:u w:val="double"/>
        </w:rPr>
        <w:t xml:space="preserve"> Core Genome Multilocus Sequence Typing: a Standardized Approach for Molecular Typing of </w:t>
      </w:r>
      <w:r w:rsidRPr="00235D3F">
        <w:rPr>
          <w:i/>
          <w:u w:val="double"/>
        </w:rPr>
        <w:t>Mycoplasma gallisepticum</w:t>
      </w:r>
      <w:r w:rsidRPr="00E90E7F">
        <w:rPr>
          <w:u w:val="double"/>
        </w:rPr>
        <w:t xml:space="preserve">. </w:t>
      </w:r>
      <w:r w:rsidRPr="00E90E7F">
        <w:rPr>
          <w:i/>
          <w:u w:val="double"/>
        </w:rPr>
        <w:t>J. Clin. Microbiol.</w:t>
      </w:r>
      <w:r w:rsidRPr="00E90E7F">
        <w:rPr>
          <w:u w:val="double"/>
        </w:rPr>
        <w:t xml:space="preserve">, </w:t>
      </w:r>
      <w:r w:rsidRPr="00E90E7F">
        <w:rPr>
          <w:b/>
          <w:u w:val="double"/>
        </w:rPr>
        <w:t>56</w:t>
      </w:r>
      <w:r w:rsidRPr="00E90E7F">
        <w:rPr>
          <w:u w:val="double"/>
        </w:rPr>
        <w:t>, e01145-17 (doi: 10.1128/JCM.01145-17).</w:t>
      </w:r>
    </w:p>
    <w:p w14:paraId="0E0199DA" w14:textId="2EE21587" w:rsidR="00AA6A31" w:rsidRPr="00E90E7F" w:rsidRDefault="00AA6A31" w:rsidP="00AA6A31">
      <w:pPr>
        <w:pStyle w:val="Ref"/>
        <w:ind w:left="0" w:firstLine="0"/>
        <w:rPr>
          <w:u w:val="double"/>
        </w:rPr>
      </w:pPr>
      <w:r w:rsidRPr="00E90E7F">
        <w:rPr>
          <w:smallCaps/>
          <w:u w:val="double"/>
        </w:rPr>
        <w:t xml:space="preserve">Hammond P.P., Ramírez A.S., Morrow C.J. &amp; Bradbury J.M. (2008). </w:t>
      </w:r>
      <w:r w:rsidRPr="00E90E7F">
        <w:rPr>
          <w:u w:val="double"/>
        </w:rPr>
        <w:t xml:space="preserve">Development and evaluation of an improved diagnostic PCR for </w:t>
      </w:r>
      <w:r w:rsidRPr="00235D3F">
        <w:rPr>
          <w:i/>
          <w:u w:val="double"/>
        </w:rPr>
        <w:t>Mycoplasma synoviae</w:t>
      </w:r>
      <w:r w:rsidRPr="00E90E7F">
        <w:rPr>
          <w:u w:val="double"/>
        </w:rPr>
        <w:t xml:space="preserve"> using primers located in the haemagglutinin encoding gene vlhA and its value for strain typing. </w:t>
      </w:r>
      <w:r w:rsidRPr="00E90E7F">
        <w:rPr>
          <w:i/>
          <w:u w:val="double"/>
        </w:rPr>
        <w:t>Vet. Microbiol.</w:t>
      </w:r>
      <w:r w:rsidR="00235D3F">
        <w:rPr>
          <w:i/>
          <w:u w:val="double"/>
        </w:rPr>
        <w:t>,</w:t>
      </w:r>
      <w:r w:rsidRPr="00E90E7F">
        <w:rPr>
          <w:i/>
          <w:u w:val="double"/>
        </w:rPr>
        <w:t xml:space="preserve"> </w:t>
      </w:r>
      <w:r w:rsidRPr="00E90E7F">
        <w:rPr>
          <w:b/>
          <w:u w:val="double"/>
        </w:rPr>
        <w:t>136</w:t>
      </w:r>
      <w:r w:rsidRPr="00E90E7F">
        <w:rPr>
          <w:u w:val="double"/>
        </w:rPr>
        <w:t>, 61–68 (doi: 10.1016/j.vetmic.2008.10.011).</w:t>
      </w:r>
    </w:p>
    <w:p w14:paraId="00D76282" w14:textId="77777777" w:rsidR="00186891" w:rsidRPr="00AA6A31" w:rsidRDefault="00186891" w:rsidP="00572B91">
      <w:pPr>
        <w:pStyle w:val="Ref"/>
        <w:ind w:left="0" w:firstLine="0"/>
        <w:rPr>
          <w:strike/>
        </w:rPr>
      </w:pPr>
      <w:r w:rsidRPr="00AA6A31">
        <w:rPr>
          <w:smallCaps/>
          <w:strike/>
          <w:lang w:val="de-DE"/>
        </w:rPr>
        <w:t xml:space="preserve">Hildebrand D.G., Page D.E. &amp; Berg J.R. </w:t>
      </w:r>
      <w:r w:rsidRPr="00AA6A31">
        <w:rPr>
          <w:strike/>
          <w:lang w:val="de-DE"/>
        </w:rPr>
        <w:t xml:space="preserve">(1983). </w:t>
      </w:r>
      <w:r w:rsidRPr="00AA6A31">
        <w:rPr>
          <w:i/>
          <w:iCs/>
          <w:strike/>
        </w:rPr>
        <w:t>Mycoplasma gallisepticum</w:t>
      </w:r>
      <w:r w:rsidRPr="00AA6A31">
        <w:rPr>
          <w:strike/>
        </w:rPr>
        <w:t xml:space="preserve"> (MG) </w:t>
      </w:r>
      <w:r w:rsidR="00572B91" w:rsidRPr="00AA6A31">
        <w:rPr>
          <w:strike/>
        </w:rPr>
        <w:t>–</w:t>
      </w:r>
      <w:r w:rsidRPr="00AA6A31">
        <w:rPr>
          <w:strike/>
        </w:rPr>
        <w:t xml:space="preserve"> laboratory and field studies evaluating the safety and efficacy of an inactivated MG bacterin. </w:t>
      </w:r>
      <w:r w:rsidRPr="00AA6A31">
        <w:rPr>
          <w:i/>
          <w:strike/>
        </w:rPr>
        <w:t>Avian Dis.</w:t>
      </w:r>
      <w:r w:rsidRPr="00AA6A31">
        <w:rPr>
          <w:strike/>
        </w:rPr>
        <w:t xml:space="preserve">, </w:t>
      </w:r>
      <w:r w:rsidRPr="00AA6A31">
        <w:rPr>
          <w:b/>
          <w:strike/>
        </w:rPr>
        <w:t>27</w:t>
      </w:r>
      <w:r w:rsidRPr="00AA6A31">
        <w:rPr>
          <w:strike/>
        </w:rPr>
        <w:t>, 792–802.</w:t>
      </w:r>
    </w:p>
    <w:p w14:paraId="61EAC567" w14:textId="77777777" w:rsidR="00186891" w:rsidRPr="00AA6A31" w:rsidRDefault="00186891" w:rsidP="00572B91">
      <w:pPr>
        <w:pStyle w:val="Ref"/>
        <w:ind w:left="0" w:firstLine="0"/>
        <w:rPr>
          <w:strike/>
        </w:rPr>
      </w:pPr>
      <w:r w:rsidRPr="00AA6A31">
        <w:rPr>
          <w:smallCaps/>
          <w:strike/>
        </w:rPr>
        <w:t>Hong Y., García M., Leiting L., Bencina D., Dufour-Zavala L., Zavala G. &amp; Kleven S.H.</w:t>
      </w:r>
      <w:r w:rsidRPr="00AA6A31">
        <w:rPr>
          <w:strike/>
        </w:rPr>
        <w:t xml:space="preserve"> (2004). Specific detection and typing of </w:t>
      </w:r>
      <w:r w:rsidRPr="00AA6A31">
        <w:rPr>
          <w:i/>
          <w:iCs/>
          <w:strike/>
        </w:rPr>
        <w:t>Mycoplasma synoviae</w:t>
      </w:r>
      <w:r w:rsidRPr="00AA6A31">
        <w:rPr>
          <w:strike/>
        </w:rPr>
        <w:t xml:space="preserve"> strains in poultry with PCR and DNA sequence analysis targeting the hemagglutinin encoding gene vlhA. </w:t>
      </w:r>
      <w:r w:rsidRPr="00AA6A31">
        <w:rPr>
          <w:i/>
          <w:strike/>
        </w:rPr>
        <w:t>Avian Dis.</w:t>
      </w:r>
      <w:r w:rsidRPr="00AA6A31">
        <w:rPr>
          <w:strike/>
        </w:rPr>
        <w:t xml:space="preserve">, </w:t>
      </w:r>
      <w:r w:rsidRPr="00AA6A31">
        <w:rPr>
          <w:b/>
          <w:strike/>
        </w:rPr>
        <w:t>48</w:t>
      </w:r>
      <w:r w:rsidRPr="00AA6A31">
        <w:rPr>
          <w:strike/>
        </w:rPr>
        <w:t>, 606–616.</w:t>
      </w:r>
    </w:p>
    <w:p w14:paraId="06A3F8C2" w14:textId="77777777" w:rsidR="00186891" w:rsidRPr="00AA6A31" w:rsidRDefault="00186891" w:rsidP="00572B91">
      <w:pPr>
        <w:pStyle w:val="Ref"/>
        <w:ind w:left="0" w:firstLine="0"/>
        <w:rPr>
          <w:strike/>
        </w:rPr>
      </w:pPr>
      <w:r w:rsidRPr="00AA6A31">
        <w:rPr>
          <w:smallCaps/>
          <w:strike/>
        </w:rPr>
        <w:t>Hong Y., Garcia M., Levisohn S., Savelkoul P., Leiting V., Lysnyansky I., Ley D.H. &amp; Kleven S.H</w:t>
      </w:r>
      <w:r w:rsidRPr="00AA6A31">
        <w:rPr>
          <w:strike/>
        </w:rPr>
        <w:t xml:space="preserve">. (2005). Differentiation of </w:t>
      </w:r>
      <w:r w:rsidRPr="00AA6A31">
        <w:rPr>
          <w:i/>
          <w:iCs/>
          <w:strike/>
        </w:rPr>
        <w:t>Mycoplasma gallisepticum</w:t>
      </w:r>
      <w:r w:rsidRPr="00AA6A31">
        <w:rPr>
          <w:strike/>
        </w:rPr>
        <w:t xml:space="preserve"> strains using amplified fragment length polymorphism and other DNA-based typing methods. </w:t>
      </w:r>
      <w:r w:rsidRPr="00AA6A31">
        <w:rPr>
          <w:i/>
          <w:strike/>
        </w:rPr>
        <w:t>Avian Dis.</w:t>
      </w:r>
      <w:r w:rsidRPr="00AA6A31">
        <w:rPr>
          <w:strike/>
        </w:rPr>
        <w:t xml:space="preserve">, </w:t>
      </w:r>
      <w:r w:rsidRPr="00AA6A31">
        <w:rPr>
          <w:b/>
          <w:strike/>
        </w:rPr>
        <w:t>49</w:t>
      </w:r>
      <w:r w:rsidRPr="00AA6A31">
        <w:rPr>
          <w:strike/>
        </w:rPr>
        <w:t>, 43–49.</w:t>
      </w:r>
    </w:p>
    <w:p w14:paraId="5B8ADE7A" w14:textId="77777777" w:rsidR="00186891" w:rsidRPr="00AA6A31" w:rsidRDefault="00186891" w:rsidP="00572B91">
      <w:pPr>
        <w:pStyle w:val="Ref"/>
        <w:ind w:left="0" w:firstLine="0"/>
        <w:rPr>
          <w:strike/>
        </w:rPr>
      </w:pPr>
      <w:r w:rsidRPr="00AA6A31">
        <w:rPr>
          <w:smallCaps/>
          <w:strike/>
        </w:rPr>
        <w:t>Kempf</w:t>
      </w:r>
      <w:r w:rsidRPr="00AA6A31">
        <w:rPr>
          <w:strike/>
        </w:rPr>
        <w:t xml:space="preserve"> I. (1998). DNA amplification methods for diagnosis and epidemiological investigations of avian mycoplasmosis. </w:t>
      </w:r>
      <w:r w:rsidRPr="00AA6A31">
        <w:rPr>
          <w:i/>
          <w:strike/>
        </w:rPr>
        <w:t>Avian Pathol.</w:t>
      </w:r>
      <w:r w:rsidRPr="00AA6A31">
        <w:rPr>
          <w:strike/>
        </w:rPr>
        <w:t xml:space="preserve">, </w:t>
      </w:r>
      <w:r w:rsidRPr="00AA6A31">
        <w:rPr>
          <w:b/>
          <w:strike/>
        </w:rPr>
        <w:t>27</w:t>
      </w:r>
      <w:r w:rsidRPr="00AA6A31">
        <w:rPr>
          <w:strike/>
        </w:rPr>
        <w:t>, 7–14.</w:t>
      </w:r>
    </w:p>
    <w:p w14:paraId="7985CA67" w14:textId="77777777" w:rsidR="00186891" w:rsidRPr="00AA6A31" w:rsidRDefault="00186891" w:rsidP="00572B91">
      <w:pPr>
        <w:pStyle w:val="Ref"/>
        <w:ind w:left="0" w:firstLine="0"/>
        <w:rPr>
          <w:strike/>
        </w:rPr>
      </w:pPr>
      <w:r w:rsidRPr="00AA6A31">
        <w:rPr>
          <w:smallCaps/>
          <w:strike/>
        </w:rPr>
        <w:t>Kleven</w:t>
      </w:r>
      <w:r w:rsidRPr="00AA6A31">
        <w:rPr>
          <w:strike/>
        </w:rPr>
        <w:t xml:space="preserve"> S.H. (2003). </w:t>
      </w:r>
      <w:r w:rsidRPr="00AA6A31">
        <w:rPr>
          <w:i/>
          <w:iCs/>
          <w:strike/>
        </w:rPr>
        <w:t>Mycoplasma synoviae</w:t>
      </w:r>
      <w:r w:rsidRPr="00AA6A31">
        <w:rPr>
          <w:strike/>
        </w:rPr>
        <w:t xml:space="preserve"> infection. </w:t>
      </w:r>
      <w:r w:rsidRPr="00AA6A31">
        <w:rPr>
          <w:i/>
          <w:strike/>
        </w:rPr>
        <w:t>In</w:t>
      </w:r>
      <w:r w:rsidRPr="00AA6A31">
        <w:rPr>
          <w:strike/>
        </w:rPr>
        <w:t>: Diseases of Poultry, Saif Y.M., Barnes H.J., Glisson J.R., Fadly A.M., McDougald L.R. &amp; Swayne D.E., eds. Iowa State University Press, Ames, Iowa, USA, 756–766.</w:t>
      </w:r>
    </w:p>
    <w:p w14:paraId="1F3CACDD" w14:textId="77777777" w:rsidR="00AA6A31" w:rsidRPr="00E90E7F" w:rsidRDefault="00AA6A31" w:rsidP="00AA6A31">
      <w:pPr>
        <w:pStyle w:val="Ref"/>
        <w:ind w:left="0" w:firstLine="0"/>
        <w:rPr>
          <w:smallCaps/>
          <w:u w:val="double"/>
          <w:lang w:val="en-US"/>
        </w:rPr>
      </w:pPr>
      <w:r w:rsidRPr="00E90E7F">
        <w:rPr>
          <w:smallCaps/>
          <w:u w:val="double"/>
        </w:rPr>
        <w:t>Kleven S.H. (2008).</w:t>
      </w:r>
      <w:r w:rsidRPr="00E90E7F">
        <w:rPr>
          <w:u w:val="double"/>
        </w:rPr>
        <w:t xml:space="preserve"> Control of avian mycoplasma infections in commercial poultry. </w:t>
      </w:r>
      <w:r w:rsidRPr="00E90E7F">
        <w:rPr>
          <w:i/>
          <w:u w:val="double"/>
        </w:rPr>
        <w:t>Avian Dis.</w:t>
      </w:r>
      <w:r w:rsidRPr="00E90E7F">
        <w:rPr>
          <w:u w:val="double"/>
        </w:rPr>
        <w:t xml:space="preserve">, </w:t>
      </w:r>
      <w:r w:rsidRPr="00E90E7F">
        <w:rPr>
          <w:b/>
          <w:u w:val="double"/>
        </w:rPr>
        <w:t>52</w:t>
      </w:r>
      <w:r w:rsidRPr="00E90E7F">
        <w:rPr>
          <w:u w:val="double"/>
        </w:rPr>
        <w:t>, 367–374.</w:t>
      </w:r>
    </w:p>
    <w:p w14:paraId="1CB2DAB0" w14:textId="77777777" w:rsidR="00186891" w:rsidRPr="00AA6A31" w:rsidRDefault="00186891" w:rsidP="00572B91">
      <w:pPr>
        <w:pStyle w:val="Ref"/>
        <w:ind w:left="0" w:firstLine="0"/>
        <w:rPr>
          <w:strike/>
        </w:rPr>
      </w:pPr>
      <w:r w:rsidRPr="00AA6A31">
        <w:rPr>
          <w:smallCaps/>
          <w:strike/>
        </w:rPr>
        <w:t>Kleven S.H., Fletcher O.J. &amp; Davis R.B</w:t>
      </w:r>
      <w:r w:rsidRPr="00AA6A31">
        <w:rPr>
          <w:strike/>
        </w:rPr>
        <w:t xml:space="preserve">. (1973). Variation of pathogenicity of isolates of </w:t>
      </w:r>
      <w:r w:rsidRPr="00AA6A31">
        <w:rPr>
          <w:i/>
          <w:iCs/>
          <w:strike/>
        </w:rPr>
        <w:t>Mycoplasma</w:t>
      </w:r>
      <w:r w:rsidRPr="00AA6A31">
        <w:rPr>
          <w:strike/>
        </w:rPr>
        <w:t xml:space="preserve"> </w:t>
      </w:r>
      <w:r w:rsidRPr="00AA6A31">
        <w:rPr>
          <w:i/>
          <w:iCs/>
          <w:strike/>
        </w:rPr>
        <w:t>synoviae</w:t>
      </w:r>
      <w:r w:rsidRPr="00AA6A31">
        <w:rPr>
          <w:strike/>
        </w:rPr>
        <w:t xml:space="preserve"> with respect to development of airsacculitis and synovitis in broilers. </w:t>
      </w:r>
      <w:r w:rsidRPr="00AA6A31">
        <w:rPr>
          <w:i/>
          <w:strike/>
        </w:rPr>
        <w:t>Am. J. Vet. Res.</w:t>
      </w:r>
      <w:r w:rsidRPr="00AA6A31">
        <w:rPr>
          <w:strike/>
        </w:rPr>
        <w:t xml:space="preserve">, </w:t>
      </w:r>
      <w:r w:rsidRPr="00AA6A31">
        <w:rPr>
          <w:b/>
          <w:strike/>
        </w:rPr>
        <w:t>163</w:t>
      </w:r>
      <w:r w:rsidRPr="00AA6A31">
        <w:rPr>
          <w:strike/>
        </w:rPr>
        <w:t>, 1196–1196.</w:t>
      </w:r>
    </w:p>
    <w:p w14:paraId="147C62CA" w14:textId="77777777" w:rsidR="00186891" w:rsidRPr="00AA6A31" w:rsidRDefault="00186891" w:rsidP="00D41FBE">
      <w:pPr>
        <w:pStyle w:val="Ref"/>
        <w:ind w:left="0" w:firstLine="0"/>
        <w:rPr>
          <w:strike/>
        </w:rPr>
      </w:pPr>
      <w:r w:rsidRPr="00AA6A31">
        <w:rPr>
          <w:smallCaps/>
          <w:strike/>
        </w:rPr>
        <w:t>Kleven S.H., King D.D. &amp; Anderson D.P.</w:t>
      </w:r>
      <w:r w:rsidRPr="00AA6A31">
        <w:rPr>
          <w:strike/>
        </w:rPr>
        <w:t xml:space="preserve"> (1972). Airsacculitis in broilers from </w:t>
      </w:r>
      <w:r w:rsidRPr="00AA6A31">
        <w:rPr>
          <w:i/>
          <w:iCs/>
          <w:strike/>
        </w:rPr>
        <w:t>Mycoplasma synoviae:</w:t>
      </w:r>
      <w:r w:rsidRPr="00AA6A31">
        <w:rPr>
          <w:strike/>
        </w:rPr>
        <w:t xml:space="preserve"> effect on air-sac lesions of vaccinating with infectious bronchitis and Newcastle virus. </w:t>
      </w:r>
      <w:r w:rsidRPr="00AA6A31">
        <w:rPr>
          <w:i/>
          <w:strike/>
        </w:rPr>
        <w:t>Avian Dis.</w:t>
      </w:r>
      <w:r w:rsidRPr="00AA6A31">
        <w:rPr>
          <w:strike/>
        </w:rPr>
        <w:t xml:space="preserve">, </w:t>
      </w:r>
      <w:r w:rsidRPr="00AA6A31">
        <w:rPr>
          <w:b/>
          <w:strike/>
        </w:rPr>
        <w:t>16</w:t>
      </w:r>
      <w:r w:rsidRPr="00AA6A31">
        <w:rPr>
          <w:strike/>
        </w:rPr>
        <w:t>, 915–924.</w:t>
      </w:r>
    </w:p>
    <w:p w14:paraId="02E6927D" w14:textId="77777777" w:rsidR="00186891" w:rsidRPr="00E163F0" w:rsidRDefault="00186891" w:rsidP="00D41FBE">
      <w:pPr>
        <w:pStyle w:val="Ref"/>
        <w:ind w:left="0" w:firstLine="0"/>
      </w:pPr>
      <w:r w:rsidRPr="00E163F0">
        <w:rPr>
          <w:smallCaps/>
        </w:rPr>
        <w:t>Kleven S.H., Morrow C.J. &amp; Whithear K.G</w:t>
      </w:r>
      <w:r w:rsidRPr="00E163F0">
        <w:t xml:space="preserve">. (1988). Comparison of </w:t>
      </w:r>
      <w:r w:rsidRPr="00E163F0">
        <w:rPr>
          <w:i/>
          <w:iCs/>
        </w:rPr>
        <w:t>Mycoplasma gallisepticum</w:t>
      </w:r>
      <w:r w:rsidRPr="00E163F0">
        <w:t xml:space="preserve"> strains by hemagglutination-inhibition and restriction endonuclease analysis. </w:t>
      </w:r>
      <w:r w:rsidRPr="00E163F0">
        <w:rPr>
          <w:i/>
        </w:rPr>
        <w:t>Avian Dis.</w:t>
      </w:r>
      <w:r w:rsidRPr="00E163F0">
        <w:t xml:space="preserve">, </w:t>
      </w:r>
      <w:r w:rsidRPr="00E163F0">
        <w:rPr>
          <w:b/>
        </w:rPr>
        <w:t>32</w:t>
      </w:r>
      <w:r w:rsidRPr="00E163F0">
        <w:t>, 731–741.</w:t>
      </w:r>
    </w:p>
    <w:p w14:paraId="628E743D" w14:textId="77777777" w:rsidR="00186891" w:rsidRPr="00E163F0" w:rsidRDefault="00186891" w:rsidP="00572B91">
      <w:pPr>
        <w:pStyle w:val="Ref"/>
        <w:ind w:left="0" w:firstLine="0"/>
      </w:pPr>
      <w:r w:rsidRPr="00E163F0">
        <w:rPr>
          <w:smallCaps/>
        </w:rPr>
        <w:t>Kotani H. &amp; McGarrity G.J.</w:t>
      </w:r>
      <w:r w:rsidRPr="00E163F0">
        <w:t xml:space="preserve"> (1985). Rapid and simple identification of Mycoplasmas by immunobinding. </w:t>
      </w:r>
      <w:r w:rsidRPr="00E163F0">
        <w:rPr>
          <w:i/>
        </w:rPr>
        <w:t>J. Immunol. Methods</w:t>
      </w:r>
      <w:r w:rsidRPr="00E163F0">
        <w:t xml:space="preserve">, </w:t>
      </w:r>
      <w:r w:rsidRPr="00E163F0">
        <w:rPr>
          <w:b/>
        </w:rPr>
        <w:t>85</w:t>
      </w:r>
      <w:r w:rsidRPr="00E163F0">
        <w:t>, 257–267.</w:t>
      </w:r>
    </w:p>
    <w:p w14:paraId="639544EB" w14:textId="31F08702" w:rsidR="00235D3F" w:rsidRPr="00E90E7F" w:rsidRDefault="00235D3F" w:rsidP="00235D3F">
      <w:pPr>
        <w:pStyle w:val="Ref"/>
        <w:ind w:left="0" w:firstLine="0"/>
        <w:rPr>
          <w:smallCaps/>
          <w:u w:val="double"/>
        </w:rPr>
      </w:pPr>
      <w:r w:rsidRPr="00E90E7F">
        <w:rPr>
          <w:smallCaps/>
          <w:u w:val="double"/>
        </w:rPr>
        <w:t>Kreizinger Z., Sulyok K. M, Bekő K., Kovács Á. B., Grózner D., Felde O., Marton S., Bányai K., Catania S., Benčina D. &amp; Gyuranecz M. (</w:t>
      </w:r>
      <w:r>
        <w:rPr>
          <w:smallCaps/>
          <w:u w:val="double"/>
        </w:rPr>
        <w:t>2018</w:t>
      </w:r>
      <w:r w:rsidRPr="00E90E7F">
        <w:rPr>
          <w:smallCaps/>
          <w:u w:val="double"/>
        </w:rPr>
        <w:t>).</w:t>
      </w:r>
      <w:r w:rsidRPr="00E90E7F">
        <w:rPr>
          <w:u w:val="double"/>
        </w:rPr>
        <w:t xml:space="preserve"> Genotyping Mycoplasma synoviae: Development of a multi-locus variable </w:t>
      </w:r>
      <w:r w:rsidRPr="00E90E7F">
        <w:rPr>
          <w:u w:val="double"/>
        </w:rPr>
        <w:lastRenderedPageBreak/>
        <w:t xml:space="preserve">number of tandem-repeats analysis and comparison with current molecular typing methods. </w:t>
      </w:r>
      <w:r w:rsidRPr="00235D3F">
        <w:rPr>
          <w:i/>
          <w:u w:val="double"/>
        </w:rPr>
        <w:t>Vet. Microbiol</w:t>
      </w:r>
      <w:r w:rsidRPr="00E90E7F">
        <w:rPr>
          <w:u w:val="double"/>
        </w:rPr>
        <w:t xml:space="preserve">., </w:t>
      </w:r>
      <w:r w:rsidRPr="00E90E7F">
        <w:rPr>
          <w:b/>
          <w:u w:val="double"/>
        </w:rPr>
        <w:t>226</w:t>
      </w:r>
      <w:r w:rsidRPr="00E90E7F">
        <w:rPr>
          <w:u w:val="double"/>
        </w:rPr>
        <w:t>, 41</w:t>
      </w:r>
      <w:r>
        <w:rPr>
          <w:u w:val="double"/>
        </w:rPr>
        <w:t>–</w:t>
      </w:r>
      <w:r w:rsidRPr="00E90E7F">
        <w:rPr>
          <w:u w:val="double"/>
        </w:rPr>
        <w:t>41.</w:t>
      </w:r>
    </w:p>
    <w:p w14:paraId="41605797" w14:textId="4A7EE58A" w:rsidR="00AA6A31" w:rsidRPr="00E90E7F" w:rsidRDefault="00AA6A31" w:rsidP="00AA6A31">
      <w:pPr>
        <w:pStyle w:val="Ref"/>
        <w:ind w:left="0" w:firstLine="0"/>
        <w:rPr>
          <w:smallCaps/>
          <w:u w:val="double"/>
        </w:rPr>
      </w:pPr>
      <w:r w:rsidRPr="00E90E7F">
        <w:rPr>
          <w:smallCaps/>
          <w:u w:val="double"/>
        </w:rPr>
        <w:t>Kreizinger Z., Sulyok K.M., Grózner D., Bekő K., Dán Á., Szabó Z. &amp; Gyuranecz M. (2017).</w:t>
      </w:r>
      <w:r w:rsidRPr="00E90E7F">
        <w:rPr>
          <w:u w:val="double"/>
        </w:rPr>
        <w:t xml:space="preserve"> Development of mismatch amplification mutation assays for the differentiation of MS1 vaccine strain from wild-type </w:t>
      </w:r>
      <w:r w:rsidRPr="00235D3F">
        <w:rPr>
          <w:i/>
          <w:u w:val="double"/>
        </w:rPr>
        <w:t>Mycoplasma synoviae</w:t>
      </w:r>
      <w:r w:rsidRPr="00E90E7F">
        <w:rPr>
          <w:u w:val="double"/>
        </w:rPr>
        <w:t xml:space="preserve"> and MS-H vaccine strains. </w:t>
      </w:r>
      <w:r w:rsidRPr="00E90E7F">
        <w:rPr>
          <w:i/>
          <w:u w:val="double"/>
        </w:rPr>
        <w:t>PLoS One.</w:t>
      </w:r>
      <w:r w:rsidRPr="00E90E7F">
        <w:rPr>
          <w:u w:val="double"/>
        </w:rPr>
        <w:t xml:space="preserve">, </w:t>
      </w:r>
      <w:r w:rsidRPr="00E90E7F">
        <w:rPr>
          <w:b/>
          <w:u w:val="double"/>
        </w:rPr>
        <w:t>12</w:t>
      </w:r>
      <w:r w:rsidRPr="00E90E7F">
        <w:rPr>
          <w:u w:val="double"/>
        </w:rPr>
        <w:t>, e0175969 (doi: 10.1371/journal.pone.0175969)</w:t>
      </w:r>
    </w:p>
    <w:p w14:paraId="51A7A476" w14:textId="3FEA3AAA" w:rsidR="00AA6A31" w:rsidRPr="00E90E7F" w:rsidRDefault="00AA6A31" w:rsidP="00AA6A31">
      <w:pPr>
        <w:pStyle w:val="Ref"/>
        <w:ind w:left="0" w:firstLine="0"/>
        <w:rPr>
          <w:u w:val="double"/>
        </w:rPr>
      </w:pPr>
      <w:r w:rsidRPr="00E90E7F">
        <w:rPr>
          <w:smallCaps/>
          <w:u w:val="double"/>
        </w:rPr>
        <w:t>Landman W.J.</w:t>
      </w:r>
      <w:r w:rsidRPr="00E90E7F">
        <w:rPr>
          <w:u w:val="double"/>
        </w:rPr>
        <w:t xml:space="preserve"> (2014). Is </w:t>
      </w:r>
      <w:r w:rsidRPr="00276ECB">
        <w:rPr>
          <w:i/>
          <w:u w:val="double"/>
        </w:rPr>
        <w:t>Mycoplasma synoviae</w:t>
      </w:r>
      <w:r w:rsidRPr="00E90E7F">
        <w:rPr>
          <w:u w:val="double"/>
        </w:rPr>
        <w:t xml:space="preserve"> outrunning </w:t>
      </w:r>
      <w:r w:rsidRPr="00276ECB">
        <w:rPr>
          <w:i/>
          <w:u w:val="double"/>
        </w:rPr>
        <w:t>Mycoplasma gallisepticum?</w:t>
      </w:r>
      <w:r w:rsidRPr="00E90E7F">
        <w:rPr>
          <w:u w:val="double"/>
        </w:rPr>
        <w:t xml:space="preserve"> A viewpoint from the Netherlands. </w:t>
      </w:r>
      <w:r w:rsidRPr="00E90E7F">
        <w:rPr>
          <w:i/>
          <w:u w:val="double"/>
        </w:rPr>
        <w:t>Avian Pathol.</w:t>
      </w:r>
      <w:r w:rsidRPr="00E90E7F">
        <w:rPr>
          <w:u w:val="double"/>
        </w:rPr>
        <w:t xml:space="preserve">, </w:t>
      </w:r>
      <w:r w:rsidRPr="00E90E7F">
        <w:rPr>
          <w:b/>
          <w:u w:val="double"/>
        </w:rPr>
        <w:t>43</w:t>
      </w:r>
      <w:r w:rsidRPr="00E90E7F">
        <w:rPr>
          <w:u w:val="double"/>
        </w:rPr>
        <w:t>, 2–8 (doi: 10.1080/03079457.2014.881049).</w:t>
      </w:r>
    </w:p>
    <w:p w14:paraId="0E0E3629" w14:textId="77777777" w:rsidR="00186891" w:rsidRPr="00E163F0" w:rsidRDefault="00186891" w:rsidP="00572B91">
      <w:pPr>
        <w:pStyle w:val="Ref"/>
        <w:ind w:left="0" w:firstLine="0"/>
      </w:pPr>
      <w:r w:rsidRPr="00E163F0">
        <w:rPr>
          <w:smallCaps/>
        </w:rPr>
        <w:t>Landman W.J.M. &amp; Feberwee</w:t>
      </w:r>
      <w:r w:rsidRPr="00E163F0">
        <w:t xml:space="preserve"> A. (2004). Aerosol-induced </w:t>
      </w:r>
      <w:r w:rsidRPr="00E163F0">
        <w:rPr>
          <w:i/>
          <w:iCs/>
        </w:rPr>
        <w:t>Mycoplasma synoviae</w:t>
      </w:r>
      <w:r w:rsidRPr="00E163F0">
        <w:t xml:space="preserve"> arthritis: the synergistic effect of infectious bronchitis virus infection. </w:t>
      </w:r>
      <w:r w:rsidRPr="00E163F0">
        <w:rPr>
          <w:i/>
        </w:rPr>
        <w:t>Avian Pathol.</w:t>
      </w:r>
      <w:r w:rsidRPr="00E163F0">
        <w:t xml:space="preserve">, </w:t>
      </w:r>
      <w:r w:rsidRPr="00E163F0">
        <w:rPr>
          <w:b/>
        </w:rPr>
        <w:t>33</w:t>
      </w:r>
      <w:r w:rsidRPr="00E163F0">
        <w:t>, 591–598.</w:t>
      </w:r>
    </w:p>
    <w:p w14:paraId="52407FE3" w14:textId="77777777" w:rsidR="00186891" w:rsidRPr="00E163F0" w:rsidRDefault="00186891" w:rsidP="00572B91">
      <w:pPr>
        <w:pStyle w:val="Ref"/>
        <w:ind w:left="0" w:firstLine="0"/>
      </w:pPr>
      <w:r w:rsidRPr="00E163F0">
        <w:rPr>
          <w:smallCaps/>
        </w:rPr>
        <w:t>Lauerman</w:t>
      </w:r>
      <w:r w:rsidRPr="00E163F0">
        <w:t xml:space="preserve"> L.H. (1998). Mycoplasma PCR Assays. </w:t>
      </w:r>
      <w:r w:rsidRPr="00E163F0">
        <w:rPr>
          <w:i/>
        </w:rPr>
        <w:t>In</w:t>
      </w:r>
      <w:r w:rsidRPr="00E163F0">
        <w:t>: Nucleic Amplification Assays for Diagnosis of Animal Diseases, Lauerman L.H., ed. American Association of Veterinary Laboratory Diagnosticians, Auburn, AL, USA, 41–52.</w:t>
      </w:r>
    </w:p>
    <w:p w14:paraId="0F76FBC3" w14:textId="77777777" w:rsidR="00186891" w:rsidRPr="00AA6A31" w:rsidRDefault="00186891" w:rsidP="00572B91">
      <w:pPr>
        <w:pStyle w:val="Ref"/>
        <w:ind w:left="0" w:firstLine="0"/>
        <w:rPr>
          <w:strike/>
        </w:rPr>
      </w:pPr>
      <w:r w:rsidRPr="00AA6A31">
        <w:rPr>
          <w:smallCaps/>
          <w:strike/>
        </w:rPr>
        <w:t>Ley</w:t>
      </w:r>
      <w:r w:rsidRPr="00AA6A31">
        <w:rPr>
          <w:strike/>
        </w:rPr>
        <w:t xml:space="preserve"> D.H. (2003). </w:t>
      </w:r>
      <w:r w:rsidRPr="00AA6A31">
        <w:rPr>
          <w:i/>
          <w:iCs/>
          <w:strike/>
        </w:rPr>
        <w:t>Mycoplasma gallisepticum</w:t>
      </w:r>
      <w:r w:rsidRPr="00AA6A31">
        <w:rPr>
          <w:strike/>
        </w:rPr>
        <w:t xml:space="preserve"> infection. </w:t>
      </w:r>
      <w:r w:rsidRPr="00AA6A31">
        <w:rPr>
          <w:i/>
          <w:strike/>
        </w:rPr>
        <w:t>In</w:t>
      </w:r>
      <w:r w:rsidRPr="00AA6A31">
        <w:rPr>
          <w:strike/>
        </w:rPr>
        <w:t>: Diseases of Poultry, Saif Y.M., Barnes H.J., Glisson J.R., Fadly A.M., McDougald L.R. &amp; Swayne D.E., eds. Iowa State University Press, Ames, Iowa, USA, 722–744.</w:t>
      </w:r>
    </w:p>
    <w:p w14:paraId="62A52893" w14:textId="77777777" w:rsidR="00186891" w:rsidRPr="00AA6A31" w:rsidRDefault="00186891" w:rsidP="00572B91">
      <w:pPr>
        <w:pStyle w:val="Ref"/>
        <w:ind w:left="0" w:firstLine="0"/>
        <w:rPr>
          <w:strike/>
        </w:rPr>
      </w:pPr>
      <w:r w:rsidRPr="00AA6A31">
        <w:rPr>
          <w:smallCaps/>
          <w:strike/>
        </w:rPr>
        <w:t>Ley D.H., Mclaren J.M., Miles A.M., Barnes H.J., Miller S.H. &amp; Franz G.</w:t>
      </w:r>
      <w:r w:rsidRPr="00AA6A31">
        <w:rPr>
          <w:strike/>
        </w:rPr>
        <w:t xml:space="preserve"> (1997). Transmissibility of live </w:t>
      </w:r>
      <w:r w:rsidRPr="00AA6A31">
        <w:rPr>
          <w:i/>
          <w:iCs/>
          <w:strike/>
        </w:rPr>
        <w:t>Mycoplasma gallisepticum</w:t>
      </w:r>
      <w:r w:rsidRPr="00AA6A31">
        <w:rPr>
          <w:strike/>
        </w:rPr>
        <w:t xml:space="preserve"> vaccine strains ts-11 and 6/85 from vaccinated layer pullets to sentinel poultry. </w:t>
      </w:r>
      <w:r w:rsidRPr="00AA6A31">
        <w:rPr>
          <w:i/>
          <w:strike/>
        </w:rPr>
        <w:t>Avian Dis.</w:t>
      </w:r>
      <w:r w:rsidRPr="00AA6A31">
        <w:rPr>
          <w:strike/>
        </w:rPr>
        <w:t xml:space="preserve">, </w:t>
      </w:r>
      <w:r w:rsidRPr="00AA6A31">
        <w:rPr>
          <w:b/>
          <w:strike/>
        </w:rPr>
        <w:t>41</w:t>
      </w:r>
      <w:r w:rsidRPr="00AA6A31">
        <w:rPr>
          <w:strike/>
        </w:rPr>
        <w:t>, 187–194.</w:t>
      </w:r>
    </w:p>
    <w:p w14:paraId="75128D34" w14:textId="77777777" w:rsidR="00186891" w:rsidRPr="00AA6A31" w:rsidRDefault="00186891" w:rsidP="00572B91">
      <w:pPr>
        <w:pStyle w:val="Ref"/>
        <w:ind w:left="0" w:firstLine="0"/>
        <w:rPr>
          <w:strike/>
        </w:rPr>
      </w:pPr>
      <w:r w:rsidRPr="00AA6A31">
        <w:rPr>
          <w:smallCaps/>
          <w:strike/>
        </w:rPr>
        <w:t>Lockaby S.B., Hoerr F.J., Lauerman L.H., Smith B.F., Samoylov A.M., Toivio-Kinnucan M.A. &amp; Kleven S.H.</w:t>
      </w:r>
      <w:r w:rsidRPr="00AA6A31">
        <w:rPr>
          <w:strike/>
        </w:rPr>
        <w:t xml:space="preserve"> (1999). Factors associated with virulence of </w:t>
      </w:r>
      <w:r w:rsidRPr="00AA6A31">
        <w:rPr>
          <w:i/>
          <w:iCs/>
          <w:strike/>
        </w:rPr>
        <w:t>Mycoplasma synoviae</w:t>
      </w:r>
      <w:r w:rsidRPr="00AA6A31">
        <w:rPr>
          <w:strike/>
        </w:rPr>
        <w:t xml:space="preserve">. </w:t>
      </w:r>
      <w:r w:rsidRPr="00AA6A31">
        <w:rPr>
          <w:i/>
          <w:strike/>
        </w:rPr>
        <w:t>Avian Dis.</w:t>
      </w:r>
      <w:r w:rsidRPr="00AA6A31">
        <w:rPr>
          <w:strike/>
        </w:rPr>
        <w:t xml:space="preserve">, </w:t>
      </w:r>
      <w:r w:rsidRPr="00AA6A31">
        <w:rPr>
          <w:b/>
          <w:strike/>
        </w:rPr>
        <w:t>43</w:t>
      </w:r>
      <w:r w:rsidRPr="00AA6A31">
        <w:rPr>
          <w:strike/>
        </w:rPr>
        <w:t>, 251–261.</w:t>
      </w:r>
    </w:p>
    <w:p w14:paraId="63C0031E" w14:textId="77777777" w:rsidR="00186891" w:rsidRPr="00AA6A31" w:rsidRDefault="00186891" w:rsidP="00572B91">
      <w:pPr>
        <w:pStyle w:val="Ref"/>
        <w:ind w:left="0" w:firstLine="0"/>
        <w:rPr>
          <w:strike/>
        </w:rPr>
      </w:pPr>
      <w:r w:rsidRPr="00AA6A31">
        <w:rPr>
          <w:smallCaps/>
          <w:strike/>
        </w:rPr>
        <w:t>Luttrell M.P., Fischer J.R., Stallknecht D.E. &amp; Kleven S.H.</w:t>
      </w:r>
      <w:r w:rsidRPr="00AA6A31">
        <w:rPr>
          <w:strike/>
        </w:rPr>
        <w:t xml:space="preserve"> (1996). Field investigation of </w:t>
      </w:r>
      <w:r w:rsidRPr="00AA6A31">
        <w:rPr>
          <w:i/>
          <w:iCs/>
          <w:strike/>
        </w:rPr>
        <w:t>Mycoplasma gallisepticum</w:t>
      </w:r>
      <w:r w:rsidRPr="00AA6A31">
        <w:rPr>
          <w:strike/>
        </w:rPr>
        <w:t xml:space="preserve"> infections in house finches (</w:t>
      </w:r>
      <w:r w:rsidRPr="00AA6A31">
        <w:rPr>
          <w:i/>
          <w:iCs/>
          <w:strike/>
        </w:rPr>
        <w:t>Carpodacus mexicanus</w:t>
      </w:r>
      <w:r w:rsidRPr="00AA6A31">
        <w:rPr>
          <w:strike/>
        </w:rPr>
        <w:t xml:space="preserve">) from Maryland and Georgia. </w:t>
      </w:r>
      <w:r w:rsidRPr="00AA6A31">
        <w:rPr>
          <w:i/>
          <w:strike/>
        </w:rPr>
        <w:t>Avian Dis.</w:t>
      </w:r>
      <w:r w:rsidRPr="00AA6A31">
        <w:rPr>
          <w:strike/>
        </w:rPr>
        <w:t xml:space="preserve">, </w:t>
      </w:r>
      <w:r w:rsidRPr="00AA6A31">
        <w:rPr>
          <w:b/>
          <w:strike/>
        </w:rPr>
        <w:t>40</w:t>
      </w:r>
      <w:r w:rsidRPr="00AA6A31">
        <w:rPr>
          <w:strike/>
        </w:rPr>
        <w:t>, 335–341.</w:t>
      </w:r>
    </w:p>
    <w:p w14:paraId="58448038" w14:textId="77777777" w:rsidR="00186891" w:rsidRPr="00AA6A31" w:rsidRDefault="00186891" w:rsidP="00572B91">
      <w:pPr>
        <w:pStyle w:val="Ref"/>
        <w:ind w:left="0" w:firstLine="0"/>
        <w:rPr>
          <w:strike/>
        </w:rPr>
      </w:pPr>
      <w:r w:rsidRPr="00AA6A31">
        <w:rPr>
          <w:smallCaps/>
          <w:strike/>
        </w:rPr>
        <w:t>Mallinson E.T., Eckroade R.J. &amp; Kleven</w:t>
      </w:r>
      <w:r w:rsidRPr="00AA6A31">
        <w:rPr>
          <w:strike/>
        </w:rPr>
        <w:t xml:space="preserve"> S.H. (1981). </w:t>
      </w:r>
      <w:r w:rsidRPr="00AA6A31">
        <w:rPr>
          <w:i/>
          <w:iCs/>
          <w:strike/>
        </w:rPr>
        <w:t>In vivo</w:t>
      </w:r>
      <w:r w:rsidRPr="00AA6A31">
        <w:rPr>
          <w:strike/>
        </w:rPr>
        <w:t xml:space="preserve"> bioassay and supplemental serologic techniques for the detection of </w:t>
      </w:r>
      <w:r w:rsidRPr="00AA6A31">
        <w:rPr>
          <w:i/>
          <w:iCs/>
          <w:strike/>
        </w:rPr>
        <w:t>Mycoplasma</w:t>
      </w:r>
      <w:r w:rsidRPr="00AA6A31">
        <w:rPr>
          <w:strike/>
        </w:rPr>
        <w:t xml:space="preserve"> in suspect breeding chickens. </w:t>
      </w:r>
      <w:r w:rsidRPr="00AA6A31">
        <w:rPr>
          <w:i/>
          <w:strike/>
        </w:rPr>
        <w:t>Avian Dis.</w:t>
      </w:r>
      <w:r w:rsidRPr="00AA6A31">
        <w:rPr>
          <w:strike/>
        </w:rPr>
        <w:t xml:space="preserve">, </w:t>
      </w:r>
      <w:r w:rsidRPr="00AA6A31">
        <w:rPr>
          <w:b/>
          <w:strike/>
        </w:rPr>
        <w:t>25</w:t>
      </w:r>
      <w:r w:rsidRPr="00AA6A31">
        <w:rPr>
          <w:strike/>
        </w:rPr>
        <w:t>, 1077–1082.</w:t>
      </w:r>
    </w:p>
    <w:p w14:paraId="56F7DAE1" w14:textId="77777777" w:rsidR="00186891" w:rsidRPr="00AA6A31" w:rsidRDefault="00186891" w:rsidP="00572B91">
      <w:pPr>
        <w:pStyle w:val="Ref"/>
        <w:ind w:left="0" w:firstLine="0"/>
        <w:rPr>
          <w:strike/>
        </w:rPr>
      </w:pPr>
      <w:r w:rsidRPr="00AA6A31">
        <w:rPr>
          <w:strike/>
        </w:rPr>
        <w:t>M</w:t>
      </w:r>
      <w:r w:rsidRPr="00AA6A31">
        <w:rPr>
          <w:smallCaps/>
          <w:strike/>
        </w:rPr>
        <w:t>arkham</w:t>
      </w:r>
      <w:r w:rsidRPr="00AA6A31">
        <w:rPr>
          <w:strike/>
        </w:rPr>
        <w:t xml:space="preserve"> J.F., M</w:t>
      </w:r>
      <w:r w:rsidRPr="00AA6A31">
        <w:rPr>
          <w:smallCaps/>
          <w:strike/>
        </w:rPr>
        <w:t>orrow</w:t>
      </w:r>
      <w:r w:rsidR="00750F8F" w:rsidRPr="00AA6A31">
        <w:rPr>
          <w:strike/>
        </w:rPr>
        <w:t xml:space="preserve"> C.J.</w:t>
      </w:r>
      <w:r w:rsidRPr="00AA6A31">
        <w:rPr>
          <w:strike/>
        </w:rPr>
        <w:t xml:space="preserve"> &amp; W</w:t>
      </w:r>
      <w:r w:rsidRPr="00AA6A31">
        <w:rPr>
          <w:smallCaps/>
          <w:strike/>
        </w:rPr>
        <w:t>hithear</w:t>
      </w:r>
      <w:r w:rsidRPr="00AA6A31">
        <w:rPr>
          <w:strike/>
        </w:rPr>
        <w:t xml:space="preserve"> K.G. (1998). Efficacy of a temperature-sensitive </w:t>
      </w:r>
      <w:r w:rsidRPr="00AA6A31">
        <w:rPr>
          <w:i/>
          <w:iCs/>
          <w:strike/>
        </w:rPr>
        <w:t xml:space="preserve">Mycoplasma synoviae </w:t>
      </w:r>
      <w:r w:rsidRPr="00AA6A31">
        <w:rPr>
          <w:strike/>
        </w:rPr>
        <w:t>live vaccine.</w:t>
      </w:r>
      <w:r w:rsidRPr="00AA6A31">
        <w:rPr>
          <w:i/>
          <w:iCs/>
          <w:strike/>
        </w:rPr>
        <w:t xml:space="preserve"> Avian Dis</w:t>
      </w:r>
      <w:r w:rsidRPr="00AA6A31">
        <w:rPr>
          <w:strike/>
        </w:rPr>
        <w:t>.</w:t>
      </w:r>
      <w:r w:rsidR="00750F8F" w:rsidRPr="00AA6A31">
        <w:rPr>
          <w:strike/>
        </w:rPr>
        <w:t>,</w:t>
      </w:r>
      <w:r w:rsidRPr="00AA6A31">
        <w:rPr>
          <w:strike/>
        </w:rPr>
        <w:t xml:space="preserve"> </w:t>
      </w:r>
      <w:r w:rsidRPr="00AA6A31">
        <w:rPr>
          <w:b/>
          <w:strike/>
        </w:rPr>
        <w:t>42</w:t>
      </w:r>
      <w:r w:rsidRPr="00AA6A31">
        <w:rPr>
          <w:strike/>
        </w:rPr>
        <w:t>, 671</w:t>
      </w:r>
      <w:r w:rsidR="00750F8F" w:rsidRPr="00AA6A31">
        <w:rPr>
          <w:strike/>
        </w:rPr>
        <w:t>–</w:t>
      </w:r>
      <w:r w:rsidRPr="00AA6A31">
        <w:rPr>
          <w:strike/>
        </w:rPr>
        <w:t>676.</w:t>
      </w:r>
    </w:p>
    <w:p w14:paraId="7D94D136" w14:textId="77777777" w:rsidR="00186891" w:rsidRPr="00AA6A31" w:rsidRDefault="00186891" w:rsidP="00572B91">
      <w:pPr>
        <w:pStyle w:val="Ref"/>
        <w:ind w:left="0" w:firstLine="0"/>
        <w:rPr>
          <w:strike/>
        </w:rPr>
      </w:pPr>
      <w:r w:rsidRPr="00AA6A31">
        <w:rPr>
          <w:smallCaps/>
          <w:strike/>
          <w:lang w:val="de-DE"/>
        </w:rPr>
        <w:t>Marois C., Dufour-Gesbert F. &amp; Kempf</w:t>
      </w:r>
      <w:r w:rsidRPr="00AA6A31">
        <w:rPr>
          <w:strike/>
          <w:lang w:val="de-DE"/>
        </w:rPr>
        <w:t xml:space="preserve"> I. (2002). </w:t>
      </w:r>
      <w:r w:rsidRPr="00AA6A31">
        <w:rPr>
          <w:strike/>
        </w:rPr>
        <w:t xml:space="preserve">Polymerase chain reaction for detection of </w:t>
      </w:r>
      <w:r w:rsidRPr="00AA6A31">
        <w:rPr>
          <w:i/>
          <w:iCs/>
          <w:strike/>
        </w:rPr>
        <w:t>Mycoplasma gallisepticum</w:t>
      </w:r>
      <w:r w:rsidRPr="00AA6A31">
        <w:rPr>
          <w:strike/>
        </w:rPr>
        <w:t xml:space="preserve"> in environmental samples. </w:t>
      </w:r>
      <w:r w:rsidRPr="00AA6A31">
        <w:rPr>
          <w:i/>
          <w:strike/>
        </w:rPr>
        <w:t>Avian Pathol.</w:t>
      </w:r>
      <w:r w:rsidRPr="00AA6A31">
        <w:rPr>
          <w:strike/>
        </w:rPr>
        <w:t xml:space="preserve">, </w:t>
      </w:r>
      <w:r w:rsidRPr="00AA6A31">
        <w:rPr>
          <w:b/>
          <w:strike/>
        </w:rPr>
        <w:t>31</w:t>
      </w:r>
      <w:r w:rsidRPr="00AA6A31">
        <w:rPr>
          <w:strike/>
        </w:rPr>
        <w:t xml:space="preserve">, 163–168. </w:t>
      </w:r>
    </w:p>
    <w:p w14:paraId="6B1A730B" w14:textId="77777777" w:rsidR="00AA6A31" w:rsidRPr="00E90E7F" w:rsidRDefault="00AA6A31" w:rsidP="00AA6A31">
      <w:pPr>
        <w:pStyle w:val="Ref"/>
        <w:ind w:left="0" w:firstLine="0"/>
        <w:rPr>
          <w:smallCaps/>
          <w:u w:val="double"/>
        </w:rPr>
      </w:pPr>
      <w:r w:rsidRPr="00E90E7F">
        <w:rPr>
          <w:u w:val="double"/>
        </w:rPr>
        <w:t>M</w:t>
      </w:r>
      <w:r w:rsidRPr="00E90E7F">
        <w:rPr>
          <w:sz w:val="14"/>
          <w:szCs w:val="14"/>
          <w:u w:val="double"/>
        </w:rPr>
        <w:t>C</w:t>
      </w:r>
      <w:r w:rsidRPr="00E90E7F">
        <w:rPr>
          <w:u w:val="double"/>
        </w:rPr>
        <w:t>A</w:t>
      </w:r>
      <w:r w:rsidRPr="00E90E7F">
        <w:rPr>
          <w:sz w:val="14"/>
          <w:szCs w:val="14"/>
          <w:u w:val="double"/>
        </w:rPr>
        <w:t xml:space="preserve">ULIFFE </w:t>
      </w:r>
      <w:r w:rsidRPr="00E90E7F">
        <w:rPr>
          <w:u w:val="double"/>
        </w:rPr>
        <w:t>L., E</w:t>
      </w:r>
      <w:r w:rsidRPr="00E90E7F">
        <w:rPr>
          <w:sz w:val="14"/>
          <w:szCs w:val="14"/>
          <w:u w:val="double"/>
        </w:rPr>
        <w:t xml:space="preserve">LLIS </w:t>
      </w:r>
      <w:r w:rsidRPr="00E90E7F">
        <w:rPr>
          <w:u w:val="double"/>
        </w:rPr>
        <w:t>R., L</w:t>
      </w:r>
      <w:r w:rsidRPr="00E90E7F">
        <w:rPr>
          <w:sz w:val="14"/>
          <w:szCs w:val="14"/>
          <w:u w:val="double"/>
        </w:rPr>
        <w:t xml:space="preserve">AWES </w:t>
      </w:r>
      <w:r w:rsidRPr="00E90E7F">
        <w:rPr>
          <w:u w:val="double"/>
        </w:rPr>
        <w:t>J., A</w:t>
      </w:r>
      <w:r w:rsidRPr="00E90E7F">
        <w:rPr>
          <w:sz w:val="14"/>
          <w:szCs w:val="14"/>
          <w:u w:val="double"/>
        </w:rPr>
        <w:t xml:space="preserve">YLING </w:t>
      </w:r>
      <w:r w:rsidRPr="00E90E7F">
        <w:rPr>
          <w:u w:val="double"/>
        </w:rPr>
        <w:t>R.D. &amp; N</w:t>
      </w:r>
      <w:r w:rsidRPr="00E90E7F">
        <w:rPr>
          <w:sz w:val="14"/>
          <w:szCs w:val="14"/>
          <w:u w:val="double"/>
        </w:rPr>
        <w:t xml:space="preserve">ICHOLAS </w:t>
      </w:r>
      <w:r w:rsidRPr="00E90E7F">
        <w:rPr>
          <w:u w:val="double"/>
        </w:rPr>
        <w:t xml:space="preserve">R.A.J (2005). 16S rDNA and DGGE: a single generic test for detecting and differentiating </w:t>
      </w:r>
      <w:r w:rsidRPr="00E90E7F">
        <w:rPr>
          <w:i/>
          <w:iCs/>
          <w:u w:val="double"/>
        </w:rPr>
        <w:t xml:space="preserve">Mycoplasma </w:t>
      </w:r>
      <w:r w:rsidRPr="00E90E7F">
        <w:rPr>
          <w:u w:val="double"/>
        </w:rPr>
        <w:t xml:space="preserve">species. </w:t>
      </w:r>
      <w:r w:rsidRPr="00E90E7F">
        <w:rPr>
          <w:i/>
          <w:iCs/>
          <w:u w:val="double"/>
        </w:rPr>
        <w:t>J. Med. Microbiol</w:t>
      </w:r>
      <w:r w:rsidRPr="00E90E7F">
        <w:rPr>
          <w:u w:val="double"/>
        </w:rPr>
        <w:t xml:space="preserve">., </w:t>
      </w:r>
      <w:r w:rsidRPr="00E90E7F">
        <w:rPr>
          <w:b/>
          <w:bCs/>
          <w:u w:val="double"/>
        </w:rPr>
        <w:t>54</w:t>
      </w:r>
      <w:r w:rsidRPr="00E90E7F">
        <w:rPr>
          <w:u w:val="double"/>
        </w:rPr>
        <w:t>, 1–9.</w:t>
      </w:r>
    </w:p>
    <w:p w14:paraId="121345CB" w14:textId="09269BE4" w:rsidR="00AA6A31" w:rsidRPr="007A2047" w:rsidRDefault="00AA6A31" w:rsidP="00AA6A31">
      <w:pPr>
        <w:pStyle w:val="Ref"/>
        <w:ind w:left="0" w:firstLine="0"/>
        <w:rPr>
          <w:smallCaps/>
          <w:u w:val="double"/>
        </w:rPr>
      </w:pPr>
      <w:r w:rsidRPr="00E90E7F">
        <w:rPr>
          <w:smallCaps/>
          <w:u w:val="double"/>
        </w:rPr>
        <w:t>Raviv Z. &amp; Kleven S.H. (2009).</w:t>
      </w:r>
      <w:r w:rsidRPr="00E90E7F">
        <w:rPr>
          <w:u w:val="double"/>
        </w:rPr>
        <w:t xml:space="preserve"> The development of diagnostic real-time TaqMan PCRs for the four pathogenic avian mycoplasmas. </w:t>
      </w:r>
      <w:r w:rsidRPr="007A2047">
        <w:rPr>
          <w:i/>
          <w:u w:val="double"/>
        </w:rPr>
        <w:t>Avian Dis.</w:t>
      </w:r>
      <w:r w:rsidRPr="007A2047">
        <w:rPr>
          <w:u w:val="double"/>
        </w:rPr>
        <w:t xml:space="preserve">, </w:t>
      </w:r>
      <w:r w:rsidRPr="007A2047">
        <w:rPr>
          <w:b/>
          <w:u w:val="double"/>
        </w:rPr>
        <w:t>53</w:t>
      </w:r>
      <w:r w:rsidRPr="007A2047">
        <w:rPr>
          <w:u w:val="double"/>
        </w:rPr>
        <w:t>, 103–107.</w:t>
      </w:r>
    </w:p>
    <w:p w14:paraId="086929C8" w14:textId="7CD17B68" w:rsidR="00AA6A31" w:rsidRPr="00E90E7F" w:rsidRDefault="00AA6A31" w:rsidP="00AA6A31">
      <w:pPr>
        <w:pStyle w:val="Ref"/>
        <w:ind w:left="0" w:firstLine="0"/>
        <w:rPr>
          <w:u w:val="double"/>
        </w:rPr>
      </w:pPr>
      <w:r w:rsidRPr="007A2047">
        <w:rPr>
          <w:smallCaps/>
          <w:u w:val="double"/>
        </w:rPr>
        <w:t>Raviv Z. &amp; Ley</w:t>
      </w:r>
      <w:r w:rsidRPr="007A2047">
        <w:rPr>
          <w:u w:val="double"/>
        </w:rPr>
        <w:t xml:space="preserve"> D.H. (2013). </w:t>
      </w:r>
      <w:r w:rsidRPr="007A2047">
        <w:rPr>
          <w:i/>
          <w:iCs/>
          <w:u w:val="double"/>
        </w:rPr>
        <w:t>Mycoplasma gallisepticum</w:t>
      </w:r>
      <w:r w:rsidRPr="007A2047">
        <w:rPr>
          <w:u w:val="double"/>
        </w:rPr>
        <w:t xml:space="preserve"> infection. </w:t>
      </w:r>
      <w:r w:rsidRPr="00E90E7F">
        <w:rPr>
          <w:i/>
          <w:u w:val="double"/>
        </w:rPr>
        <w:t>In</w:t>
      </w:r>
      <w:r w:rsidRPr="00E90E7F">
        <w:rPr>
          <w:u w:val="double"/>
        </w:rPr>
        <w:t xml:space="preserve">: </w:t>
      </w:r>
      <w:r w:rsidR="00276ECB" w:rsidRPr="00E90E7F">
        <w:rPr>
          <w:u w:val="double"/>
        </w:rPr>
        <w:t xml:space="preserve">Diseases of Poultry, </w:t>
      </w:r>
      <w:r w:rsidR="00276ECB">
        <w:rPr>
          <w:u w:val="double"/>
        </w:rPr>
        <w:t>13</w:t>
      </w:r>
      <w:r w:rsidR="00276ECB" w:rsidRPr="006D79FC">
        <w:rPr>
          <w:u w:val="double"/>
          <w:vertAlign w:val="superscript"/>
        </w:rPr>
        <w:t>th</w:t>
      </w:r>
      <w:r w:rsidR="00276ECB">
        <w:rPr>
          <w:u w:val="double"/>
        </w:rPr>
        <w:t xml:space="preserve"> Edition, </w:t>
      </w:r>
      <w:r w:rsidR="00276ECB" w:rsidRPr="00E90E7F">
        <w:rPr>
          <w:u w:val="double"/>
        </w:rPr>
        <w:t>Swayne</w:t>
      </w:r>
      <w:r w:rsidR="00276ECB" w:rsidRPr="009A0D1F">
        <w:rPr>
          <w:u w:val="double"/>
        </w:rPr>
        <w:t xml:space="preserve"> </w:t>
      </w:r>
      <w:r w:rsidR="00276ECB" w:rsidRPr="00E90E7F">
        <w:rPr>
          <w:u w:val="double"/>
        </w:rPr>
        <w:t>David</w:t>
      </w:r>
      <w:r w:rsidR="00276ECB" w:rsidRPr="009A0D1F">
        <w:rPr>
          <w:u w:val="double"/>
        </w:rPr>
        <w:t xml:space="preserve"> </w:t>
      </w:r>
      <w:r w:rsidR="00276ECB" w:rsidRPr="00E90E7F">
        <w:rPr>
          <w:u w:val="double"/>
        </w:rPr>
        <w:t>E., Glisson</w:t>
      </w:r>
      <w:r w:rsidR="00276ECB" w:rsidRPr="009A0D1F">
        <w:rPr>
          <w:u w:val="double"/>
        </w:rPr>
        <w:t xml:space="preserve"> </w:t>
      </w:r>
      <w:r w:rsidR="00276ECB" w:rsidRPr="00E90E7F">
        <w:rPr>
          <w:u w:val="double"/>
        </w:rPr>
        <w:t>J.R., McDougald</w:t>
      </w:r>
      <w:r w:rsidR="00276ECB" w:rsidRPr="009A0D1F">
        <w:rPr>
          <w:u w:val="double"/>
        </w:rPr>
        <w:t xml:space="preserve"> </w:t>
      </w:r>
      <w:r w:rsidR="00276ECB" w:rsidRPr="00E90E7F">
        <w:rPr>
          <w:u w:val="double"/>
        </w:rPr>
        <w:t>L.R., Nolan</w:t>
      </w:r>
      <w:r w:rsidR="00276ECB" w:rsidRPr="009A0D1F">
        <w:rPr>
          <w:u w:val="double"/>
        </w:rPr>
        <w:t xml:space="preserve"> </w:t>
      </w:r>
      <w:r w:rsidR="00276ECB" w:rsidRPr="00E90E7F">
        <w:rPr>
          <w:u w:val="double"/>
        </w:rPr>
        <w:t>L.K., Suarez</w:t>
      </w:r>
      <w:r w:rsidR="00276ECB" w:rsidRPr="009A0D1F">
        <w:rPr>
          <w:u w:val="double"/>
        </w:rPr>
        <w:t xml:space="preserve"> </w:t>
      </w:r>
      <w:r w:rsidR="00276ECB" w:rsidRPr="00E90E7F">
        <w:rPr>
          <w:u w:val="double"/>
        </w:rPr>
        <w:t>D.L.</w:t>
      </w:r>
      <w:r w:rsidR="00276ECB">
        <w:rPr>
          <w:u w:val="double"/>
        </w:rPr>
        <w:t xml:space="preserve"> &amp;</w:t>
      </w:r>
      <w:r w:rsidR="00276ECB" w:rsidRPr="00E90E7F">
        <w:rPr>
          <w:u w:val="double"/>
        </w:rPr>
        <w:t xml:space="preserve"> Nair</w:t>
      </w:r>
      <w:r w:rsidR="00276ECB" w:rsidRPr="009A0D1F">
        <w:rPr>
          <w:u w:val="double"/>
        </w:rPr>
        <w:t xml:space="preserve"> </w:t>
      </w:r>
      <w:r w:rsidR="00276ECB" w:rsidRPr="00E90E7F">
        <w:rPr>
          <w:u w:val="double"/>
        </w:rPr>
        <w:t>V.L.,</w:t>
      </w:r>
      <w:r w:rsidR="00276ECB">
        <w:rPr>
          <w:u w:val="double"/>
        </w:rPr>
        <w:t xml:space="preserve"> eds.</w:t>
      </w:r>
      <w:r w:rsidR="00276ECB" w:rsidRPr="00E90E7F">
        <w:rPr>
          <w:u w:val="double"/>
        </w:rPr>
        <w:t xml:space="preserve"> Wiley</w:t>
      </w:r>
      <w:r w:rsidR="00276ECB">
        <w:rPr>
          <w:u w:val="double"/>
        </w:rPr>
        <w:t>-</w:t>
      </w:r>
      <w:r w:rsidR="00276ECB" w:rsidRPr="00E90E7F">
        <w:rPr>
          <w:u w:val="double"/>
        </w:rPr>
        <w:t>Black</w:t>
      </w:r>
      <w:r w:rsidR="00276ECB">
        <w:rPr>
          <w:u w:val="double"/>
        </w:rPr>
        <w:t>w</w:t>
      </w:r>
      <w:r w:rsidR="00276ECB" w:rsidRPr="00E90E7F">
        <w:rPr>
          <w:u w:val="double"/>
        </w:rPr>
        <w:t xml:space="preserve">ell, </w:t>
      </w:r>
      <w:r w:rsidR="00276ECB">
        <w:rPr>
          <w:u w:val="double"/>
        </w:rPr>
        <w:t xml:space="preserve">Ames, Iowa, USA and Oxford, UK, </w:t>
      </w:r>
      <w:r w:rsidRPr="00E90E7F">
        <w:rPr>
          <w:u w:val="double"/>
        </w:rPr>
        <w:t>877–893.</w:t>
      </w:r>
    </w:p>
    <w:p w14:paraId="512AFEE6" w14:textId="77777777" w:rsidR="00186891" w:rsidRPr="00750F8F" w:rsidRDefault="00186891" w:rsidP="00572B91">
      <w:pPr>
        <w:pStyle w:val="Ref"/>
        <w:ind w:left="0" w:firstLine="0"/>
      </w:pPr>
      <w:r w:rsidRPr="00750F8F">
        <w:rPr>
          <w:smallCaps/>
        </w:rPr>
        <w:t>Rosendal S. &amp; Black F.</w:t>
      </w:r>
      <w:r w:rsidRPr="00750F8F">
        <w:t xml:space="preserve">T. (1972). Direct and indirect immunoflurescence of unfixed and fixed mycoplasma colonies. </w:t>
      </w:r>
      <w:r w:rsidRPr="00750F8F">
        <w:rPr>
          <w:i/>
        </w:rPr>
        <w:t xml:space="preserve">Acta Pathol. Microbiol. Scand. </w:t>
      </w:r>
      <w:r w:rsidRPr="00750F8F">
        <w:rPr>
          <w:iCs/>
        </w:rPr>
        <w:t>[</w:t>
      </w:r>
      <w:r w:rsidRPr="00750F8F">
        <w:rPr>
          <w:i/>
        </w:rPr>
        <w:t>B</w:t>
      </w:r>
      <w:r w:rsidRPr="00750F8F">
        <w:rPr>
          <w:iCs/>
        </w:rPr>
        <w:t>],</w:t>
      </w:r>
      <w:r w:rsidRPr="00750F8F">
        <w:t xml:space="preserve"> </w:t>
      </w:r>
      <w:r w:rsidRPr="00750F8F">
        <w:rPr>
          <w:b/>
        </w:rPr>
        <w:t>80</w:t>
      </w:r>
      <w:r w:rsidRPr="00750F8F">
        <w:t xml:space="preserve">, 615–622. </w:t>
      </w:r>
    </w:p>
    <w:p w14:paraId="329FD740" w14:textId="56642282" w:rsidR="00AA6A31" w:rsidRPr="00E90E7F" w:rsidRDefault="00AA6A31" w:rsidP="00AA6A31">
      <w:pPr>
        <w:pStyle w:val="Ref"/>
        <w:ind w:left="0" w:firstLine="0"/>
        <w:rPr>
          <w:u w:val="double"/>
        </w:rPr>
      </w:pPr>
      <w:r w:rsidRPr="00E90E7F">
        <w:rPr>
          <w:smallCaps/>
          <w:u w:val="double"/>
        </w:rPr>
        <w:t>Shahid</w:t>
      </w:r>
      <w:r w:rsidR="00F42581">
        <w:rPr>
          <w:smallCaps/>
          <w:u w:val="double"/>
        </w:rPr>
        <w:t xml:space="preserve"> </w:t>
      </w:r>
      <w:r w:rsidRPr="00E90E7F">
        <w:rPr>
          <w:smallCaps/>
          <w:u w:val="double"/>
        </w:rPr>
        <w:t xml:space="preserve">M.A., Markham P.F., Markham J.F., Marenda M.S. &amp; Noormohammadi A.H. (2013). </w:t>
      </w:r>
      <w:r w:rsidRPr="00E90E7F">
        <w:rPr>
          <w:u w:val="double"/>
        </w:rPr>
        <w:t>Mutations in GTP binding protein Obg of</w:t>
      </w:r>
      <w:r w:rsidR="00F42581">
        <w:rPr>
          <w:u w:val="double"/>
        </w:rPr>
        <w:t xml:space="preserve"> </w:t>
      </w:r>
      <w:r w:rsidRPr="00F42581">
        <w:rPr>
          <w:i/>
          <w:u w:val="double"/>
        </w:rPr>
        <w:t>Mycoplasma</w:t>
      </w:r>
      <w:r w:rsidR="00F42581" w:rsidRPr="00F42581">
        <w:rPr>
          <w:i/>
          <w:u w:val="double"/>
        </w:rPr>
        <w:t xml:space="preserve"> </w:t>
      </w:r>
      <w:r w:rsidRPr="00F42581">
        <w:rPr>
          <w:i/>
          <w:u w:val="double"/>
        </w:rPr>
        <w:t>synoviae</w:t>
      </w:r>
      <w:r w:rsidRPr="00E90E7F">
        <w:rPr>
          <w:u w:val="double"/>
        </w:rPr>
        <w:t xml:space="preserve"> vaccine strain MS-H: implications in temperature-sensitivity phenotype</w:t>
      </w:r>
      <w:r w:rsidRPr="00F42581">
        <w:rPr>
          <w:i/>
          <w:u w:val="double"/>
        </w:rPr>
        <w:t>. PLoS One</w:t>
      </w:r>
      <w:r w:rsidRPr="00E90E7F">
        <w:rPr>
          <w:u w:val="double"/>
        </w:rPr>
        <w:t xml:space="preserve">, </w:t>
      </w:r>
      <w:r w:rsidRPr="00E90E7F">
        <w:rPr>
          <w:b/>
          <w:u w:val="double"/>
        </w:rPr>
        <w:t>8</w:t>
      </w:r>
      <w:r w:rsidRPr="00E90E7F">
        <w:rPr>
          <w:u w:val="double"/>
        </w:rPr>
        <w:t>(9), e73954 (doi: 10.1371/journal.pone.0073954).</w:t>
      </w:r>
    </w:p>
    <w:p w14:paraId="7981A82D" w14:textId="77777777" w:rsidR="00186891" w:rsidRPr="00AA6A31" w:rsidRDefault="00186891" w:rsidP="00572B91">
      <w:pPr>
        <w:pStyle w:val="Ref"/>
        <w:ind w:left="0" w:firstLine="0"/>
        <w:rPr>
          <w:strike/>
        </w:rPr>
      </w:pPr>
      <w:r w:rsidRPr="00AA6A31">
        <w:rPr>
          <w:strike/>
        </w:rPr>
        <w:t>T</w:t>
      </w:r>
      <w:r w:rsidRPr="00AA6A31">
        <w:rPr>
          <w:smallCaps/>
          <w:strike/>
        </w:rPr>
        <w:t>alkington</w:t>
      </w:r>
      <w:r w:rsidRPr="00AA6A31">
        <w:rPr>
          <w:strike/>
        </w:rPr>
        <w:t xml:space="preserve"> F.D. &amp; K</w:t>
      </w:r>
      <w:r w:rsidRPr="00AA6A31">
        <w:rPr>
          <w:smallCaps/>
          <w:strike/>
        </w:rPr>
        <w:t>leven</w:t>
      </w:r>
      <w:r w:rsidRPr="00AA6A31">
        <w:rPr>
          <w:strike/>
        </w:rPr>
        <w:t xml:space="preserve"> S.H. (1983). A classification of laboratory strains of avian </w:t>
      </w:r>
      <w:r w:rsidRPr="00AA6A31">
        <w:rPr>
          <w:i/>
          <w:iCs/>
          <w:strike/>
        </w:rPr>
        <w:t>Mycoplasma</w:t>
      </w:r>
      <w:r w:rsidRPr="00AA6A31">
        <w:rPr>
          <w:strike/>
        </w:rPr>
        <w:t xml:space="preserve"> serotypes by direct immunofluorescence. </w:t>
      </w:r>
      <w:r w:rsidRPr="00AA6A31">
        <w:rPr>
          <w:i/>
          <w:iCs/>
          <w:strike/>
        </w:rPr>
        <w:t>Avian Dis.</w:t>
      </w:r>
      <w:r w:rsidR="00750F8F" w:rsidRPr="00AA6A31">
        <w:rPr>
          <w:strike/>
        </w:rPr>
        <w:t>,</w:t>
      </w:r>
      <w:r w:rsidRPr="00AA6A31">
        <w:rPr>
          <w:strike/>
        </w:rPr>
        <w:t xml:space="preserve"> </w:t>
      </w:r>
      <w:r w:rsidRPr="00AA6A31">
        <w:rPr>
          <w:b/>
          <w:strike/>
        </w:rPr>
        <w:t>27</w:t>
      </w:r>
      <w:r w:rsidRPr="00AA6A31">
        <w:rPr>
          <w:strike/>
        </w:rPr>
        <w:t>, 422</w:t>
      </w:r>
      <w:r w:rsidR="00750F8F" w:rsidRPr="00AA6A31">
        <w:rPr>
          <w:strike/>
        </w:rPr>
        <w:t>–</w:t>
      </w:r>
      <w:r w:rsidRPr="00AA6A31">
        <w:rPr>
          <w:strike/>
        </w:rPr>
        <w:t>429.</w:t>
      </w:r>
    </w:p>
    <w:p w14:paraId="7E1DB264" w14:textId="77777777" w:rsidR="00186891" w:rsidRPr="00AA6A31" w:rsidRDefault="00186891" w:rsidP="00572B91">
      <w:pPr>
        <w:pStyle w:val="Ref"/>
        <w:ind w:left="0" w:firstLine="0"/>
        <w:rPr>
          <w:strike/>
        </w:rPr>
      </w:pPr>
      <w:r w:rsidRPr="00AA6A31">
        <w:rPr>
          <w:smallCaps/>
          <w:strike/>
        </w:rPr>
        <w:t>Turner K.S. &amp; Kleven S.H</w:t>
      </w:r>
      <w:r w:rsidRPr="00AA6A31">
        <w:rPr>
          <w:strike/>
        </w:rPr>
        <w:t xml:space="preserve">. (1998). Eradication of live F strain </w:t>
      </w:r>
      <w:r w:rsidRPr="00AA6A31">
        <w:rPr>
          <w:i/>
          <w:strike/>
        </w:rPr>
        <w:t>Mycoplasma gallisepticum</w:t>
      </w:r>
      <w:r w:rsidRPr="00AA6A31">
        <w:rPr>
          <w:strike/>
        </w:rPr>
        <w:t xml:space="preserve"> vaccine using live ts-11 on a multiage commercial layer farm. </w:t>
      </w:r>
      <w:r w:rsidRPr="00AA6A31">
        <w:rPr>
          <w:i/>
          <w:strike/>
        </w:rPr>
        <w:t>Avian Dis.</w:t>
      </w:r>
      <w:r w:rsidRPr="00AA6A31">
        <w:rPr>
          <w:strike/>
        </w:rPr>
        <w:t xml:space="preserve">, </w:t>
      </w:r>
      <w:r w:rsidRPr="00AA6A31">
        <w:rPr>
          <w:b/>
          <w:strike/>
        </w:rPr>
        <w:t>42</w:t>
      </w:r>
      <w:r w:rsidRPr="00AA6A31">
        <w:rPr>
          <w:strike/>
        </w:rPr>
        <w:t xml:space="preserve">, 404–407. </w:t>
      </w:r>
    </w:p>
    <w:p w14:paraId="5451A3D5" w14:textId="77777777" w:rsidR="00D41FBE" w:rsidRPr="00AA6A31" w:rsidRDefault="00D41FBE" w:rsidP="00D41FBE">
      <w:pPr>
        <w:pStyle w:val="Ref"/>
        <w:ind w:left="0" w:firstLine="0"/>
        <w:rPr>
          <w:strike/>
        </w:rPr>
      </w:pPr>
      <w:r w:rsidRPr="00AA6A31">
        <w:rPr>
          <w:smallCaps/>
          <w:strike/>
        </w:rPr>
        <w:lastRenderedPageBreak/>
        <w:t>United States Department of Agriculture</w:t>
      </w:r>
      <w:r w:rsidRPr="00AA6A31">
        <w:rPr>
          <w:strike/>
        </w:rPr>
        <w:t xml:space="preserve"> (USDA) (2004). Animal and Plant Health Inspection Service (APHIS), National Poultry Improvement Plan and Auxiliary Provisions. APHIS Publication 91-55-063. APHIS, USDA, Riverdale, Maryland, USA, 97–100.</w:t>
      </w:r>
    </w:p>
    <w:p w14:paraId="5B0705CF" w14:textId="77777777" w:rsidR="00186891" w:rsidRPr="00AA6A31" w:rsidRDefault="00186891" w:rsidP="00572B91">
      <w:pPr>
        <w:pStyle w:val="Ref"/>
        <w:ind w:left="0" w:firstLine="0"/>
        <w:rPr>
          <w:strike/>
        </w:rPr>
      </w:pPr>
      <w:r w:rsidRPr="00AA6A31">
        <w:rPr>
          <w:smallCaps/>
          <w:strike/>
        </w:rPr>
        <w:t>Wang H., Fadl A.A. &amp; Khan M.I.</w:t>
      </w:r>
      <w:r w:rsidRPr="00AA6A31">
        <w:rPr>
          <w:strike/>
        </w:rPr>
        <w:t xml:space="preserve"> (1997). Multiplex PCR for avian pathogenic mycoplasmas. </w:t>
      </w:r>
      <w:r w:rsidRPr="00AA6A31">
        <w:rPr>
          <w:i/>
          <w:strike/>
        </w:rPr>
        <w:t>Molec. Cell. Probes</w:t>
      </w:r>
      <w:r w:rsidRPr="00AA6A31">
        <w:rPr>
          <w:strike/>
        </w:rPr>
        <w:t xml:space="preserve">, </w:t>
      </w:r>
      <w:r w:rsidRPr="00AA6A31">
        <w:rPr>
          <w:b/>
          <w:strike/>
        </w:rPr>
        <w:t>11</w:t>
      </w:r>
      <w:r w:rsidRPr="00AA6A31">
        <w:rPr>
          <w:strike/>
        </w:rPr>
        <w:t xml:space="preserve">, 211–216. </w:t>
      </w:r>
    </w:p>
    <w:p w14:paraId="3776B176" w14:textId="77777777" w:rsidR="00186891" w:rsidRPr="00750F8F" w:rsidRDefault="00186891" w:rsidP="00572B91">
      <w:pPr>
        <w:pStyle w:val="Ref"/>
        <w:ind w:left="0" w:firstLine="0"/>
      </w:pPr>
      <w:r w:rsidRPr="00750F8F">
        <w:rPr>
          <w:smallCaps/>
        </w:rPr>
        <w:t>Whithear</w:t>
      </w:r>
      <w:r w:rsidRPr="00750F8F">
        <w:t xml:space="preserve"> K.G. (1996). Control of avian mycoplasmoses by vaccination. </w:t>
      </w:r>
      <w:r w:rsidRPr="00750F8F">
        <w:rPr>
          <w:i/>
        </w:rPr>
        <w:t>Rev. sci. tech. Off. int. Epiz.</w:t>
      </w:r>
      <w:r w:rsidRPr="00750F8F">
        <w:t xml:space="preserve">, </w:t>
      </w:r>
      <w:r w:rsidRPr="00750F8F">
        <w:rPr>
          <w:b/>
        </w:rPr>
        <w:t>15</w:t>
      </w:r>
      <w:r w:rsidRPr="00750F8F">
        <w:t xml:space="preserve">, 1527–1553. </w:t>
      </w:r>
    </w:p>
    <w:p w14:paraId="5F82DED9" w14:textId="16B7DF58" w:rsidR="00186891" w:rsidRPr="00AA6A31" w:rsidRDefault="00186891" w:rsidP="003835D2">
      <w:pPr>
        <w:pStyle w:val="Ref"/>
        <w:ind w:left="0" w:firstLine="0"/>
        <w:rPr>
          <w:strike/>
        </w:rPr>
      </w:pPr>
      <w:r w:rsidRPr="00AA6A31">
        <w:rPr>
          <w:smallCaps/>
          <w:strike/>
        </w:rPr>
        <w:t>Zain M.Z. &amp; Bradbury J.M</w:t>
      </w:r>
      <w:r w:rsidRPr="00AA6A31">
        <w:rPr>
          <w:strike/>
        </w:rPr>
        <w:t xml:space="preserve">. (1996). Optimising the conditions for isolation of </w:t>
      </w:r>
      <w:r w:rsidRPr="00AA6A31">
        <w:rPr>
          <w:i/>
          <w:iCs/>
          <w:strike/>
        </w:rPr>
        <w:t>Mycoplasma gallisepticum</w:t>
      </w:r>
      <w:r w:rsidRPr="00AA6A31">
        <w:rPr>
          <w:strike/>
        </w:rPr>
        <w:t xml:space="preserve"> collected on applicator swabs. </w:t>
      </w:r>
      <w:r w:rsidRPr="00AA6A31">
        <w:rPr>
          <w:i/>
          <w:strike/>
        </w:rPr>
        <w:t>Vet. Microbiol.</w:t>
      </w:r>
      <w:r w:rsidRPr="00AA6A31">
        <w:rPr>
          <w:strike/>
        </w:rPr>
        <w:t xml:space="preserve">, </w:t>
      </w:r>
      <w:r w:rsidRPr="00AA6A31">
        <w:rPr>
          <w:b/>
          <w:strike/>
        </w:rPr>
        <w:t>49</w:t>
      </w:r>
      <w:r w:rsidRPr="00AA6A31">
        <w:rPr>
          <w:strike/>
        </w:rPr>
        <w:t xml:space="preserve">, 45–57. </w:t>
      </w:r>
    </w:p>
    <w:p w14:paraId="13B15BD2" w14:textId="2F71ECA4" w:rsidR="00235E9D" w:rsidRPr="00B369A3" w:rsidRDefault="00235E9D" w:rsidP="00AA6A31">
      <w:pPr>
        <w:pStyle w:val="Titre0"/>
        <w:shd w:val="clear" w:color="auto" w:fill="FFFFFF"/>
        <w:spacing w:before="0" w:beforeAutospacing="0" w:after="240" w:afterAutospacing="0"/>
        <w:jc w:val="both"/>
        <w:rPr>
          <w:rFonts w:ascii="Arial" w:hAnsi="Arial" w:cs="Arial"/>
          <w:smallCaps/>
          <w:sz w:val="18"/>
          <w:szCs w:val="18"/>
          <w:u w:val="double"/>
          <w:lang w:val="en-GB" w:eastAsia="fr-FR"/>
        </w:rPr>
      </w:pPr>
      <w:r w:rsidRPr="00A91C54">
        <w:rPr>
          <w:rFonts w:ascii="Arial" w:hAnsi="Arial" w:cs="Arial"/>
          <w:iCs/>
          <w:smallCaps/>
          <w:sz w:val="18"/>
          <w:szCs w:val="18"/>
          <w:u w:val="double"/>
          <w:lang w:val="en-IE"/>
        </w:rPr>
        <w:t xml:space="preserve">Welchman D. de B., Ainsworth H L. Jensen </w:t>
      </w:r>
      <w:r w:rsidR="006D5E13" w:rsidRPr="00A91C54">
        <w:rPr>
          <w:rFonts w:ascii="Arial" w:hAnsi="Arial" w:cs="Arial"/>
          <w:iCs/>
          <w:smallCaps/>
          <w:sz w:val="18"/>
          <w:szCs w:val="18"/>
          <w:u w:val="double"/>
          <w:lang w:val="en-IE"/>
        </w:rPr>
        <w:t>T.K.</w:t>
      </w:r>
      <w:r w:rsidR="00020AC0" w:rsidRPr="00A91C54">
        <w:rPr>
          <w:rFonts w:ascii="Arial" w:hAnsi="Arial" w:cs="Arial"/>
          <w:iCs/>
          <w:smallCaps/>
          <w:sz w:val="18"/>
          <w:szCs w:val="18"/>
          <w:u w:val="double"/>
          <w:lang w:val="en-IE"/>
        </w:rPr>
        <w:t>,</w:t>
      </w:r>
      <w:r w:rsidR="006D5E13" w:rsidRPr="00A91C54">
        <w:rPr>
          <w:rFonts w:ascii="Arial" w:hAnsi="Arial" w:cs="Arial"/>
          <w:iCs/>
          <w:smallCaps/>
          <w:sz w:val="18"/>
          <w:szCs w:val="18"/>
          <w:u w:val="double"/>
          <w:lang w:val="en-IE"/>
        </w:rPr>
        <w:t xml:space="preserve"> </w:t>
      </w:r>
      <w:r w:rsidRPr="00A91C54">
        <w:rPr>
          <w:rFonts w:ascii="Arial" w:hAnsi="Arial" w:cs="Arial"/>
          <w:iCs/>
          <w:smallCaps/>
          <w:sz w:val="18"/>
          <w:szCs w:val="18"/>
          <w:u w:val="double"/>
          <w:lang w:val="en-IE"/>
        </w:rPr>
        <w:t>Boye</w:t>
      </w:r>
      <w:r w:rsidR="006D5E13" w:rsidRPr="00A91C54">
        <w:rPr>
          <w:rFonts w:ascii="Arial" w:hAnsi="Arial" w:cs="Arial"/>
          <w:iCs/>
          <w:smallCaps/>
          <w:sz w:val="18"/>
          <w:szCs w:val="18"/>
          <w:u w:val="double"/>
          <w:lang w:val="en-IE"/>
        </w:rPr>
        <w:t xml:space="preserve"> M.</w:t>
      </w:r>
      <w:r w:rsidRPr="00A91C54">
        <w:rPr>
          <w:rFonts w:ascii="Arial" w:hAnsi="Arial" w:cs="Arial"/>
          <w:iCs/>
          <w:smallCaps/>
          <w:sz w:val="18"/>
          <w:szCs w:val="18"/>
          <w:u w:val="double"/>
          <w:lang w:val="en-IE"/>
        </w:rPr>
        <w:t xml:space="preserve">, King </w:t>
      </w:r>
      <w:r w:rsidR="00020AC0" w:rsidRPr="00A91C54">
        <w:rPr>
          <w:rFonts w:ascii="Arial" w:hAnsi="Arial" w:cs="Arial"/>
          <w:iCs/>
          <w:smallCaps/>
          <w:sz w:val="18"/>
          <w:szCs w:val="18"/>
          <w:u w:val="double"/>
          <w:lang w:val="en-IE"/>
        </w:rPr>
        <w:t xml:space="preserve">S.A. </w:t>
      </w:r>
      <w:r w:rsidRPr="00A91C54">
        <w:rPr>
          <w:rFonts w:ascii="Arial" w:hAnsi="Arial" w:cs="Arial"/>
          <w:iCs/>
          <w:smallCaps/>
          <w:sz w:val="18"/>
          <w:szCs w:val="18"/>
          <w:u w:val="double"/>
          <w:lang w:val="en-IE"/>
        </w:rPr>
        <w:t xml:space="preserve">Koylass </w:t>
      </w:r>
      <w:r w:rsidR="00020AC0" w:rsidRPr="00A91C54">
        <w:rPr>
          <w:rFonts w:ascii="Arial" w:hAnsi="Arial" w:cs="Arial"/>
          <w:iCs/>
          <w:smallCaps/>
          <w:sz w:val="18"/>
          <w:szCs w:val="18"/>
          <w:u w:val="double"/>
          <w:lang w:val="en-IE"/>
        </w:rPr>
        <w:t xml:space="preserve">M.S. </w:t>
      </w:r>
      <w:r w:rsidRPr="00A91C54">
        <w:rPr>
          <w:rFonts w:ascii="Arial" w:hAnsi="Arial" w:cs="Arial"/>
          <w:iCs/>
          <w:smallCaps/>
          <w:sz w:val="18"/>
          <w:szCs w:val="18"/>
          <w:u w:val="double"/>
          <w:lang w:val="en-IE"/>
        </w:rPr>
        <w:t xml:space="preserve">Whatmore </w:t>
      </w:r>
      <w:r w:rsidR="00020AC0" w:rsidRPr="00A91C54">
        <w:rPr>
          <w:rFonts w:ascii="Arial" w:hAnsi="Arial" w:cs="Arial"/>
          <w:iCs/>
          <w:smallCaps/>
          <w:sz w:val="18"/>
          <w:szCs w:val="18"/>
          <w:u w:val="double"/>
          <w:lang w:val="en-IE"/>
        </w:rPr>
        <w:t>A.M.</w:t>
      </w:r>
      <w:r w:rsidR="00B369A3" w:rsidRPr="00A91C54">
        <w:rPr>
          <w:rFonts w:ascii="Arial" w:hAnsi="Arial" w:cs="Arial"/>
          <w:iCs/>
          <w:smallCaps/>
          <w:sz w:val="18"/>
          <w:szCs w:val="18"/>
          <w:u w:val="double"/>
          <w:lang w:val="en-IE"/>
        </w:rPr>
        <w:t>,</w:t>
      </w:r>
      <w:r w:rsidR="00020AC0" w:rsidRPr="00A91C54">
        <w:rPr>
          <w:rFonts w:ascii="Arial" w:hAnsi="Arial" w:cs="Arial"/>
          <w:iCs/>
          <w:smallCaps/>
          <w:sz w:val="18"/>
          <w:szCs w:val="18"/>
          <w:u w:val="double"/>
          <w:lang w:val="en-IE"/>
        </w:rPr>
        <w:t xml:space="preserve"> </w:t>
      </w:r>
      <w:r w:rsidRPr="00A91C54">
        <w:rPr>
          <w:rFonts w:ascii="Arial" w:hAnsi="Arial" w:cs="Arial"/>
          <w:iCs/>
          <w:smallCaps/>
          <w:sz w:val="18"/>
          <w:szCs w:val="18"/>
          <w:u w:val="double"/>
          <w:lang w:val="en-IE"/>
        </w:rPr>
        <w:t xml:space="preserve">Manvell </w:t>
      </w:r>
      <w:r w:rsidR="00020AC0" w:rsidRPr="00A91C54">
        <w:rPr>
          <w:rFonts w:ascii="Arial" w:hAnsi="Arial" w:cs="Arial"/>
          <w:iCs/>
          <w:smallCaps/>
          <w:sz w:val="18"/>
          <w:szCs w:val="18"/>
          <w:u w:val="double"/>
          <w:lang w:val="en-IE"/>
        </w:rPr>
        <w:t>R.J.</w:t>
      </w:r>
      <w:r w:rsidR="00B369A3" w:rsidRPr="00A91C54">
        <w:rPr>
          <w:rFonts w:ascii="Arial" w:hAnsi="Arial" w:cs="Arial"/>
          <w:iCs/>
          <w:smallCaps/>
          <w:sz w:val="18"/>
          <w:szCs w:val="18"/>
          <w:u w:val="double"/>
          <w:lang w:val="en-IE"/>
        </w:rPr>
        <w:t>,</w:t>
      </w:r>
      <w:r w:rsidR="00020AC0" w:rsidRPr="00A91C54">
        <w:rPr>
          <w:rFonts w:ascii="Arial" w:hAnsi="Arial" w:cs="Arial"/>
          <w:iCs/>
          <w:smallCaps/>
          <w:sz w:val="18"/>
          <w:szCs w:val="18"/>
          <w:u w:val="double"/>
          <w:lang w:val="en-IE"/>
        </w:rPr>
        <w:t xml:space="preserve"> </w:t>
      </w:r>
      <w:r w:rsidRPr="00A91C54">
        <w:rPr>
          <w:rFonts w:ascii="Arial" w:hAnsi="Arial" w:cs="Arial"/>
          <w:iCs/>
          <w:smallCaps/>
          <w:sz w:val="18"/>
          <w:szCs w:val="18"/>
          <w:u w:val="double"/>
          <w:lang w:val="en-IE"/>
        </w:rPr>
        <w:t xml:space="preserve">Ayling </w:t>
      </w:r>
      <w:r w:rsidR="00020AC0" w:rsidRPr="00A91C54">
        <w:rPr>
          <w:rFonts w:ascii="Arial" w:hAnsi="Arial" w:cs="Arial"/>
          <w:iCs/>
          <w:smallCaps/>
          <w:sz w:val="18"/>
          <w:szCs w:val="18"/>
          <w:u w:val="double"/>
          <w:lang w:val="en-IE"/>
        </w:rPr>
        <w:t xml:space="preserve">R.D. </w:t>
      </w:r>
      <w:r w:rsidRPr="00A91C54">
        <w:rPr>
          <w:rFonts w:ascii="Arial" w:hAnsi="Arial" w:cs="Arial"/>
          <w:iCs/>
          <w:smallCaps/>
          <w:sz w:val="18"/>
          <w:szCs w:val="18"/>
          <w:u w:val="double"/>
          <w:lang w:val="en-IE"/>
        </w:rPr>
        <w:t xml:space="preserve">&amp; Dalton </w:t>
      </w:r>
      <w:r w:rsidR="00020AC0" w:rsidRPr="00A91C54">
        <w:rPr>
          <w:rFonts w:ascii="Arial" w:hAnsi="Arial" w:cs="Arial"/>
          <w:iCs/>
          <w:smallCaps/>
          <w:sz w:val="18"/>
          <w:szCs w:val="18"/>
          <w:u w:val="double"/>
          <w:lang w:val="en-IE"/>
        </w:rPr>
        <w:t>J.R.</w:t>
      </w:r>
      <w:r w:rsidR="00020AC0" w:rsidRPr="00A91C54">
        <w:rPr>
          <w:rFonts w:ascii="Arial" w:hAnsi="Arial" w:cs="Arial"/>
          <w:iCs/>
          <w:sz w:val="18"/>
          <w:szCs w:val="18"/>
          <w:u w:val="double"/>
          <w:lang w:val="en-IE"/>
        </w:rPr>
        <w:t xml:space="preserve"> </w:t>
      </w:r>
      <w:r w:rsidRPr="00A91C54">
        <w:rPr>
          <w:rFonts w:ascii="Arial" w:hAnsi="Arial" w:cs="Arial"/>
          <w:iCs/>
          <w:sz w:val="18"/>
          <w:szCs w:val="18"/>
          <w:u w:val="double"/>
          <w:lang w:val="en-IE"/>
        </w:rPr>
        <w:t>(2013)</w:t>
      </w:r>
      <w:r w:rsidR="00B369A3" w:rsidRPr="00A91C54">
        <w:rPr>
          <w:rFonts w:ascii="Arial" w:hAnsi="Arial" w:cs="Arial"/>
          <w:iCs/>
          <w:sz w:val="18"/>
          <w:szCs w:val="18"/>
          <w:u w:val="double"/>
          <w:lang w:val="en-IE"/>
        </w:rPr>
        <w:t>.</w:t>
      </w:r>
      <w:r w:rsidRPr="00A91C54">
        <w:rPr>
          <w:rFonts w:ascii="Arial" w:hAnsi="Arial" w:cs="Arial"/>
          <w:iCs/>
          <w:sz w:val="18"/>
          <w:szCs w:val="18"/>
          <w:u w:val="double"/>
          <w:lang w:val="en-IE"/>
        </w:rPr>
        <w:t xml:space="preserve"> Demonstration of Ornithobacterium rhinotracheale in pheasants (</w:t>
      </w:r>
      <w:r w:rsidRPr="00A91C54">
        <w:rPr>
          <w:rFonts w:ascii="Arial" w:hAnsi="Arial" w:cs="Arial"/>
          <w:i/>
          <w:sz w:val="18"/>
          <w:szCs w:val="18"/>
          <w:u w:val="double"/>
          <w:lang w:val="en-IE"/>
        </w:rPr>
        <w:t>Phasianus colchicus</w:t>
      </w:r>
      <w:r w:rsidRPr="00A91C54">
        <w:rPr>
          <w:rFonts w:ascii="Arial" w:hAnsi="Arial" w:cs="Arial"/>
          <w:iCs/>
          <w:sz w:val="18"/>
          <w:szCs w:val="18"/>
          <w:u w:val="double"/>
          <w:lang w:val="en-IE"/>
        </w:rPr>
        <w:t>) with pneumonia and airsacculitis</w:t>
      </w:r>
      <w:r w:rsidR="00B369A3" w:rsidRPr="00A91C54">
        <w:rPr>
          <w:rFonts w:ascii="Arial" w:hAnsi="Arial" w:cs="Arial"/>
          <w:iCs/>
          <w:sz w:val="18"/>
          <w:szCs w:val="18"/>
          <w:u w:val="double"/>
          <w:lang w:val="en-IE"/>
        </w:rPr>
        <w:t>.</w:t>
      </w:r>
      <w:r w:rsidRPr="00A91C54">
        <w:rPr>
          <w:rFonts w:ascii="Arial" w:hAnsi="Arial" w:cs="Arial"/>
          <w:iCs/>
          <w:sz w:val="18"/>
          <w:szCs w:val="18"/>
          <w:u w:val="double"/>
          <w:lang w:val="en-IE"/>
        </w:rPr>
        <w:t xml:space="preserve"> </w:t>
      </w:r>
      <w:r w:rsidRPr="00A91C54">
        <w:rPr>
          <w:rFonts w:ascii="Arial" w:hAnsi="Arial" w:cs="Arial"/>
          <w:i/>
          <w:sz w:val="18"/>
          <w:szCs w:val="18"/>
          <w:u w:val="double"/>
          <w:lang w:val="en-IE"/>
        </w:rPr>
        <w:t>Avian Pathol</w:t>
      </w:r>
      <w:r w:rsidR="00B369A3" w:rsidRPr="00A91C54">
        <w:rPr>
          <w:rFonts w:ascii="Arial" w:hAnsi="Arial" w:cs="Arial"/>
          <w:iCs/>
          <w:sz w:val="18"/>
          <w:szCs w:val="18"/>
          <w:u w:val="double"/>
          <w:lang w:val="en-IE"/>
        </w:rPr>
        <w:t>.</w:t>
      </w:r>
      <w:r w:rsidRPr="00A91C54">
        <w:rPr>
          <w:rFonts w:ascii="Arial" w:hAnsi="Arial" w:cs="Arial"/>
          <w:iCs/>
          <w:sz w:val="18"/>
          <w:szCs w:val="18"/>
          <w:u w:val="double"/>
          <w:lang w:val="en-IE"/>
        </w:rPr>
        <w:t xml:space="preserve">, </w:t>
      </w:r>
      <w:r w:rsidRPr="00A91C54">
        <w:rPr>
          <w:rFonts w:ascii="Arial" w:hAnsi="Arial" w:cs="Arial"/>
          <w:b/>
          <w:bCs/>
          <w:iCs/>
          <w:sz w:val="18"/>
          <w:szCs w:val="18"/>
          <w:u w:val="double"/>
          <w:lang w:val="en-IE"/>
        </w:rPr>
        <w:t>42</w:t>
      </w:r>
      <w:r w:rsidRPr="00A91C54">
        <w:rPr>
          <w:rFonts w:ascii="Arial" w:hAnsi="Arial" w:cs="Arial"/>
          <w:iCs/>
          <w:sz w:val="18"/>
          <w:szCs w:val="18"/>
          <w:u w:val="double"/>
          <w:lang w:val="en-IE"/>
        </w:rPr>
        <w:t>, 171</w:t>
      </w:r>
      <w:r w:rsidR="00B369A3" w:rsidRPr="00A91C54">
        <w:rPr>
          <w:rFonts w:ascii="Arial" w:hAnsi="Arial" w:cs="Arial"/>
          <w:iCs/>
          <w:sz w:val="18"/>
          <w:szCs w:val="18"/>
          <w:u w:val="double"/>
          <w:lang w:val="en-IE"/>
        </w:rPr>
        <w:t>–</w:t>
      </w:r>
      <w:r w:rsidRPr="00A91C54">
        <w:rPr>
          <w:rFonts w:ascii="Arial" w:hAnsi="Arial" w:cs="Arial"/>
          <w:iCs/>
          <w:sz w:val="18"/>
          <w:szCs w:val="18"/>
          <w:u w:val="double"/>
          <w:lang w:val="en-IE"/>
        </w:rPr>
        <w:t>178</w:t>
      </w:r>
      <w:r w:rsidR="00B369A3" w:rsidRPr="00A91C54">
        <w:rPr>
          <w:rFonts w:ascii="Arial" w:hAnsi="Arial" w:cs="Arial"/>
          <w:iCs/>
          <w:sz w:val="18"/>
          <w:szCs w:val="18"/>
          <w:u w:val="double"/>
          <w:lang w:val="en-IE"/>
        </w:rPr>
        <w:t>.</w:t>
      </w:r>
    </w:p>
    <w:p w14:paraId="270000AC" w14:textId="1A283621" w:rsidR="00AA6A31" w:rsidRPr="00AA6A31" w:rsidRDefault="00AA6A31" w:rsidP="00AA6A31">
      <w:pPr>
        <w:pStyle w:val="Titre0"/>
        <w:shd w:val="clear" w:color="auto" w:fill="FFFFFF"/>
        <w:spacing w:before="0" w:beforeAutospacing="0" w:after="240" w:afterAutospacing="0"/>
        <w:jc w:val="both"/>
        <w:rPr>
          <w:u w:val="double"/>
        </w:rPr>
      </w:pPr>
      <w:r w:rsidRPr="00E90E7F">
        <w:rPr>
          <w:rFonts w:ascii="Arial" w:hAnsi="Arial" w:cs="Arial"/>
          <w:smallCaps/>
          <w:sz w:val="18"/>
          <w:szCs w:val="18"/>
          <w:u w:val="double"/>
          <w:lang w:val="en-GB" w:eastAsia="fr-FR"/>
        </w:rPr>
        <w:t>Zhu</w:t>
      </w:r>
      <w:r w:rsidR="00F42581">
        <w:rPr>
          <w:rFonts w:ascii="Arial" w:hAnsi="Arial" w:cs="Arial"/>
          <w:smallCaps/>
          <w:sz w:val="18"/>
          <w:szCs w:val="18"/>
          <w:u w:val="double"/>
          <w:lang w:val="en-GB" w:eastAsia="fr-FR"/>
        </w:rPr>
        <w:t xml:space="preserve"> </w:t>
      </w:r>
      <w:r w:rsidRPr="00E90E7F">
        <w:rPr>
          <w:rFonts w:ascii="Arial" w:hAnsi="Arial" w:cs="Arial"/>
          <w:smallCaps/>
          <w:sz w:val="18"/>
          <w:szCs w:val="18"/>
          <w:u w:val="double"/>
          <w:lang w:val="en-GB" w:eastAsia="fr-FR"/>
        </w:rPr>
        <w:t xml:space="preserve">L., Konsak B.M., Olaogun O.M., Agnew-Crumptona R., Kanci A., Marenda M.S., Browning G.F. &amp; Noormohammadi A.H. (2017). </w:t>
      </w:r>
      <w:hyperlink r:id="rId10" w:history="1">
        <w:r w:rsidRPr="00E90E7F">
          <w:rPr>
            <w:rFonts w:ascii="Arial" w:hAnsi="Arial" w:cs="Arial"/>
            <w:sz w:val="18"/>
            <w:szCs w:val="18"/>
            <w:u w:val="double"/>
            <w:lang w:val="en-GB" w:eastAsia="fr-FR"/>
          </w:rPr>
          <w:t>Identification of a new genetic marker in</w:t>
        </w:r>
        <w:r w:rsidR="00F42581">
          <w:rPr>
            <w:rFonts w:ascii="Arial" w:hAnsi="Arial" w:cs="Arial"/>
            <w:sz w:val="18"/>
            <w:szCs w:val="18"/>
            <w:u w:val="double"/>
            <w:lang w:val="en-GB" w:eastAsia="fr-FR"/>
          </w:rPr>
          <w:t xml:space="preserve"> </w:t>
        </w:r>
        <w:r w:rsidRPr="00F42581">
          <w:rPr>
            <w:rFonts w:ascii="Arial" w:hAnsi="Arial" w:cs="Arial"/>
            <w:i/>
            <w:sz w:val="18"/>
            <w:szCs w:val="18"/>
            <w:u w:val="double"/>
            <w:lang w:val="en-GB" w:eastAsia="fr-FR"/>
          </w:rPr>
          <w:t>Mycoplasma</w:t>
        </w:r>
        <w:r w:rsidR="00F42581" w:rsidRPr="00F42581">
          <w:rPr>
            <w:rFonts w:ascii="Arial" w:hAnsi="Arial" w:cs="Arial"/>
            <w:i/>
            <w:sz w:val="18"/>
            <w:szCs w:val="18"/>
            <w:u w:val="double"/>
            <w:lang w:val="en-GB" w:eastAsia="fr-FR"/>
          </w:rPr>
          <w:t xml:space="preserve"> </w:t>
        </w:r>
        <w:r w:rsidRPr="00F42581">
          <w:rPr>
            <w:rFonts w:ascii="Arial" w:hAnsi="Arial" w:cs="Arial"/>
            <w:i/>
            <w:sz w:val="18"/>
            <w:szCs w:val="18"/>
            <w:u w:val="double"/>
            <w:lang w:val="en-GB" w:eastAsia="fr-FR"/>
          </w:rPr>
          <w:t>synoviae</w:t>
        </w:r>
        <w:r w:rsidRPr="00E90E7F">
          <w:rPr>
            <w:rFonts w:ascii="Arial" w:hAnsi="Arial" w:cs="Arial"/>
            <w:sz w:val="18"/>
            <w:szCs w:val="18"/>
            <w:u w:val="double"/>
            <w:lang w:val="en-GB" w:eastAsia="fr-FR"/>
          </w:rPr>
          <w:t xml:space="preserve"> vaccine strain MS-H and development of a strategy using polymerase chain reaction and high-resolution melting curve analysis for differentiating MS-H from field strains.</w:t>
        </w:r>
      </w:hyperlink>
      <w:r w:rsidRPr="00E90E7F">
        <w:rPr>
          <w:rFonts w:ascii="Arial" w:hAnsi="Arial" w:cs="Arial"/>
          <w:sz w:val="18"/>
          <w:szCs w:val="18"/>
          <w:u w:val="double"/>
          <w:lang w:val="en-GB" w:eastAsia="fr-FR"/>
        </w:rPr>
        <w:t xml:space="preserve"> </w:t>
      </w:r>
      <w:r w:rsidRPr="00F42581">
        <w:rPr>
          <w:rFonts w:ascii="Arial" w:hAnsi="Arial" w:cs="Arial"/>
          <w:i/>
          <w:sz w:val="18"/>
          <w:szCs w:val="18"/>
          <w:u w:val="double"/>
          <w:lang w:val="en-GB" w:eastAsia="fr-FR"/>
        </w:rPr>
        <w:t>Vet</w:t>
      </w:r>
      <w:r w:rsidR="00F42581" w:rsidRPr="00F42581">
        <w:rPr>
          <w:rFonts w:ascii="Arial" w:hAnsi="Arial" w:cs="Arial"/>
          <w:i/>
          <w:sz w:val="18"/>
          <w:szCs w:val="18"/>
          <w:u w:val="double"/>
          <w:lang w:val="en-GB" w:eastAsia="fr-FR"/>
        </w:rPr>
        <w:t>.</w:t>
      </w:r>
      <w:r w:rsidRPr="00F42581">
        <w:rPr>
          <w:rFonts w:ascii="Arial" w:hAnsi="Arial" w:cs="Arial"/>
          <w:i/>
          <w:sz w:val="18"/>
          <w:szCs w:val="18"/>
          <w:u w:val="double"/>
          <w:lang w:val="en-GB" w:eastAsia="fr-FR"/>
        </w:rPr>
        <w:t xml:space="preserve"> Microbiol.</w:t>
      </w:r>
      <w:r w:rsidR="00F42581">
        <w:rPr>
          <w:rFonts w:ascii="Arial" w:hAnsi="Arial" w:cs="Arial"/>
          <w:sz w:val="18"/>
          <w:szCs w:val="18"/>
          <w:u w:val="double"/>
          <w:lang w:val="en-GB" w:eastAsia="fr-FR"/>
        </w:rPr>
        <w:t>,</w:t>
      </w:r>
      <w:r w:rsidR="00D953E0">
        <w:rPr>
          <w:rFonts w:ascii="Arial" w:hAnsi="Arial" w:cs="Arial"/>
          <w:sz w:val="18"/>
          <w:szCs w:val="18"/>
          <w:u w:val="double"/>
          <w:lang w:val="en-GB" w:eastAsia="fr-FR"/>
        </w:rPr>
        <w:t xml:space="preserve"> </w:t>
      </w:r>
      <w:r w:rsidRPr="00E90E7F">
        <w:rPr>
          <w:rFonts w:ascii="Arial" w:hAnsi="Arial" w:cs="Arial"/>
          <w:b/>
          <w:sz w:val="18"/>
          <w:szCs w:val="18"/>
          <w:u w:val="double"/>
          <w:lang w:val="en-GB" w:eastAsia="fr-FR"/>
        </w:rPr>
        <w:t>210</w:t>
      </w:r>
      <w:r w:rsidRPr="00E90E7F">
        <w:rPr>
          <w:rFonts w:ascii="Arial" w:hAnsi="Arial" w:cs="Arial"/>
          <w:sz w:val="18"/>
          <w:szCs w:val="18"/>
          <w:u w:val="double"/>
          <w:lang w:val="en-GB" w:eastAsia="fr-FR"/>
        </w:rPr>
        <w:t>, 49</w:t>
      </w:r>
      <w:r w:rsidRPr="00F42581">
        <w:rPr>
          <w:rFonts w:ascii="Arial" w:hAnsi="Arial" w:cs="Arial"/>
          <w:u w:val="double"/>
        </w:rPr>
        <w:t>–</w:t>
      </w:r>
      <w:r w:rsidRPr="00E90E7F">
        <w:rPr>
          <w:rFonts w:ascii="Arial" w:hAnsi="Arial" w:cs="Arial"/>
          <w:sz w:val="18"/>
          <w:szCs w:val="18"/>
          <w:u w:val="double"/>
          <w:lang w:val="en-GB" w:eastAsia="fr-FR"/>
        </w:rPr>
        <w:t>55. doi: 10.1016/j.vetmic.2017.08.021. Epub</w:t>
      </w:r>
      <w:r w:rsidR="00F42581">
        <w:rPr>
          <w:rFonts w:ascii="Arial" w:hAnsi="Arial" w:cs="Arial"/>
          <w:sz w:val="18"/>
          <w:szCs w:val="18"/>
          <w:u w:val="double"/>
          <w:lang w:val="en-GB" w:eastAsia="fr-FR"/>
        </w:rPr>
        <w:t xml:space="preserve"> </w:t>
      </w:r>
      <w:r w:rsidRPr="00E90E7F">
        <w:rPr>
          <w:rFonts w:ascii="Arial" w:hAnsi="Arial" w:cs="Arial"/>
          <w:sz w:val="18"/>
          <w:szCs w:val="18"/>
          <w:u w:val="double"/>
          <w:lang w:val="en-GB" w:eastAsia="fr-FR"/>
        </w:rPr>
        <w:t>2017</w:t>
      </w:r>
      <w:r w:rsidR="00F42581">
        <w:rPr>
          <w:rFonts w:ascii="Arial" w:hAnsi="Arial" w:cs="Arial"/>
          <w:sz w:val="18"/>
          <w:szCs w:val="18"/>
          <w:u w:val="double"/>
          <w:lang w:val="en-GB" w:eastAsia="fr-FR"/>
        </w:rPr>
        <w:t xml:space="preserve"> </w:t>
      </w:r>
      <w:r w:rsidRPr="00E90E7F">
        <w:rPr>
          <w:rFonts w:ascii="Arial" w:hAnsi="Arial" w:cs="Arial"/>
          <w:sz w:val="18"/>
          <w:szCs w:val="18"/>
          <w:u w:val="double"/>
          <w:lang w:val="en-GB" w:eastAsia="fr-FR"/>
        </w:rPr>
        <w:t>Sep 1.</w:t>
      </w:r>
    </w:p>
    <w:p w14:paraId="3AAC02A6" w14:textId="77777777" w:rsidR="00186891" w:rsidRPr="00E163F0" w:rsidRDefault="00186891" w:rsidP="003835D2">
      <w:pPr>
        <w:spacing w:after="240"/>
        <w:jc w:val="center"/>
        <w:rPr>
          <w:lang w:val="en-IE"/>
        </w:rPr>
      </w:pPr>
      <w:r w:rsidRPr="00E163F0">
        <w:rPr>
          <w:lang w:val="en-IE"/>
        </w:rPr>
        <w:t>*</w:t>
      </w:r>
      <w:r w:rsidRPr="00E163F0">
        <w:rPr>
          <w:lang w:val="en-IE"/>
        </w:rPr>
        <w:br/>
        <w:t>*   *</w:t>
      </w:r>
    </w:p>
    <w:p w14:paraId="73EE6FA5" w14:textId="77777777" w:rsidR="00224F28" w:rsidRPr="00306EA9" w:rsidRDefault="00224F28" w:rsidP="003835D2">
      <w:pPr>
        <w:pStyle w:val="Reflabnote"/>
        <w:spacing w:after="240"/>
      </w:pPr>
      <w:r w:rsidRPr="00306EA9">
        <w:rPr>
          <w:b/>
          <w:bCs/>
          <w:lang w:val="en-IE"/>
        </w:rPr>
        <w:t>NB:</w:t>
      </w:r>
      <w:r w:rsidRPr="00306EA9">
        <w:t xml:space="preserve"> There </w:t>
      </w:r>
      <w:r w:rsidR="00306EA9">
        <w:t>is an</w:t>
      </w:r>
      <w:r w:rsidRPr="00306EA9">
        <w:t xml:space="preserve"> OIE Reference Laborator</w:t>
      </w:r>
      <w:r w:rsidR="00306EA9">
        <w:t>y</w:t>
      </w:r>
      <w:r w:rsidRPr="00306EA9">
        <w:t xml:space="preserve"> for </w:t>
      </w:r>
      <w:r w:rsidRPr="00306EA9">
        <w:rPr>
          <w:iCs/>
        </w:rPr>
        <w:t>Avian mycoplasmosis (</w:t>
      </w:r>
      <w:r w:rsidRPr="00306EA9">
        <w:rPr>
          <w:i/>
        </w:rPr>
        <w:t xml:space="preserve">Mycoplasma gallisepticum </w:t>
      </w:r>
      <w:r w:rsidRPr="00306EA9">
        <w:rPr>
          <w:iCs/>
        </w:rPr>
        <w:t>and</w:t>
      </w:r>
      <w:r w:rsidRPr="00306EA9">
        <w:rPr>
          <w:i/>
        </w:rPr>
        <w:t xml:space="preserve"> M. synoviae</w:t>
      </w:r>
      <w:r w:rsidRPr="00306EA9">
        <w:rPr>
          <w:iCs/>
        </w:rPr>
        <w:t xml:space="preserve">) </w:t>
      </w:r>
      <w:r w:rsidRPr="00306EA9">
        <w:t xml:space="preserve">(see Table in Part </w:t>
      </w:r>
      <w:r w:rsidR="00A56C03" w:rsidRPr="00306EA9">
        <w:t>4</w:t>
      </w:r>
      <w:r w:rsidRPr="00306EA9">
        <w:t xml:space="preserve"> of this </w:t>
      </w:r>
      <w:r w:rsidRPr="00306EA9">
        <w:rPr>
          <w:i/>
        </w:rPr>
        <w:t xml:space="preserve">Terrestrial Manual </w:t>
      </w:r>
      <w:r w:rsidRPr="00306EA9">
        <w:t>or consult the OIE Web site for the most up-to-date list</w:t>
      </w:r>
      <w:r w:rsidR="00306EA9">
        <w:t xml:space="preserve">: </w:t>
      </w:r>
      <w:hyperlink r:id="rId11" w:history="1">
        <w:r w:rsidR="00306EA9" w:rsidRPr="004F698B">
          <w:rPr>
            <w:rStyle w:val="Lienhypertexte"/>
          </w:rPr>
          <w:t>http://www.oie.int/en/scientific-expertise/reference-laboratories/list-of-laboratories/</w:t>
        </w:r>
      </w:hyperlink>
      <w:hyperlink r:id="rId12" w:history="1"/>
      <w:r w:rsidRPr="00306EA9">
        <w:t xml:space="preserve">). </w:t>
      </w:r>
      <w:r w:rsidRPr="00306EA9">
        <w:br/>
        <w:t xml:space="preserve">Please contact the OIE Reference Laboratories for any further information on </w:t>
      </w:r>
      <w:r w:rsidRPr="00306EA9">
        <w:br/>
        <w:t xml:space="preserve">diagnostic tests, reagents and vaccines for </w:t>
      </w:r>
      <w:r w:rsidRPr="00306EA9">
        <w:rPr>
          <w:iCs/>
        </w:rPr>
        <w:t>Avian mycoplasmosis (</w:t>
      </w:r>
      <w:r w:rsidRPr="00306EA9">
        <w:rPr>
          <w:i/>
        </w:rPr>
        <w:t xml:space="preserve">Mycoplasma gallisepticum </w:t>
      </w:r>
      <w:r w:rsidRPr="00306EA9">
        <w:rPr>
          <w:iCs/>
        </w:rPr>
        <w:t>and</w:t>
      </w:r>
      <w:r w:rsidRPr="00306EA9">
        <w:rPr>
          <w:i/>
        </w:rPr>
        <w:t xml:space="preserve"> M. synoviae</w:t>
      </w:r>
      <w:r w:rsidRPr="00306EA9">
        <w:rPr>
          <w:iCs/>
        </w:rPr>
        <w:t>)</w:t>
      </w:r>
    </w:p>
    <w:p w14:paraId="1D3E08E0" w14:textId="77777777" w:rsidR="00306EA9" w:rsidRPr="00B369A3" w:rsidRDefault="00306EA9" w:rsidP="003835D2">
      <w:pPr>
        <w:spacing w:before="120" w:after="240"/>
        <w:jc w:val="center"/>
        <w:rPr>
          <w:rFonts w:ascii="Arial" w:hAnsi="Arial" w:cs="Arial"/>
          <w:sz w:val="18"/>
          <w:szCs w:val="18"/>
          <w:lang w:val="en-IE"/>
        </w:rPr>
      </w:pPr>
      <w:r w:rsidRPr="00306EA9">
        <w:rPr>
          <w:rFonts w:ascii="Arial" w:hAnsi="Arial" w:cs="Arial"/>
          <w:b/>
          <w:smallCaps/>
          <w:sz w:val="18"/>
          <w:szCs w:val="18"/>
        </w:rPr>
        <w:t>NB:</w:t>
      </w:r>
      <w:r w:rsidRPr="00306EA9">
        <w:rPr>
          <w:rFonts w:ascii="Arial" w:hAnsi="Arial" w:cs="Arial"/>
          <w:smallCaps/>
          <w:sz w:val="18"/>
          <w:szCs w:val="18"/>
        </w:rPr>
        <w:t xml:space="preserve"> First adopted in </w:t>
      </w:r>
      <w:r>
        <w:rPr>
          <w:rFonts w:ascii="Arial" w:hAnsi="Arial" w:cs="Arial"/>
          <w:smallCaps/>
          <w:sz w:val="18"/>
          <w:szCs w:val="18"/>
        </w:rPr>
        <w:t>1991</w:t>
      </w:r>
      <w:r w:rsidRPr="00306EA9">
        <w:rPr>
          <w:rFonts w:ascii="Arial" w:hAnsi="Arial" w:cs="Arial"/>
          <w:smallCaps/>
          <w:sz w:val="18"/>
          <w:szCs w:val="18"/>
        </w:rPr>
        <w:t xml:space="preserve"> as </w:t>
      </w:r>
      <w:r w:rsidRPr="00306EA9">
        <w:rPr>
          <w:rFonts w:ascii="Arial" w:hAnsi="Arial" w:cs="Arial"/>
          <w:iCs/>
          <w:smallCaps/>
          <w:sz w:val="18"/>
          <w:szCs w:val="18"/>
        </w:rPr>
        <w:t>Mycoplasmosis (</w:t>
      </w:r>
      <w:r w:rsidRPr="00306EA9">
        <w:rPr>
          <w:rFonts w:ascii="Arial" w:hAnsi="Arial" w:cs="Arial"/>
          <w:i/>
          <w:smallCaps/>
          <w:sz w:val="18"/>
          <w:szCs w:val="18"/>
        </w:rPr>
        <w:t>Mycoplasma gallisepticum</w:t>
      </w:r>
      <w:r w:rsidRPr="00306EA9">
        <w:rPr>
          <w:rFonts w:ascii="Arial" w:hAnsi="Arial" w:cs="Arial"/>
          <w:smallCaps/>
          <w:sz w:val="18"/>
          <w:szCs w:val="18"/>
        </w:rPr>
        <w:t xml:space="preserve">); </w:t>
      </w:r>
      <w:r>
        <w:rPr>
          <w:rFonts w:ascii="Arial" w:hAnsi="Arial" w:cs="Arial"/>
          <w:smallCaps/>
          <w:sz w:val="18"/>
          <w:szCs w:val="18"/>
        </w:rPr>
        <w:br/>
      </w:r>
      <w:r w:rsidRPr="00306EA9">
        <w:rPr>
          <w:rFonts w:ascii="Arial" w:hAnsi="Arial" w:cs="Arial"/>
          <w:smallCaps/>
          <w:sz w:val="18"/>
          <w:szCs w:val="18"/>
        </w:rPr>
        <w:t>Most recent updates adopted in 2008.</w:t>
      </w:r>
    </w:p>
    <w:sectPr w:rsidR="00306EA9" w:rsidRPr="00B369A3" w:rsidSect="00A61985">
      <w:headerReference w:type="even" r:id="rId13"/>
      <w:headerReference w:type="default" r:id="rId14"/>
      <w:footerReference w:type="even" r:id="rId15"/>
      <w:footerReference w:type="default" r:id="rId16"/>
      <w:footerReference w:type="first" r:id="rId17"/>
      <w:pgSz w:w="11907" w:h="16840" w:code="9"/>
      <w:pgMar w:top="1418" w:right="1418" w:bottom="1418" w:left="1418" w:header="567" w:footer="567" w:gutter="0"/>
      <w:paperSrc w:first="15" w:other="15"/>
      <w:lnNumType w:countBy="1" w:restart="continuou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1844C" w14:textId="77777777" w:rsidR="007E5D1A" w:rsidRDefault="007E5D1A">
      <w:r>
        <w:separator/>
      </w:r>
    </w:p>
  </w:endnote>
  <w:endnote w:type="continuationSeparator" w:id="0">
    <w:p w14:paraId="116EA48A" w14:textId="77777777" w:rsidR="007E5D1A" w:rsidRDefault="007E5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11E7D" w14:textId="25C4B645" w:rsidR="00B445CD" w:rsidRDefault="00B445CD" w:rsidP="00A56C03">
    <w:pPr>
      <w:pBdr>
        <w:top w:val="single" w:sz="6" w:space="5" w:color="auto"/>
      </w:pBdr>
      <w:tabs>
        <w:tab w:val="right" w:pos="9072"/>
      </w:tabs>
      <w:spacing w:line="240" w:lineRule="exac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865851">
      <w:rPr>
        <w:rFonts w:ascii="Ottawa" w:hAnsi="Ottawa"/>
        <w:noProof/>
        <w:sz w:val="22"/>
      </w:rPr>
      <w:t>2</w:t>
    </w:r>
    <w:r>
      <w:rPr>
        <w:rFonts w:ascii="Ottawa" w:hAnsi="Ottawa"/>
        <w:sz w:val="22"/>
      </w:rPr>
      <w:fldChar w:fldCharType="end"/>
    </w:r>
    <w:r>
      <w:rPr>
        <w:rFonts w:ascii="Ottawa" w:hAnsi="Ottawa"/>
        <w:i/>
        <w:sz w:val="18"/>
      </w:rPr>
      <w:tab/>
    </w: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26278" w14:textId="7FA8501B" w:rsidR="00B445CD" w:rsidRDefault="00B445CD" w:rsidP="00A56C03">
    <w:pPr>
      <w:pBdr>
        <w:top w:val="single" w:sz="6" w:space="5" w:color="auto"/>
      </w:pBdr>
      <w:tabs>
        <w:tab w:val="right" w:pos="9072"/>
      </w:tabs>
      <w:spacing w:line="240" w:lineRule="exac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865851">
      <w:rPr>
        <w:rFonts w:ascii="Ottawa" w:hAnsi="Ottawa"/>
        <w:noProof/>
        <w:sz w:val="22"/>
      </w:rPr>
      <w:t>3</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D9123" w14:textId="0E130FED" w:rsidR="00B445CD" w:rsidRDefault="00B445CD" w:rsidP="00A56C03">
    <w:pPr>
      <w:pBdr>
        <w:top w:val="single" w:sz="6" w:space="5" w:color="auto"/>
      </w:pBdr>
      <w:tabs>
        <w:tab w:val="right" w:pos="9072"/>
      </w:tabs>
      <w:spacing w:line="240" w:lineRule="exac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865851">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DDCC1" w14:textId="77777777" w:rsidR="007E5D1A" w:rsidRDefault="007E5D1A">
      <w:r>
        <w:separator/>
      </w:r>
    </w:p>
  </w:footnote>
  <w:footnote w:type="continuationSeparator" w:id="0">
    <w:p w14:paraId="69F20E9B" w14:textId="77777777" w:rsidR="007E5D1A" w:rsidRDefault="007E5D1A">
      <w:r>
        <w:continuationSeparator/>
      </w:r>
    </w:p>
  </w:footnote>
  <w:footnote w:id="1">
    <w:p w14:paraId="654B1EAD" w14:textId="77777777" w:rsidR="00B445CD" w:rsidRPr="00233BEF" w:rsidRDefault="00B445CD" w:rsidP="002A1CEC">
      <w:pPr>
        <w:pStyle w:val="Notedebasdepage"/>
        <w:tabs>
          <w:tab w:val="left" w:pos="-1843"/>
        </w:tabs>
        <w:spacing w:line="240" w:lineRule="auto"/>
        <w:ind w:left="425" w:hanging="425"/>
        <w:rPr>
          <w:u w:val="double"/>
        </w:rPr>
      </w:pPr>
      <w:r w:rsidRPr="002A1CEC">
        <w:rPr>
          <w:rStyle w:val="Appelnotedebasdep"/>
          <w:rFonts w:ascii="Arial" w:hAnsi="Arial" w:cs="Arial"/>
          <w:sz w:val="16"/>
          <w:szCs w:val="16"/>
          <w:u w:val="double"/>
          <w:vertAlign w:val="baseline"/>
        </w:rPr>
        <w:footnoteRef/>
      </w:r>
      <w:r w:rsidRPr="002A1CEC">
        <w:rPr>
          <w:rFonts w:ascii="Arial" w:hAnsi="Arial" w:cs="Arial"/>
          <w:sz w:val="16"/>
          <w:szCs w:val="16"/>
          <w:u w:val="double"/>
        </w:rPr>
        <w:t xml:space="preserve"> </w:t>
      </w:r>
      <w:r w:rsidRPr="002A1CEC">
        <w:rPr>
          <w:rFonts w:ascii="Arial" w:hAnsi="Arial" w:cs="Arial"/>
          <w:sz w:val="16"/>
          <w:szCs w:val="16"/>
          <w:u w:val="double"/>
        </w:rPr>
        <w:tab/>
        <w:t>A combination of agent identification methods applied on the same clinical sample is recommended.</w:t>
      </w:r>
    </w:p>
  </w:footnote>
  <w:footnote w:id="2">
    <w:p w14:paraId="0DE4CDF5" w14:textId="3AEEC4D6" w:rsidR="00B445CD" w:rsidRDefault="00B445CD">
      <w:pPr>
        <w:pStyle w:val="Notedebasdepage"/>
        <w:spacing w:line="240" w:lineRule="auto"/>
        <w:ind w:left="425" w:hanging="425"/>
        <w:rPr>
          <w:rFonts w:ascii="Arial" w:hAnsi="Arial" w:cs="Arial"/>
          <w:sz w:val="16"/>
          <w:szCs w:val="16"/>
          <w:lang w:val="fr-FR"/>
        </w:rPr>
      </w:pPr>
      <w:r>
        <w:rPr>
          <w:rStyle w:val="Appelnotedebasdep"/>
          <w:rFonts w:ascii="Arial" w:hAnsi="Arial" w:cs="Arial"/>
          <w:sz w:val="16"/>
          <w:szCs w:val="16"/>
          <w:vertAlign w:val="baseline"/>
        </w:rPr>
        <w:footnoteRef/>
      </w:r>
      <w:r>
        <w:rPr>
          <w:rFonts w:ascii="Arial" w:hAnsi="Arial" w:cs="Arial"/>
          <w:sz w:val="16"/>
          <w:szCs w:val="16"/>
          <w:lang w:val="fr-FR"/>
        </w:rPr>
        <w:t xml:space="preserve"> </w:t>
      </w:r>
      <w:r>
        <w:rPr>
          <w:rFonts w:ascii="Arial" w:hAnsi="Arial" w:cs="Arial"/>
          <w:sz w:val="16"/>
          <w:szCs w:val="16"/>
          <w:lang w:val="fr-FR"/>
        </w:rPr>
        <w:tab/>
      </w:r>
      <w:r w:rsidRPr="00D865A4">
        <w:rPr>
          <w:rFonts w:ascii="Arial" w:hAnsi="Arial" w:cs="Arial"/>
          <w:strike/>
          <w:sz w:val="16"/>
          <w:szCs w:val="16"/>
          <w:lang w:val="fr-FR"/>
        </w:rPr>
        <w:t>Agence française de sécurité sanitaire des aliments (AFFSA)</w:t>
      </w:r>
      <w:r>
        <w:rPr>
          <w:rFonts w:ascii="Arial" w:hAnsi="Arial" w:cs="Arial"/>
          <w:sz w:val="16"/>
          <w:szCs w:val="16"/>
          <w:lang w:val="fr-FR"/>
        </w:rPr>
        <w:t xml:space="preserve"> </w:t>
      </w:r>
      <w:r w:rsidRPr="00D865A4">
        <w:rPr>
          <w:rFonts w:ascii="Arial" w:hAnsi="Arial" w:cs="Arial"/>
          <w:sz w:val="16"/>
          <w:szCs w:val="16"/>
          <w:u w:val="double"/>
          <w:lang w:val="fr-FR"/>
        </w:rPr>
        <w:t>Agence Nationale de Sécurité Sanitaire de l’Alimentation, de l’Environnement et du Travail (Anses)</w:t>
      </w:r>
      <w:r w:rsidRPr="00D865A4">
        <w:rPr>
          <w:rFonts w:ascii="Arial" w:hAnsi="Arial" w:cs="Arial"/>
          <w:sz w:val="16"/>
          <w:szCs w:val="16"/>
          <w:lang w:val="fr-FR"/>
        </w:rPr>
        <w:t xml:space="preserve"> </w:t>
      </w:r>
      <w:r>
        <w:rPr>
          <w:rFonts w:ascii="Arial" w:hAnsi="Arial" w:cs="Arial"/>
          <w:sz w:val="16"/>
          <w:szCs w:val="16"/>
          <w:lang w:val="fr-FR"/>
        </w:rPr>
        <w:t>Ploufragan, Mycoplasmology Bacteriology Unit, 22440 Ploufragan, 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DCFE4" w14:textId="77777777" w:rsidR="00B445CD" w:rsidRPr="00E6168B" w:rsidRDefault="00B445CD" w:rsidP="001821DC">
    <w:pPr>
      <w:pBdr>
        <w:bottom w:val="single" w:sz="6" w:space="1" w:color="auto"/>
      </w:pBdr>
      <w:ind w:right="-1"/>
      <w:jc w:val="center"/>
      <w:rPr>
        <w:rFonts w:ascii="Ottawa" w:hAnsi="Ottawa"/>
        <w:iCs/>
        <w:sz w:val="20"/>
        <w:szCs w:val="20"/>
        <w:lang w:val="fr-FR"/>
      </w:rPr>
    </w:pPr>
    <w:r w:rsidRPr="00E6168B">
      <w:rPr>
        <w:rFonts w:ascii="Ottawa" w:hAnsi="Ottawa"/>
        <w:i/>
        <w:sz w:val="20"/>
        <w:szCs w:val="20"/>
        <w:lang w:val="fr-FR"/>
      </w:rPr>
      <w:t xml:space="preserve">Chapter </w:t>
    </w:r>
    <w:r>
      <w:rPr>
        <w:rFonts w:ascii="Ottawa" w:hAnsi="Ottawa"/>
        <w:i/>
        <w:sz w:val="20"/>
        <w:szCs w:val="20"/>
        <w:lang w:val="fr-FR"/>
      </w:rPr>
      <w:t>3</w:t>
    </w:r>
    <w:r w:rsidRPr="00E6168B">
      <w:rPr>
        <w:rFonts w:ascii="Ottawa" w:hAnsi="Ottawa"/>
        <w:i/>
        <w:sz w:val="20"/>
        <w:szCs w:val="20"/>
        <w:lang w:val="fr-FR"/>
      </w:rPr>
      <w:t>.</w:t>
    </w:r>
    <w:r>
      <w:rPr>
        <w:rFonts w:ascii="Ottawa" w:hAnsi="Ottawa"/>
        <w:i/>
        <w:sz w:val="20"/>
        <w:szCs w:val="20"/>
        <w:lang w:val="fr-FR"/>
      </w:rPr>
      <w:t>3.5</w:t>
    </w:r>
    <w:r w:rsidRPr="00E6168B">
      <w:rPr>
        <w:rFonts w:ascii="Ottawa" w:hAnsi="Ottawa"/>
        <w:i/>
        <w:sz w:val="20"/>
        <w:szCs w:val="20"/>
        <w:lang w:val="fr-FR"/>
      </w:rPr>
      <w:t xml:space="preserve">. – Avian mycoplasmosis </w:t>
    </w:r>
    <w:r w:rsidRPr="00E6168B">
      <w:rPr>
        <w:rFonts w:ascii="Ottawa" w:hAnsi="Ottawa"/>
        <w:iCs/>
        <w:sz w:val="20"/>
        <w:szCs w:val="20"/>
        <w:lang w:val="fr-FR"/>
      </w:rPr>
      <w:t>(Mycoplasma gallisepticum, M. synoviae)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568D9" w14:textId="77777777" w:rsidR="00B445CD" w:rsidRPr="00E6168B" w:rsidRDefault="00B445CD" w:rsidP="001821DC">
    <w:pPr>
      <w:pBdr>
        <w:bottom w:val="single" w:sz="6" w:space="1" w:color="auto"/>
      </w:pBdr>
      <w:ind w:right="-1"/>
      <w:jc w:val="center"/>
      <w:rPr>
        <w:rFonts w:ascii="Ottawa" w:hAnsi="Ottawa"/>
        <w:iCs/>
        <w:sz w:val="20"/>
        <w:szCs w:val="20"/>
        <w:lang w:val="fr-FR"/>
      </w:rPr>
    </w:pPr>
    <w:r w:rsidRPr="00E6168B">
      <w:rPr>
        <w:rFonts w:ascii="Ottawa" w:hAnsi="Ottawa"/>
        <w:i/>
        <w:sz w:val="20"/>
        <w:szCs w:val="20"/>
        <w:lang w:val="fr-FR"/>
      </w:rPr>
      <w:t xml:space="preserve">Chapter </w:t>
    </w:r>
    <w:r>
      <w:rPr>
        <w:rFonts w:ascii="Ottawa" w:hAnsi="Ottawa"/>
        <w:i/>
        <w:sz w:val="20"/>
        <w:szCs w:val="20"/>
        <w:lang w:val="fr-FR"/>
      </w:rPr>
      <w:t>3</w:t>
    </w:r>
    <w:r w:rsidRPr="00E6168B">
      <w:rPr>
        <w:rFonts w:ascii="Ottawa" w:hAnsi="Ottawa"/>
        <w:i/>
        <w:sz w:val="20"/>
        <w:szCs w:val="20"/>
        <w:lang w:val="fr-FR"/>
      </w:rPr>
      <w:t>.</w:t>
    </w:r>
    <w:r>
      <w:rPr>
        <w:rFonts w:ascii="Ottawa" w:hAnsi="Ottawa"/>
        <w:i/>
        <w:sz w:val="20"/>
        <w:szCs w:val="20"/>
        <w:lang w:val="fr-FR"/>
      </w:rPr>
      <w:t>3.5</w:t>
    </w:r>
    <w:r w:rsidRPr="00E6168B">
      <w:rPr>
        <w:rFonts w:ascii="Ottawa" w:hAnsi="Ottawa"/>
        <w:i/>
        <w:sz w:val="20"/>
        <w:szCs w:val="20"/>
        <w:lang w:val="fr-FR"/>
      </w:rPr>
      <w:t xml:space="preserve">. – Avian mycoplasmosis </w:t>
    </w:r>
    <w:r w:rsidRPr="00E6168B">
      <w:rPr>
        <w:rFonts w:ascii="Ottawa" w:hAnsi="Ottawa"/>
        <w:iCs/>
        <w:sz w:val="20"/>
        <w:szCs w:val="20"/>
        <w:lang w:val="fr-FR"/>
      </w:rPr>
      <w:t>(Mycoplasma gallisepticum, M. synoviae)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986F6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3B25A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45C09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FA8D8A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5A4ED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0E8E0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528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38DFC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05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00C3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DCA2B84"/>
    <w:lvl w:ilvl="0">
      <w:numFmt w:val="decimal"/>
      <w:lvlText w:val="*"/>
      <w:lvlJc w:val="left"/>
    </w:lvl>
  </w:abstractNum>
  <w:abstractNum w:abstractNumId="11" w15:restartNumberingAfterBreak="0">
    <w:nsid w:val="1A781346"/>
    <w:multiLevelType w:val="multilevel"/>
    <w:tmpl w:val="26E6C586"/>
    <w:lvl w:ilvl="0">
      <w:start w:val="4"/>
      <w:numFmt w:val="lowerLetter"/>
      <w:lvlText w:val="%1)"/>
      <w:lvlJc w:val="left"/>
      <w:pPr>
        <w:tabs>
          <w:tab w:val="num" w:pos="1080"/>
        </w:tabs>
        <w:ind w:left="1080" w:hanging="720"/>
      </w:pPr>
      <w:rPr>
        <w:rFont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EE73544"/>
    <w:multiLevelType w:val="multilevel"/>
    <w:tmpl w:val="49F0F8A4"/>
    <w:lvl w:ilvl="0">
      <w:start w:val="1"/>
      <w:numFmt w:val="bullet"/>
      <w:lvlText w:val=""/>
      <w:lvlJc w:val="left"/>
      <w:pPr>
        <w:tabs>
          <w:tab w:val="num" w:pos="720"/>
        </w:tabs>
        <w:ind w:left="720" w:hanging="360"/>
      </w:pPr>
      <w:rPr>
        <w:rFonts w:ascii="Symbol" w:eastAsia="Times New Roman" w:hAnsi="Symbol" w:cs="Wingdings"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eastAsia="Times New Roman" w:hAnsi="Symbol" w:cs="Wingdings"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eastAsia="Times New Roman" w:hAnsi="Symbol" w:cs="Wingdings"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5DF063E"/>
    <w:multiLevelType w:val="hybridMultilevel"/>
    <w:tmpl w:val="2C842486"/>
    <w:lvl w:ilvl="0" w:tplc="58843978">
      <w:start w:val="1"/>
      <w:numFmt w:val="lowerLetter"/>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4" w15:restartNumberingAfterBreak="0">
    <w:nsid w:val="5CA875EE"/>
    <w:multiLevelType w:val="hybridMultilevel"/>
    <w:tmpl w:val="2C842486"/>
    <w:lvl w:ilvl="0" w:tplc="58843978">
      <w:start w:val="1"/>
      <w:numFmt w:val="lowerLetter"/>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5" w15:restartNumberingAfterBreak="0">
    <w:nsid w:val="714E1532"/>
    <w:multiLevelType w:val="multilevel"/>
    <w:tmpl w:val="A1BE711E"/>
    <w:lvl w:ilvl="0">
      <w:start w:val="1"/>
      <w:numFmt w:val="bullet"/>
      <w:lvlText w:val=""/>
      <w:lvlJc w:val="left"/>
      <w:pPr>
        <w:tabs>
          <w:tab w:val="num" w:pos="720"/>
        </w:tabs>
        <w:ind w:left="720" w:hanging="360"/>
      </w:pPr>
      <w:rPr>
        <w:rFonts w:ascii="Symbol" w:eastAsia="Times New Roman" w:hAnsi="Symbol" w:cs="Wingdings"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eastAsia="Times New Roman" w:hAnsi="Symbol" w:cs="Wingdings"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eastAsia="Times New Roman" w:hAnsi="Symbol" w:cs="Wingdings"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17"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16"/>
  </w:num>
  <w:num w:numId="2">
    <w:abstractNumId w:val="17"/>
  </w:num>
  <w:num w:numId="3">
    <w:abstractNumId w:val="17"/>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10"/>
    <w:lvlOverride w:ilvl="0">
      <w:lvl w:ilvl="0">
        <w:start w:val="1"/>
        <w:numFmt w:val="bullet"/>
        <w:lvlText w:val=""/>
        <w:legacy w:legacy="1" w:legacySpace="0" w:legacyIndent="360"/>
        <w:lvlJc w:val="left"/>
        <w:pPr>
          <w:ind w:left="360" w:hanging="360"/>
        </w:pPr>
        <w:rPr>
          <w:rFonts w:ascii="Symbol" w:eastAsia="Times New Roman" w:hAnsi="Symbol" w:cs="Wingdings" w:hint="default"/>
        </w:rPr>
      </w:lvl>
    </w:lvlOverride>
  </w:num>
  <w:num w:numId="5">
    <w:abstractNumId w:val="15"/>
  </w:num>
  <w:num w:numId="6">
    <w:abstractNumId w:val="12"/>
  </w:num>
  <w:num w:numId="7">
    <w:abstractNumId w:val="11"/>
  </w:num>
  <w:num w:numId="8">
    <w:abstractNumId w:val="8"/>
  </w:num>
  <w:num w:numId="9">
    <w:abstractNumId w:val="3"/>
  </w:num>
  <w:num w:numId="10">
    <w:abstractNumId w:val="2"/>
  </w:num>
  <w:num w:numId="11">
    <w:abstractNumId w:val="1"/>
  </w:num>
  <w:num w:numId="12">
    <w:abstractNumId w:val="0"/>
  </w:num>
  <w:num w:numId="13">
    <w:abstractNumId w:val="9"/>
  </w:num>
  <w:num w:numId="14">
    <w:abstractNumId w:val="7"/>
  </w:num>
  <w:num w:numId="15">
    <w:abstractNumId w:val="6"/>
  </w:num>
  <w:num w:numId="16">
    <w:abstractNumId w:val="5"/>
  </w:num>
  <w:num w:numId="17">
    <w:abstractNumId w:val="4"/>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s>
  <w:rsids>
    <w:rsidRoot w:val="00D37DD8"/>
    <w:rsid w:val="0000692F"/>
    <w:rsid w:val="00013228"/>
    <w:rsid w:val="000136F7"/>
    <w:rsid w:val="00020AC0"/>
    <w:rsid w:val="000377EC"/>
    <w:rsid w:val="00044369"/>
    <w:rsid w:val="0006170C"/>
    <w:rsid w:val="00061C85"/>
    <w:rsid w:val="00065929"/>
    <w:rsid w:val="00074D43"/>
    <w:rsid w:val="0007500C"/>
    <w:rsid w:val="00085954"/>
    <w:rsid w:val="00087403"/>
    <w:rsid w:val="000A03F2"/>
    <w:rsid w:val="000C6205"/>
    <w:rsid w:val="000C65B1"/>
    <w:rsid w:val="000E4C09"/>
    <w:rsid w:val="000E7998"/>
    <w:rsid w:val="00102617"/>
    <w:rsid w:val="001344BC"/>
    <w:rsid w:val="00140AB7"/>
    <w:rsid w:val="00166AE3"/>
    <w:rsid w:val="0017106A"/>
    <w:rsid w:val="001821DC"/>
    <w:rsid w:val="00182276"/>
    <w:rsid w:val="00186891"/>
    <w:rsid w:val="001900D8"/>
    <w:rsid w:val="001A4F49"/>
    <w:rsid w:val="001A5608"/>
    <w:rsid w:val="001F06C9"/>
    <w:rsid w:val="0020269F"/>
    <w:rsid w:val="00224F28"/>
    <w:rsid w:val="00233BEF"/>
    <w:rsid w:val="00235D3F"/>
    <w:rsid w:val="00235E9D"/>
    <w:rsid w:val="00247BC4"/>
    <w:rsid w:val="00273FF6"/>
    <w:rsid w:val="00276ECB"/>
    <w:rsid w:val="002A1AEA"/>
    <w:rsid w:val="002A1CEC"/>
    <w:rsid w:val="002B2482"/>
    <w:rsid w:val="002E6311"/>
    <w:rsid w:val="002E72B7"/>
    <w:rsid w:val="002E7CA4"/>
    <w:rsid w:val="00306EA9"/>
    <w:rsid w:val="00313D00"/>
    <w:rsid w:val="0032363B"/>
    <w:rsid w:val="0033031E"/>
    <w:rsid w:val="00355DD3"/>
    <w:rsid w:val="0036159C"/>
    <w:rsid w:val="00366FC9"/>
    <w:rsid w:val="003835D2"/>
    <w:rsid w:val="003951E1"/>
    <w:rsid w:val="003A0F42"/>
    <w:rsid w:val="003A388F"/>
    <w:rsid w:val="003A7437"/>
    <w:rsid w:val="003B5BD8"/>
    <w:rsid w:val="003D171D"/>
    <w:rsid w:val="003D75FB"/>
    <w:rsid w:val="00415C08"/>
    <w:rsid w:val="0043228D"/>
    <w:rsid w:val="004324D2"/>
    <w:rsid w:val="004474B4"/>
    <w:rsid w:val="00452892"/>
    <w:rsid w:val="004562FE"/>
    <w:rsid w:val="004605CB"/>
    <w:rsid w:val="00462608"/>
    <w:rsid w:val="00470386"/>
    <w:rsid w:val="0049470D"/>
    <w:rsid w:val="004B3741"/>
    <w:rsid w:val="004B5FFC"/>
    <w:rsid w:val="004C38E5"/>
    <w:rsid w:val="004C706C"/>
    <w:rsid w:val="004C7E82"/>
    <w:rsid w:val="005005A6"/>
    <w:rsid w:val="00504E27"/>
    <w:rsid w:val="005111D2"/>
    <w:rsid w:val="00536F1E"/>
    <w:rsid w:val="00556817"/>
    <w:rsid w:val="00557776"/>
    <w:rsid w:val="005601DD"/>
    <w:rsid w:val="00566018"/>
    <w:rsid w:val="00570209"/>
    <w:rsid w:val="00572B91"/>
    <w:rsid w:val="00577170"/>
    <w:rsid w:val="00590D68"/>
    <w:rsid w:val="00596844"/>
    <w:rsid w:val="005A0455"/>
    <w:rsid w:val="005B218B"/>
    <w:rsid w:val="005B4150"/>
    <w:rsid w:val="005B71B2"/>
    <w:rsid w:val="005D058D"/>
    <w:rsid w:val="005D504A"/>
    <w:rsid w:val="00603B68"/>
    <w:rsid w:val="00606DEB"/>
    <w:rsid w:val="006108DB"/>
    <w:rsid w:val="006109C4"/>
    <w:rsid w:val="00614250"/>
    <w:rsid w:val="00626575"/>
    <w:rsid w:val="00633C10"/>
    <w:rsid w:val="0065071B"/>
    <w:rsid w:val="00661B2E"/>
    <w:rsid w:val="006648F4"/>
    <w:rsid w:val="006741CC"/>
    <w:rsid w:val="006959BB"/>
    <w:rsid w:val="00697BFC"/>
    <w:rsid w:val="006A0A34"/>
    <w:rsid w:val="006B2A9B"/>
    <w:rsid w:val="006C512E"/>
    <w:rsid w:val="006D1AC2"/>
    <w:rsid w:val="006D5E13"/>
    <w:rsid w:val="006D79FC"/>
    <w:rsid w:val="006F7FF5"/>
    <w:rsid w:val="00720EAB"/>
    <w:rsid w:val="00722D5D"/>
    <w:rsid w:val="007343C2"/>
    <w:rsid w:val="00750F8F"/>
    <w:rsid w:val="007619CB"/>
    <w:rsid w:val="00762AE1"/>
    <w:rsid w:val="00762DF7"/>
    <w:rsid w:val="007660CE"/>
    <w:rsid w:val="007A2047"/>
    <w:rsid w:val="007C13D9"/>
    <w:rsid w:val="007C5C73"/>
    <w:rsid w:val="007C73E0"/>
    <w:rsid w:val="007E5D1A"/>
    <w:rsid w:val="00801B2E"/>
    <w:rsid w:val="00811C37"/>
    <w:rsid w:val="00815ACD"/>
    <w:rsid w:val="00834A04"/>
    <w:rsid w:val="00835A36"/>
    <w:rsid w:val="00865851"/>
    <w:rsid w:val="00866124"/>
    <w:rsid w:val="00875152"/>
    <w:rsid w:val="00883990"/>
    <w:rsid w:val="008A659A"/>
    <w:rsid w:val="008A7F29"/>
    <w:rsid w:val="008B3AB3"/>
    <w:rsid w:val="008E533E"/>
    <w:rsid w:val="008F02CA"/>
    <w:rsid w:val="0090305D"/>
    <w:rsid w:val="009157D1"/>
    <w:rsid w:val="00923708"/>
    <w:rsid w:val="00925D02"/>
    <w:rsid w:val="009325D1"/>
    <w:rsid w:val="0094010D"/>
    <w:rsid w:val="009419E4"/>
    <w:rsid w:val="00960C3E"/>
    <w:rsid w:val="00966893"/>
    <w:rsid w:val="00972D76"/>
    <w:rsid w:val="009760D6"/>
    <w:rsid w:val="009775CA"/>
    <w:rsid w:val="009937F3"/>
    <w:rsid w:val="00996853"/>
    <w:rsid w:val="009979F1"/>
    <w:rsid w:val="009A0D1F"/>
    <w:rsid w:val="009C0ADF"/>
    <w:rsid w:val="009D1AA7"/>
    <w:rsid w:val="009D60CE"/>
    <w:rsid w:val="009E2FD2"/>
    <w:rsid w:val="00A0681D"/>
    <w:rsid w:val="00A07FA4"/>
    <w:rsid w:val="00A11823"/>
    <w:rsid w:val="00A13A60"/>
    <w:rsid w:val="00A20136"/>
    <w:rsid w:val="00A35FD4"/>
    <w:rsid w:val="00A46E21"/>
    <w:rsid w:val="00A56C03"/>
    <w:rsid w:val="00A60174"/>
    <w:rsid w:val="00A61985"/>
    <w:rsid w:val="00A80402"/>
    <w:rsid w:val="00A844BE"/>
    <w:rsid w:val="00A91C54"/>
    <w:rsid w:val="00A9456E"/>
    <w:rsid w:val="00AA6A31"/>
    <w:rsid w:val="00AB213C"/>
    <w:rsid w:val="00AC30F4"/>
    <w:rsid w:val="00AC7493"/>
    <w:rsid w:val="00AE57F3"/>
    <w:rsid w:val="00B01896"/>
    <w:rsid w:val="00B369A3"/>
    <w:rsid w:val="00B3782D"/>
    <w:rsid w:val="00B445CD"/>
    <w:rsid w:val="00B45E22"/>
    <w:rsid w:val="00B65CA2"/>
    <w:rsid w:val="00B81034"/>
    <w:rsid w:val="00BA2558"/>
    <w:rsid w:val="00BA3280"/>
    <w:rsid w:val="00BD04F6"/>
    <w:rsid w:val="00BF0D59"/>
    <w:rsid w:val="00BF0F30"/>
    <w:rsid w:val="00BF11C6"/>
    <w:rsid w:val="00BF1A7A"/>
    <w:rsid w:val="00C0046C"/>
    <w:rsid w:val="00C040BB"/>
    <w:rsid w:val="00C30607"/>
    <w:rsid w:val="00C51069"/>
    <w:rsid w:val="00C603C1"/>
    <w:rsid w:val="00C64130"/>
    <w:rsid w:val="00C64486"/>
    <w:rsid w:val="00C73F42"/>
    <w:rsid w:val="00CA6CD2"/>
    <w:rsid w:val="00CB7B1A"/>
    <w:rsid w:val="00CC3EBE"/>
    <w:rsid w:val="00CF254B"/>
    <w:rsid w:val="00CF5CA7"/>
    <w:rsid w:val="00D10261"/>
    <w:rsid w:val="00D11D11"/>
    <w:rsid w:val="00D13E77"/>
    <w:rsid w:val="00D23E1C"/>
    <w:rsid w:val="00D33FE7"/>
    <w:rsid w:val="00D34DB7"/>
    <w:rsid w:val="00D37DD8"/>
    <w:rsid w:val="00D41FBE"/>
    <w:rsid w:val="00D5096C"/>
    <w:rsid w:val="00D609A7"/>
    <w:rsid w:val="00D617BE"/>
    <w:rsid w:val="00D649E7"/>
    <w:rsid w:val="00D66B35"/>
    <w:rsid w:val="00D71E08"/>
    <w:rsid w:val="00D73A74"/>
    <w:rsid w:val="00D865A4"/>
    <w:rsid w:val="00D953E0"/>
    <w:rsid w:val="00DA2612"/>
    <w:rsid w:val="00DA5CAD"/>
    <w:rsid w:val="00DC0164"/>
    <w:rsid w:val="00DC4FEE"/>
    <w:rsid w:val="00DD1F94"/>
    <w:rsid w:val="00DE384A"/>
    <w:rsid w:val="00DF126A"/>
    <w:rsid w:val="00E163F0"/>
    <w:rsid w:val="00E32E9E"/>
    <w:rsid w:val="00E51C77"/>
    <w:rsid w:val="00E53ED2"/>
    <w:rsid w:val="00E5495E"/>
    <w:rsid w:val="00E625D7"/>
    <w:rsid w:val="00E70EFC"/>
    <w:rsid w:val="00E72421"/>
    <w:rsid w:val="00E73420"/>
    <w:rsid w:val="00E76B41"/>
    <w:rsid w:val="00E83410"/>
    <w:rsid w:val="00E90E59"/>
    <w:rsid w:val="00EA6C0F"/>
    <w:rsid w:val="00EB2E86"/>
    <w:rsid w:val="00EB609E"/>
    <w:rsid w:val="00EC17EB"/>
    <w:rsid w:val="00EC7335"/>
    <w:rsid w:val="00ED4362"/>
    <w:rsid w:val="00ED55BE"/>
    <w:rsid w:val="00EE19BD"/>
    <w:rsid w:val="00EF16EF"/>
    <w:rsid w:val="00EF5AE8"/>
    <w:rsid w:val="00F02189"/>
    <w:rsid w:val="00F231A7"/>
    <w:rsid w:val="00F42581"/>
    <w:rsid w:val="00F46D4D"/>
    <w:rsid w:val="00F56D25"/>
    <w:rsid w:val="00F6461A"/>
    <w:rsid w:val="00F805FE"/>
    <w:rsid w:val="00F949EB"/>
    <w:rsid w:val="00FA49CE"/>
    <w:rsid w:val="00FC280B"/>
    <w:rsid w:val="00FE7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E2B35DC"/>
  <w15:docId w15:val="{BEFD62FA-9BDB-4A54-94F2-A1C79A92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paragraph" w:styleId="Titre1">
    <w:name w:val="heading 1"/>
    <w:basedOn w:val="Normal"/>
    <w:next w:val="Normal"/>
    <w:link w:val="Titre1Car"/>
    <w:uiPriority w:val="99"/>
    <w:qFormat/>
    <w:rsid w:val="008A0474"/>
    <w:pPr>
      <w:tabs>
        <w:tab w:val="left" w:pos="-720"/>
      </w:tabs>
      <w:spacing w:before="240" w:line="360" w:lineRule="atLeast"/>
      <w:jc w:val="both"/>
      <w:outlineLvl w:val="0"/>
    </w:pPr>
    <w:rPr>
      <w:rFonts w:ascii="Arial" w:hAnsi="Arial" w:cs="Arial"/>
      <w:b/>
      <w:bCs/>
      <w:u w:val="single"/>
      <w:lang w:val="en-GB" w:eastAsia="fr-FR"/>
    </w:rPr>
  </w:style>
  <w:style w:type="paragraph" w:styleId="Titre2">
    <w:name w:val="heading 2"/>
    <w:basedOn w:val="Normal"/>
    <w:next w:val="Normal"/>
    <w:qFormat/>
    <w:rsid w:val="008A0474"/>
    <w:pPr>
      <w:tabs>
        <w:tab w:val="left" w:pos="-720"/>
      </w:tabs>
      <w:spacing w:before="120" w:line="360" w:lineRule="atLeast"/>
      <w:jc w:val="both"/>
      <w:outlineLvl w:val="1"/>
    </w:pPr>
    <w:rPr>
      <w:rFonts w:ascii="Arial" w:hAnsi="Arial" w:cs="Arial"/>
      <w:b/>
      <w:bCs/>
      <w:lang w:val="en-GB" w:eastAsia="fr-FR"/>
    </w:rPr>
  </w:style>
  <w:style w:type="paragraph" w:styleId="Titre3">
    <w:name w:val="heading 3"/>
    <w:basedOn w:val="Normal"/>
    <w:next w:val="Normal"/>
    <w:qFormat/>
    <w:rsid w:val="008A0474"/>
    <w:pPr>
      <w:tabs>
        <w:tab w:val="left" w:pos="-720"/>
      </w:tabs>
      <w:spacing w:line="360" w:lineRule="atLeast"/>
      <w:ind w:left="360"/>
      <w:jc w:val="both"/>
      <w:outlineLvl w:val="2"/>
    </w:pPr>
    <w:rPr>
      <w:b/>
      <w:bCs/>
      <w:lang w:val="en-GB" w:eastAsia="fr-FR"/>
    </w:rPr>
  </w:style>
  <w:style w:type="paragraph" w:styleId="Titre4">
    <w:name w:val="heading 4"/>
    <w:basedOn w:val="Normal"/>
    <w:next w:val="Normal"/>
    <w:qFormat/>
    <w:rsid w:val="008A0474"/>
    <w:pPr>
      <w:tabs>
        <w:tab w:val="left" w:pos="-720"/>
      </w:tabs>
      <w:spacing w:line="360" w:lineRule="atLeast"/>
      <w:ind w:left="360"/>
      <w:jc w:val="both"/>
      <w:outlineLvl w:val="3"/>
    </w:pPr>
    <w:rPr>
      <w:u w:val="single"/>
      <w:lang w:val="en-GB" w:eastAsia="fr-FR"/>
    </w:rPr>
  </w:style>
  <w:style w:type="paragraph" w:styleId="Titre5">
    <w:name w:val="heading 5"/>
    <w:basedOn w:val="Normal"/>
    <w:next w:val="Normal"/>
    <w:qFormat/>
    <w:rsid w:val="008A0474"/>
    <w:pPr>
      <w:tabs>
        <w:tab w:val="left" w:pos="-720"/>
      </w:tabs>
      <w:spacing w:line="360" w:lineRule="atLeast"/>
      <w:ind w:left="720"/>
      <w:jc w:val="both"/>
      <w:outlineLvl w:val="4"/>
    </w:pPr>
    <w:rPr>
      <w:b/>
      <w:bCs/>
      <w:sz w:val="20"/>
      <w:szCs w:val="20"/>
      <w:lang w:val="en-GB" w:eastAsia="fr-FR"/>
    </w:rPr>
  </w:style>
  <w:style w:type="paragraph" w:styleId="Titre6">
    <w:name w:val="heading 6"/>
    <w:basedOn w:val="Normal"/>
    <w:next w:val="Normal"/>
    <w:qFormat/>
    <w:rsid w:val="008A0474"/>
    <w:pPr>
      <w:tabs>
        <w:tab w:val="left" w:pos="-720"/>
      </w:tabs>
      <w:spacing w:line="360" w:lineRule="atLeast"/>
      <w:ind w:left="720"/>
      <w:jc w:val="both"/>
      <w:outlineLvl w:val="5"/>
    </w:pPr>
    <w:rPr>
      <w:sz w:val="20"/>
      <w:szCs w:val="20"/>
      <w:u w:val="single"/>
      <w:lang w:val="en-GB" w:eastAsia="fr-FR"/>
    </w:rPr>
  </w:style>
  <w:style w:type="paragraph" w:styleId="Titre7">
    <w:name w:val="heading 7"/>
    <w:basedOn w:val="Normal"/>
    <w:next w:val="Normal"/>
    <w:qFormat/>
    <w:rsid w:val="008A0474"/>
    <w:pPr>
      <w:tabs>
        <w:tab w:val="left" w:pos="-720"/>
      </w:tabs>
      <w:spacing w:line="360" w:lineRule="atLeast"/>
      <w:ind w:left="720"/>
      <w:jc w:val="both"/>
      <w:outlineLvl w:val="6"/>
    </w:pPr>
    <w:rPr>
      <w:i/>
      <w:iCs/>
      <w:sz w:val="20"/>
      <w:szCs w:val="20"/>
      <w:lang w:val="en-GB" w:eastAsia="fr-FR"/>
    </w:rPr>
  </w:style>
  <w:style w:type="paragraph" w:styleId="Titre8">
    <w:name w:val="heading 8"/>
    <w:basedOn w:val="Normal"/>
    <w:next w:val="Normal"/>
    <w:qFormat/>
    <w:rsid w:val="008A0474"/>
    <w:pPr>
      <w:tabs>
        <w:tab w:val="left" w:pos="-720"/>
      </w:tabs>
      <w:spacing w:line="360" w:lineRule="atLeast"/>
      <w:ind w:left="720"/>
      <w:jc w:val="both"/>
      <w:outlineLvl w:val="7"/>
    </w:pPr>
    <w:rPr>
      <w:i/>
      <w:iCs/>
      <w:sz w:val="20"/>
      <w:szCs w:val="20"/>
      <w:lang w:val="en-GB" w:eastAsia="fr-FR"/>
    </w:rPr>
  </w:style>
  <w:style w:type="paragraph" w:styleId="Titre9">
    <w:name w:val="heading 9"/>
    <w:basedOn w:val="Normal"/>
    <w:next w:val="Normal"/>
    <w:qFormat/>
    <w:rsid w:val="008A0474"/>
    <w:pPr>
      <w:tabs>
        <w:tab w:val="left" w:pos="-720"/>
      </w:tabs>
      <w:spacing w:line="360" w:lineRule="atLeast"/>
      <w:ind w:left="720"/>
      <w:jc w:val="both"/>
      <w:outlineLvl w:val="8"/>
    </w:pPr>
    <w:rPr>
      <w:i/>
      <w:iCs/>
      <w:sz w:val="20"/>
      <w:szCs w:val="20"/>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661B2E"/>
    <w:rPr>
      <w:rFonts w:ascii="Arial" w:hAnsi="Arial"/>
      <w:sz w:val="16"/>
      <w:szCs w:val="18"/>
    </w:rPr>
  </w:style>
  <w:style w:type="paragraph" w:styleId="En-tte">
    <w:name w:val="header"/>
    <w:basedOn w:val="Normal"/>
    <w:link w:val="En-tteCar"/>
    <w:rsid w:val="008A0474"/>
    <w:pPr>
      <w:tabs>
        <w:tab w:val="center" w:pos="4536"/>
        <w:tab w:val="right" w:pos="9072"/>
      </w:tabs>
      <w:spacing w:line="360" w:lineRule="atLeast"/>
      <w:jc w:val="both"/>
    </w:pPr>
    <w:rPr>
      <w:sz w:val="20"/>
      <w:szCs w:val="20"/>
      <w:lang w:val="en-GB" w:eastAsia="fr-FR"/>
    </w:rPr>
  </w:style>
  <w:style w:type="paragraph" w:customStyle="1" w:styleId="notedebas">
    <w:name w:val="note de bas"/>
    <w:basedOn w:val="Normal"/>
    <w:rsid w:val="008A0474"/>
    <w:pPr>
      <w:widowControl w:val="0"/>
      <w:tabs>
        <w:tab w:val="left" w:pos="-720"/>
      </w:tabs>
      <w:ind w:left="425" w:hanging="425"/>
      <w:jc w:val="both"/>
    </w:pPr>
    <w:rPr>
      <w:rFonts w:ascii="Arial" w:hAnsi="Arial" w:cs="Arial"/>
      <w:sz w:val="16"/>
      <w:szCs w:val="16"/>
      <w:lang w:eastAsia="fr-FR"/>
    </w:rPr>
  </w:style>
  <w:style w:type="paragraph" w:customStyle="1" w:styleId="a">
    <w:name w:val="a)"/>
    <w:basedOn w:val="Normal"/>
    <w:rsid w:val="008A0474"/>
    <w:pPr>
      <w:spacing w:after="120"/>
      <w:ind w:left="425" w:hanging="425"/>
      <w:jc w:val="both"/>
    </w:pPr>
    <w:rPr>
      <w:rFonts w:ascii="Ottawa" w:hAnsi="Ottawa"/>
      <w:b/>
      <w:bCs/>
      <w:sz w:val="20"/>
      <w:szCs w:val="20"/>
      <w:lang w:val="en-GB" w:eastAsia="fr-FR"/>
    </w:rPr>
  </w:style>
  <w:style w:type="paragraph" w:customStyle="1" w:styleId="paraa">
    <w:name w:val="paraa)"/>
    <w:basedOn w:val="Normal"/>
    <w:rsid w:val="008A0474"/>
    <w:pPr>
      <w:tabs>
        <w:tab w:val="left" w:pos="-720"/>
      </w:tabs>
      <w:spacing w:after="240"/>
      <w:ind w:left="425"/>
      <w:jc w:val="both"/>
    </w:pPr>
    <w:rPr>
      <w:rFonts w:ascii="Arial" w:hAnsi="Arial" w:cs="Arial"/>
      <w:sz w:val="18"/>
      <w:szCs w:val="18"/>
      <w:lang w:val="en-GB" w:eastAsia="fr-FR"/>
    </w:rPr>
  </w:style>
  <w:style w:type="paragraph" w:customStyle="1" w:styleId="1">
    <w:name w:val="1"/>
    <w:basedOn w:val="para1"/>
    <w:uiPriority w:val="99"/>
    <w:rsid w:val="008A0474"/>
    <w:pPr>
      <w:tabs>
        <w:tab w:val="clear" w:pos="-720"/>
      </w:tabs>
      <w:ind w:left="426" w:hanging="426"/>
    </w:pPr>
    <w:rPr>
      <w:rFonts w:ascii="Ottawa" w:hAnsi="Ottawa"/>
      <w:b/>
      <w:bCs/>
      <w:sz w:val="22"/>
      <w:szCs w:val="22"/>
    </w:rPr>
  </w:style>
  <w:style w:type="paragraph" w:customStyle="1" w:styleId="para1">
    <w:name w:val="para1"/>
    <w:basedOn w:val="Normal"/>
    <w:rsid w:val="008A0474"/>
    <w:pPr>
      <w:tabs>
        <w:tab w:val="left" w:pos="-720"/>
      </w:tabs>
      <w:spacing w:after="240"/>
      <w:jc w:val="both"/>
    </w:pPr>
    <w:rPr>
      <w:rFonts w:ascii="Arial" w:hAnsi="Arial" w:cs="Arial"/>
      <w:sz w:val="18"/>
      <w:szCs w:val="18"/>
      <w:lang w:val="en-GB" w:eastAsia="fr-FR"/>
    </w:rPr>
  </w:style>
  <w:style w:type="paragraph" w:customStyle="1" w:styleId="i">
    <w:name w:val="i)"/>
    <w:basedOn w:val="Normal"/>
    <w:qFormat/>
    <w:rsid w:val="00A844BE"/>
    <w:pPr>
      <w:tabs>
        <w:tab w:val="left" w:pos="-720"/>
      </w:tabs>
      <w:spacing w:after="120"/>
      <w:ind w:left="1843" w:hanging="425"/>
      <w:jc w:val="both"/>
    </w:pPr>
    <w:rPr>
      <w:rFonts w:ascii="Arial" w:hAnsi="Arial" w:cs="Arial"/>
      <w:sz w:val="18"/>
      <w:szCs w:val="18"/>
      <w:lang w:val="en-GB" w:eastAsia="fr-FR"/>
    </w:rPr>
  </w:style>
  <w:style w:type="paragraph" w:customStyle="1" w:styleId="A0">
    <w:name w:val="A"/>
    <w:basedOn w:val="Normal"/>
    <w:rsid w:val="008A0474"/>
    <w:pPr>
      <w:tabs>
        <w:tab w:val="left" w:pos="-720"/>
      </w:tabs>
      <w:spacing w:after="240"/>
      <w:jc w:val="center"/>
    </w:pPr>
    <w:rPr>
      <w:rFonts w:ascii="Ottawa" w:hAnsi="Ottawa"/>
      <w:b/>
      <w:bCs/>
      <w:lang w:val="en-GB" w:eastAsia="fr-FR"/>
    </w:rPr>
  </w:style>
  <w:style w:type="paragraph" w:customStyle="1" w:styleId="Ref">
    <w:name w:val="Ref."/>
    <w:basedOn w:val="Normal"/>
    <w:rsid w:val="008A0474"/>
    <w:pPr>
      <w:tabs>
        <w:tab w:val="left" w:pos="-720"/>
      </w:tabs>
      <w:spacing w:after="240"/>
      <w:ind w:left="426" w:hanging="426"/>
      <w:jc w:val="both"/>
    </w:pPr>
    <w:rPr>
      <w:rFonts w:ascii="Arial" w:hAnsi="Arial" w:cs="Arial"/>
      <w:sz w:val="18"/>
      <w:szCs w:val="18"/>
      <w:lang w:val="en-GB" w:eastAsia="fr-FR"/>
    </w:rPr>
  </w:style>
  <w:style w:type="paragraph" w:customStyle="1" w:styleId="sumtexte">
    <w:name w:val="sumtexte"/>
    <w:basedOn w:val="Normal"/>
    <w:rsid w:val="008A0474"/>
    <w:pPr>
      <w:tabs>
        <w:tab w:val="left" w:pos="-720"/>
      </w:tabs>
      <w:spacing w:after="120" w:line="240" w:lineRule="exact"/>
      <w:ind w:left="567" w:right="567"/>
      <w:jc w:val="both"/>
    </w:pPr>
    <w:rPr>
      <w:rFonts w:ascii="Arial" w:hAnsi="Arial" w:cs="Arial"/>
      <w:i/>
      <w:iCs/>
      <w:sz w:val="18"/>
      <w:szCs w:val="18"/>
      <w:lang w:val="en-GB" w:eastAsia="fr-FR"/>
    </w:rPr>
  </w:style>
  <w:style w:type="paragraph" w:customStyle="1" w:styleId="paraA0">
    <w:name w:val="paraA"/>
    <w:basedOn w:val="Normal"/>
    <w:link w:val="paraACar"/>
    <w:uiPriority w:val="99"/>
    <w:rsid w:val="008A0474"/>
    <w:pPr>
      <w:tabs>
        <w:tab w:val="left" w:pos="-720"/>
      </w:tabs>
      <w:spacing w:after="240"/>
      <w:jc w:val="both"/>
    </w:pPr>
    <w:rPr>
      <w:rFonts w:ascii="Arial" w:hAnsi="Arial" w:cs="Arial"/>
      <w:sz w:val="18"/>
      <w:szCs w:val="18"/>
      <w:lang w:val="en-GB" w:eastAsia="fr-FR"/>
    </w:rPr>
  </w:style>
  <w:style w:type="paragraph" w:customStyle="1" w:styleId="TITRE">
    <w:name w:val="TITRE"/>
    <w:basedOn w:val="Normal"/>
    <w:rsid w:val="008A0474"/>
    <w:pPr>
      <w:tabs>
        <w:tab w:val="left" w:pos="-720"/>
      </w:tabs>
      <w:spacing w:after="240" w:line="360" w:lineRule="atLeast"/>
      <w:jc w:val="center"/>
    </w:pPr>
    <w:rPr>
      <w:b/>
      <w:bCs/>
      <w:caps/>
      <w:sz w:val="20"/>
      <w:szCs w:val="20"/>
      <w:lang w:val="en-GB" w:eastAsia="fr-FR"/>
    </w:rPr>
  </w:style>
  <w:style w:type="paragraph" w:styleId="Pieddepage">
    <w:name w:val="footer"/>
    <w:basedOn w:val="Normal"/>
    <w:rsid w:val="008A0474"/>
    <w:pPr>
      <w:tabs>
        <w:tab w:val="center" w:pos="4536"/>
        <w:tab w:val="right" w:pos="9072"/>
      </w:tabs>
      <w:spacing w:line="360" w:lineRule="atLeast"/>
      <w:jc w:val="both"/>
    </w:pPr>
    <w:rPr>
      <w:sz w:val="20"/>
      <w:szCs w:val="20"/>
      <w:lang w:val="en-GB" w:eastAsia="fr-FR"/>
    </w:rPr>
  </w:style>
  <w:style w:type="paragraph" w:styleId="Notedebasdepage">
    <w:name w:val="footnote text"/>
    <w:basedOn w:val="Normal"/>
    <w:link w:val="NotedebasdepageCar"/>
    <w:uiPriority w:val="99"/>
    <w:semiHidden/>
    <w:rsid w:val="008A0474"/>
    <w:pPr>
      <w:tabs>
        <w:tab w:val="left" w:pos="-720"/>
      </w:tabs>
      <w:spacing w:line="360" w:lineRule="atLeast"/>
      <w:jc w:val="both"/>
    </w:pPr>
    <w:rPr>
      <w:sz w:val="20"/>
      <w:szCs w:val="20"/>
      <w:lang w:val="en-GB" w:eastAsia="fr-FR"/>
    </w:rPr>
  </w:style>
  <w:style w:type="character" w:styleId="Appelnotedebasdep">
    <w:name w:val="footnote reference"/>
    <w:basedOn w:val="Policepardfaut"/>
    <w:uiPriority w:val="99"/>
    <w:semiHidden/>
    <w:rsid w:val="008A0474"/>
    <w:rPr>
      <w:vertAlign w:val="superscript"/>
    </w:rPr>
  </w:style>
  <w:style w:type="paragraph" w:customStyle="1" w:styleId="sumtextelastpara">
    <w:name w:val="sumtexte last para"/>
    <w:basedOn w:val="sumtexte"/>
    <w:rsid w:val="008A0474"/>
    <w:pPr>
      <w:spacing w:after="480"/>
    </w:pPr>
  </w:style>
  <w:style w:type="paragraph" w:customStyle="1" w:styleId="b">
    <w:name w:val="b)"/>
    <w:basedOn w:val="Normal"/>
    <w:rsid w:val="008A0474"/>
    <w:pPr>
      <w:tabs>
        <w:tab w:val="left" w:pos="-720"/>
      </w:tabs>
      <w:spacing w:after="120"/>
      <w:ind w:left="850" w:hanging="425"/>
      <w:jc w:val="both"/>
    </w:pPr>
    <w:rPr>
      <w:rFonts w:ascii="Ottawa" w:hAnsi="Ottawa"/>
      <w:b/>
      <w:sz w:val="18"/>
      <w:szCs w:val="20"/>
      <w:lang w:val="en-GB" w:eastAsia="fr-FR"/>
    </w:rPr>
  </w:style>
  <w:style w:type="paragraph" w:customStyle="1" w:styleId="ipara">
    <w:name w:val="i_para"/>
    <w:basedOn w:val="i"/>
    <w:rsid w:val="008A0474"/>
    <w:pPr>
      <w:spacing w:line="200" w:lineRule="exact"/>
      <w:ind w:left="851" w:firstLine="0"/>
    </w:pPr>
  </w:style>
  <w:style w:type="paragraph" w:customStyle="1" w:styleId="iparalast">
    <w:name w:val="i_para_last"/>
    <w:basedOn w:val="i"/>
    <w:rsid w:val="008A0474"/>
    <w:pPr>
      <w:spacing w:after="240" w:line="200" w:lineRule="exact"/>
    </w:pPr>
  </w:style>
  <w:style w:type="paragraph" w:customStyle="1" w:styleId="Referencetitle">
    <w:name w:val="Reference_title"/>
    <w:basedOn w:val="Normal"/>
    <w:rsid w:val="008A0474"/>
    <w:pPr>
      <w:widowControl w:val="0"/>
      <w:tabs>
        <w:tab w:val="left" w:pos="-720"/>
        <w:tab w:val="left" w:pos="2410"/>
      </w:tabs>
      <w:spacing w:after="240"/>
      <w:jc w:val="center"/>
    </w:pPr>
    <w:rPr>
      <w:rFonts w:ascii="Ottawa" w:hAnsi="Ottawa"/>
      <w:b/>
      <w:sz w:val="22"/>
      <w:szCs w:val="20"/>
      <w:lang w:val="en-GB" w:eastAsia="fr-FR"/>
    </w:rPr>
  </w:style>
  <w:style w:type="paragraph" w:customStyle="1" w:styleId="Chatperno">
    <w:name w:val="Chatper_no"/>
    <w:basedOn w:val="Normal"/>
    <w:rsid w:val="008A0474"/>
    <w:pPr>
      <w:tabs>
        <w:tab w:val="left" w:pos="-720"/>
      </w:tabs>
      <w:spacing w:after="240"/>
      <w:jc w:val="center"/>
    </w:pPr>
    <w:rPr>
      <w:rFonts w:ascii="Ottawa" w:hAnsi="Ottawa"/>
      <w:caps/>
      <w:spacing w:val="60"/>
      <w:szCs w:val="20"/>
      <w:lang w:val="en-GB" w:eastAsia="fr-FR"/>
    </w:rPr>
  </w:style>
  <w:style w:type="paragraph" w:customStyle="1" w:styleId="Chaptertitle">
    <w:name w:val="Chapter_title"/>
    <w:basedOn w:val="Normal"/>
    <w:rsid w:val="008A0474"/>
    <w:pPr>
      <w:pBdr>
        <w:bottom w:val="single" w:sz="6" w:space="10" w:color="auto"/>
      </w:pBdr>
      <w:tabs>
        <w:tab w:val="left" w:pos="-720"/>
      </w:tabs>
      <w:jc w:val="center"/>
    </w:pPr>
    <w:rPr>
      <w:rFonts w:ascii="Ottawa" w:hAnsi="Ottawa"/>
      <w:b/>
      <w:caps/>
      <w:spacing w:val="40"/>
      <w:sz w:val="32"/>
      <w:szCs w:val="20"/>
      <w:lang w:val="en-GB" w:eastAsia="fr-FR"/>
    </w:rPr>
  </w:style>
  <w:style w:type="paragraph" w:customStyle="1" w:styleId="Summarytitle">
    <w:name w:val="Summary_title"/>
    <w:basedOn w:val="A0"/>
    <w:rsid w:val="008A0474"/>
    <w:pPr>
      <w:spacing w:before="1200"/>
    </w:pPr>
  </w:style>
  <w:style w:type="character" w:customStyle="1" w:styleId="paraaCar0">
    <w:name w:val="paraa) Car"/>
    <w:basedOn w:val="Policepardfaut"/>
    <w:rsid w:val="008A0474"/>
    <w:rPr>
      <w:rFonts w:ascii="Arial" w:hAnsi="Arial" w:cs="Arial"/>
      <w:noProof w:val="0"/>
      <w:sz w:val="18"/>
      <w:szCs w:val="18"/>
      <w:lang w:val="en-GB" w:eastAsia="fr-FR" w:bidi="ar-SA"/>
    </w:rPr>
  </w:style>
  <w:style w:type="paragraph" w:customStyle="1" w:styleId="rtoiles">
    <w:name w:val="r_étoiles"/>
    <w:basedOn w:val="Normal"/>
    <w:next w:val="Normal"/>
    <w:rsid w:val="008A0474"/>
    <w:pPr>
      <w:keepLines/>
      <w:spacing w:before="240" w:after="240" w:line="240" w:lineRule="atLeast"/>
      <w:jc w:val="center"/>
    </w:pPr>
    <w:rPr>
      <w:sz w:val="20"/>
      <w:szCs w:val="20"/>
      <w:lang w:val="fr-FR" w:eastAsia="fr-FR"/>
    </w:rPr>
  </w:style>
  <w:style w:type="character" w:styleId="Lienhypertexte">
    <w:name w:val="Hyperlink"/>
    <w:basedOn w:val="Policepardfaut"/>
    <w:rsid w:val="008A0474"/>
    <w:rPr>
      <w:color w:val="0033CC"/>
      <w:u w:val="single"/>
    </w:rPr>
  </w:style>
  <w:style w:type="paragraph" w:styleId="Textedebulles">
    <w:name w:val="Balloon Text"/>
    <w:basedOn w:val="Normal"/>
    <w:semiHidden/>
    <w:rsid w:val="008A0474"/>
    <w:pPr>
      <w:tabs>
        <w:tab w:val="left" w:pos="-720"/>
      </w:tabs>
      <w:spacing w:line="360" w:lineRule="atLeast"/>
      <w:jc w:val="both"/>
    </w:pPr>
    <w:rPr>
      <w:rFonts w:ascii="Lucida Grande" w:hAnsi="Lucida Grande"/>
      <w:sz w:val="18"/>
      <w:szCs w:val="18"/>
      <w:lang w:val="en-GB" w:eastAsia="fr-FR"/>
    </w:rPr>
  </w:style>
  <w:style w:type="character" w:styleId="Marquedecommentaire">
    <w:name w:val="annotation reference"/>
    <w:basedOn w:val="Policepardfaut"/>
    <w:semiHidden/>
    <w:rsid w:val="003466E2"/>
    <w:rPr>
      <w:sz w:val="16"/>
      <w:szCs w:val="16"/>
    </w:rPr>
  </w:style>
  <w:style w:type="paragraph" w:styleId="Commentaire">
    <w:name w:val="annotation text"/>
    <w:basedOn w:val="Normal"/>
    <w:link w:val="CommentaireCar"/>
    <w:semiHidden/>
    <w:rsid w:val="003466E2"/>
    <w:rPr>
      <w:sz w:val="20"/>
      <w:szCs w:val="20"/>
    </w:rPr>
  </w:style>
  <w:style w:type="paragraph" w:styleId="Objetducommentaire">
    <w:name w:val="annotation subject"/>
    <w:basedOn w:val="Commentaire"/>
    <w:next w:val="Commentaire"/>
    <w:semiHidden/>
    <w:rsid w:val="003466E2"/>
    <w:rPr>
      <w:b/>
      <w:bCs/>
    </w:rPr>
  </w:style>
  <w:style w:type="character" w:styleId="Lienhypertextesuivivisit">
    <w:name w:val="FollowedHyperlink"/>
    <w:basedOn w:val="Policepardfaut"/>
    <w:rsid w:val="00D4154A"/>
    <w:rPr>
      <w:color w:val="800080"/>
      <w:u w:val="single"/>
    </w:rPr>
  </w:style>
  <w:style w:type="character" w:customStyle="1" w:styleId="En-tteCar">
    <w:name w:val="En-tête Car"/>
    <w:basedOn w:val="Policepardfaut"/>
    <w:link w:val="En-tte"/>
    <w:rsid w:val="00BF0D59"/>
    <w:rPr>
      <w:lang w:eastAsia="fr-FR"/>
    </w:rPr>
  </w:style>
  <w:style w:type="paragraph" w:customStyle="1" w:styleId="Reflabnote">
    <w:name w:val="Ref_lab_note"/>
    <w:basedOn w:val="Normal"/>
    <w:link w:val="ReflabnoteCar"/>
    <w:rsid w:val="00224F28"/>
    <w:pPr>
      <w:spacing w:before="120" w:after="120"/>
      <w:jc w:val="center"/>
    </w:pPr>
    <w:rPr>
      <w:rFonts w:ascii="Arial" w:hAnsi="Arial" w:cs="Arial"/>
      <w:sz w:val="18"/>
      <w:szCs w:val="18"/>
      <w:lang w:val="en-GB" w:eastAsia="fr-FR"/>
    </w:rPr>
  </w:style>
  <w:style w:type="character" w:customStyle="1" w:styleId="ReflabnoteCar">
    <w:name w:val="Ref_lab_note Car"/>
    <w:basedOn w:val="Policepardfaut"/>
    <w:link w:val="Reflabnote"/>
    <w:rsid w:val="00224F28"/>
    <w:rPr>
      <w:rFonts w:ascii="Arial" w:hAnsi="Arial" w:cs="Arial"/>
      <w:sz w:val="18"/>
      <w:szCs w:val="18"/>
      <w:lang w:eastAsia="fr-FR"/>
    </w:rPr>
  </w:style>
  <w:style w:type="paragraph" w:customStyle="1" w:styleId="11">
    <w:name w:val="1.1"/>
    <w:basedOn w:val="Normal"/>
    <w:qFormat/>
    <w:rsid w:val="00A56C03"/>
    <w:pPr>
      <w:spacing w:after="240"/>
      <w:ind w:left="850" w:hanging="425"/>
    </w:pPr>
    <w:rPr>
      <w:rFonts w:ascii="Ottawa" w:eastAsiaTheme="minorHAnsi" w:hAnsi="Ottawa" w:cs="Arial"/>
      <w:b/>
      <w:sz w:val="20"/>
      <w:szCs w:val="22"/>
      <w:lang w:val="en-GB"/>
    </w:rPr>
  </w:style>
  <w:style w:type="paragraph" w:customStyle="1" w:styleId="11Para">
    <w:name w:val="1.1_Para"/>
    <w:basedOn w:val="Normal"/>
    <w:qFormat/>
    <w:rsid w:val="00A56C03"/>
    <w:pPr>
      <w:spacing w:after="240"/>
      <w:ind w:left="851"/>
      <w:jc w:val="both"/>
    </w:pPr>
    <w:rPr>
      <w:rFonts w:ascii="Arial" w:eastAsiaTheme="minorHAnsi" w:hAnsi="Arial" w:cs="Arial"/>
      <w:sz w:val="18"/>
      <w:szCs w:val="18"/>
      <w:lang w:val="en-GB"/>
    </w:rPr>
  </w:style>
  <w:style w:type="paragraph" w:customStyle="1" w:styleId="111">
    <w:name w:val="1.1.1"/>
    <w:basedOn w:val="Normal"/>
    <w:qFormat/>
    <w:rsid w:val="00A56C03"/>
    <w:pPr>
      <w:spacing w:after="120"/>
      <w:ind w:left="1418" w:hanging="567"/>
    </w:pPr>
    <w:rPr>
      <w:rFonts w:ascii="Ottawa" w:eastAsiaTheme="minorHAnsi" w:hAnsi="Ottawa" w:cs="Arial"/>
      <w:b/>
      <w:sz w:val="19"/>
      <w:szCs w:val="20"/>
      <w:lang w:val="en-GB"/>
    </w:rPr>
  </w:style>
  <w:style w:type="paragraph" w:customStyle="1" w:styleId="111Para">
    <w:name w:val="1.1.1_Para"/>
    <w:basedOn w:val="Normal"/>
    <w:qFormat/>
    <w:rsid w:val="00A56C03"/>
    <w:pPr>
      <w:spacing w:after="240"/>
      <w:ind w:left="1418"/>
      <w:jc w:val="both"/>
    </w:pPr>
    <w:rPr>
      <w:rFonts w:ascii="Arial" w:eastAsiaTheme="minorHAnsi" w:hAnsi="Arial" w:cs="Arial"/>
      <w:sz w:val="18"/>
      <w:szCs w:val="18"/>
      <w:lang w:val="en-GB"/>
    </w:rPr>
  </w:style>
  <w:style w:type="paragraph" w:customStyle="1" w:styleId="ilast">
    <w:name w:val="i)_last"/>
    <w:basedOn w:val="Normal"/>
    <w:qFormat/>
    <w:rsid w:val="00A56C03"/>
    <w:pPr>
      <w:spacing w:after="240"/>
      <w:ind w:left="1843" w:hanging="425"/>
    </w:pPr>
    <w:rPr>
      <w:rFonts w:ascii="Arial" w:eastAsiaTheme="minorHAnsi" w:hAnsi="Arial" w:cs="Arial"/>
      <w:sz w:val="18"/>
      <w:szCs w:val="18"/>
      <w:lang w:val="en-GB"/>
    </w:rPr>
  </w:style>
  <w:style w:type="paragraph" w:customStyle="1" w:styleId="afourthlevel">
    <w:name w:val="a)_fourth_level"/>
    <w:basedOn w:val="Normal"/>
    <w:qFormat/>
    <w:rsid w:val="00A56C03"/>
    <w:pPr>
      <w:spacing w:after="120"/>
      <w:ind w:left="1843" w:hanging="425"/>
    </w:pPr>
    <w:rPr>
      <w:rFonts w:ascii="Ottawa" w:eastAsiaTheme="minorHAnsi" w:hAnsi="Ottawa" w:cs="Arial"/>
      <w:b/>
      <w:sz w:val="18"/>
      <w:szCs w:val="20"/>
      <w:lang w:val="en-GB"/>
    </w:rPr>
  </w:style>
  <w:style w:type="paragraph" w:customStyle="1" w:styleId="afourthpara">
    <w:name w:val="a)_fourth_para"/>
    <w:basedOn w:val="Normal"/>
    <w:qFormat/>
    <w:rsid w:val="00A56C03"/>
    <w:pPr>
      <w:spacing w:after="240"/>
      <w:ind w:left="1843"/>
      <w:jc w:val="both"/>
    </w:pPr>
    <w:rPr>
      <w:rFonts w:ascii="Arial" w:eastAsiaTheme="minorHAnsi" w:hAnsi="Arial" w:cs="Arial"/>
      <w:sz w:val="18"/>
      <w:szCs w:val="18"/>
      <w:lang w:val="en-GB"/>
    </w:rPr>
  </w:style>
  <w:style w:type="paragraph" w:customStyle="1" w:styleId="ififthlevel">
    <w:name w:val="i)_fifth_level"/>
    <w:basedOn w:val="Normal"/>
    <w:qFormat/>
    <w:rsid w:val="00A56C03"/>
    <w:pPr>
      <w:spacing w:after="120"/>
      <w:ind w:left="2268" w:hanging="425"/>
    </w:pPr>
    <w:rPr>
      <w:rFonts w:ascii="Ottawa" w:eastAsiaTheme="minorHAnsi" w:hAnsi="Ottawa" w:cs="Arial"/>
      <w:b/>
      <w:sz w:val="17"/>
      <w:szCs w:val="18"/>
      <w:lang w:val="en-GB"/>
    </w:rPr>
  </w:style>
  <w:style w:type="paragraph" w:customStyle="1" w:styleId="ififthpara">
    <w:name w:val="i)_fifth_para"/>
    <w:basedOn w:val="Normal"/>
    <w:qFormat/>
    <w:rsid w:val="00A56C03"/>
    <w:pPr>
      <w:spacing w:after="240"/>
      <w:ind w:left="2268"/>
      <w:jc w:val="both"/>
    </w:pPr>
    <w:rPr>
      <w:rFonts w:ascii="Arial" w:eastAsiaTheme="minorHAnsi" w:hAnsi="Arial" w:cs="Arial"/>
      <w:sz w:val="18"/>
      <w:szCs w:val="18"/>
      <w:lang w:val="en-GB"/>
    </w:rPr>
  </w:style>
  <w:style w:type="paragraph" w:customStyle="1" w:styleId="dotsixthlevel">
    <w:name w:val="dot_sixth_level"/>
    <w:basedOn w:val="Normal"/>
    <w:qFormat/>
    <w:rsid w:val="00A56C03"/>
    <w:pPr>
      <w:spacing w:after="120"/>
      <w:ind w:left="2268" w:hanging="425"/>
    </w:pPr>
    <w:rPr>
      <w:rFonts w:ascii="Arial" w:eastAsiaTheme="minorHAnsi" w:hAnsi="Arial" w:cs="Arial"/>
      <w:sz w:val="18"/>
      <w:szCs w:val="18"/>
      <w:lang w:val="en-GB"/>
    </w:rPr>
  </w:style>
  <w:style w:type="paragraph" w:customStyle="1" w:styleId="dotsixthpara">
    <w:name w:val="dot_sixth_para"/>
    <w:basedOn w:val="Normal"/>
    <w:qFormat/>
    <w:rsid w:val="00A56C03"/>
    <w:pPr>
      <w:spacing w:after="240"/>
      <w:ind w:left="2268"/>
      <w:jc w:val="both"/>
    </w:pPr>
    <w:rPr>
      <w:rFonts w:ascii="Arial" w:eastAsiaTheme="minorHAnsi" w:hAnsi="Arial" w:cs="Arial"/>
      <w:sz w:val="18"/>
      <w:szCs w:val="18"/>
      <w:lang w:val="en-GB"/>
    </w:rPr>
  </w:style>
  <w:style w:type="paragraph" w:customStyle="1" w:styleId="ififthlevellist">
    <w:name w:val="i_fifth_level_list"/>
    <w:basedOn w:val="ififthpara"/>
    <w:qFormat/>
    <w:rsid w:val="00A56C03"/>
    <w:pPr>
      <w:spacing w:after="120"/>
      <w:ind w:hanging="425"/>
    </w:pPr>
  </w:style>
  <w:style w:type="character" w:customStyle="1" w:styleId="NotedebasdepageCar">
    <w:name w:val="Note de bas de page Car"/>
    <w:basedOn w:val="Policepardfaut"/>
    <w:link w:val="Notedebasdepage"/>
    <w:uiPriority w:val="99"/>
    <w:rsid w:val="00BA3280"/>
    <w:rPr>
      <w:lang w:eastAsia="fr-FR"/>
    </w:rPr>
  </w:style>
  <w:style w:type="paragraph" w:customStyle="1" w:styleId="TableHead">
    <w:name w:val="Table Head"/>
    <w:basedOn w:val="Normal"/>
    <w:uiPriority w:val="99"/>
    <w:rsid w:val="00BA3280"/>
    <w:pPr>
      <w:spacing w:before="120" w:after="120"/>
      <w:jc w:val="center"/>
    </w:pPr>
    <w:rPr>
      <w:rFonts w:ascii="Ottawa" w:hAnsi="Ottawa"/>
      <w:b/>
      <w:bCs/>
      <w:sz w:val="18"/>
      <w:szCs w:val="22"/>
      <w:lang w:val="en-IE"/>
    </w:rPr>
  </w:style>
  <w:style w:type="paragraph" w:customStyle="1" w:styleId="Tabletext">
    <w:name w:val="Table text"/>
    <w:basedOn w:val="Normal"/>
    <w:uiPriority w:val="99"/>
    <w:rsid w:val="00BA3280"/>
    <w:pPr>
      <w:spacing w:before="120" w:after="120"/>
      <w:jc w:val="center"/>
    </w:pPr>
    <w:rPr>
      <w:rFonts w:ascii="Arial" w:hAnsi="Arial" w:cs="Arial"/>
      <w:bCs/>
      <w:sz w:val="18"/>
      <w:szCs w:val="22"/>
      <w:lang w:val="en-IE"/>
    </w:rPr>
  </w:style>
  <w:style w:type="character" w:customStyle="1" w:styleId="paraACar">
    <w:name w:val="paraA Car"/>
    <w:link w:val="paraA0"/>
    <w:uiPriority w:val="99"/>
    <w:locked/>
    <w:rsid w:val="00BA3280"/>
    <w:rPr>
      <w:rFonts w:ascii="Arial" w:hAnsi="Arial" w:cs="Arial"/>
      <w:sz w:val="18"/>
      <w:szCs w:val="18"/>
      <w:lang w:eastAsia="fr-FR"/>
    </w:rPr>
  </w:style>
  <w:style w:type="paragraph" w:styleId="Textebrut">
    <w:name w:val="Plain Text"/>
    <w:basedOn w:val="Normal"/>
    <w:link w:val="TextebrutCar"/>
    <w:uiPriority w:val="99"/>
    <w:rsid w:val="00BA3280"/>
    <w:rPr>
      <w:rFonts w:ascii="Calibri" w:hAnsi="Calibri"/>
      <w:sz w:val="22"/>
      <w:szCs w:val="21"/>
      <w:lang w:val="en-GB"/>
    </w:rPr>
  </w:style>
  <w:style w:type="character" w:customStyle="1" w:styleId="TextebrutCar">
    <w:name w:val="Texte brut Car"/>
    <w:basedOn w:val="Policepardfaut"/>
    <w:link w:val="Textebrut"/>
    <w:uiPriority w:val="99"/>
    <w:rsid w:val="00BA3280"/>
    <w:rPr>
      <w:rFonts w:ascii="Calibri" w:hAnsi="Calibri"/>
      <w:sz w:val="22"/>
      <w:szCs w:val="21"/>
      <w:lang w:eastAsia="en-US"/>
    </w:rPr>
  </w:style>
  <w:style w:type="character" w:customStyle="1" w:styleId="longtext">
    <w:name w:val="long_text"/>
    <w:basedOn w:val="Policepardfaut"/>
    <w:rsid w:val="00C30607"/>
  </w:style>
  <w:style w:type="character" w:customStyle="1" w:styleId="hps">
    <w:name w:val="hps"/>
    <w:basedOn w:val="Policepardfaut"/>
    <w:rsid w:val="00C30607"/>
  </w:style>
  <w:style w:type="paragraph" w:customStyle="1" w:styleId="Tabletitle">
    <w:name w:val="Table title"/>
    <w:basedOn w:val="Normal"/>
    <w:autoRedefine/>
    <w:uiPriority w:val="99"/>
    <w:rsid w:val="00233BEF"/>
    <w:pPr>
      <w:spacing w:after="240"/>
      <w:jc w:val="center"/>
    </w:pPr>
    <w:rPr>
      <w:rFonts w:ascii="Ottawa" w:hAnsi="Ottawa" w:cs="Ottawa"/>
      <w:b/>
      <w:bCs/>
      <w:i/>
      <w:iCs/>
      <w:sz w:val="18"/>
      <w:szCs w:val="18"/>
      <w:lang w:val="en-GB"/>
    </w:rPr>
  </w:style>
  <w:style w:type="character" w:customStyle="1" w:styleId="CommentaireCar">
    <w:name w:val="Commentaire Car"/>
    <w:basedOn w:val="Policepardfaut"/>
    <w:link w:val="Commentaire"/>
    <w:semiHidden/>
    <w:rsid w:val="002A1CEC"/>
    <w:rPr>
      <w:lang w:val="en-US" w:eastAsia="en-US"/>
    </w:rPr>
  </w:style>
  <w:style w:type="paragraph" w:styleId="Titre0">
    <w:name w:val="Title"/>
    <w:aliases w:val="title"/>
    <w:basedOn w:val="Normal"/>
    <w:link w:val="TitreCar"/>
    <w:qFormat/>
    <w:rsid w:val="00AA6A31"/>
    <w:pPr>
      <w:spacing w:before="100" w:beforeAutospacing="1" w:after="100" w:afterAutospacing="1"/>
    </w:pPr>
    <w:rPr>
      <w:sz w:val="20"/>
      <w:szCs w:val="20"/>
    </w:rPr>
  </w:style>
  <w:style w:type="character" w:customStyle="1" w:styleId="TitreCar">
    <w:name w:val="Titre Car"/>
    <w:aliases w:val="title Car"/>
    <w:basedOn w:val="Policepardfaut"/>
    <w:link w:val="Titre0"/>
    <w:rsid w:val="00AA6A31"/>
    <w:rPr>
      <w:lang w:val="en-US" w:eastAsia="en-US"/>
    </w:rPr>
  </w:style>
  <w:style w:type="character" w:customStyle="1" w:styleId="st">
    <w:name w:val="st"/>
    <w:basedOn w:val="Policepardfaut"/>
    <w:rsid w:val="00CF254B"/>
  </w:style>
  <w:style w:type="character" w:styleId="Accentuation">
    <w:name w:val="Emphasis"/>
    <w:basedOn w:val="Policepardfaut"/>
    <w:uiPriority w:val="20"/>
    <w:qFormat/>
    <w:rsid w:val="00CF254B"/>
    <w:rPr>
      <w:i/>
      <w:iCs/>
    </w:rPr>
  </w:style>
  <w:style w:type="character" w:customStyle="1" w:styleId="Titre1Car">
    <w:name w:val="Titre 1 Car"/>
    <w:basedOn w:val="Policepardfaut"/>
    <w:link w:val="Titre1"/>
    <w:uiPriority w:val="99"/>
    <w:rsid w:val="001F06C9"/>
    <w:rPr>
      <w:rFonts w:ascii="Arial" w:hAnsi="Arial" w:cs="Arial"/>
      <w:b/>
      <w:bCs/>
      <w:sz w:val="24"/>
      <w:szCs w:val="24"/>
      <w:u w:val="single"/>
      <w:lang w:eastAsia="fr-FR"/>
    </w:rPr>
  </w:style>
  <w:style w:type="paragraph" w:styleId="Corpsdetexte">
    <w:name w:val="Body Text"/>
    <w:basedOn w:val="Normal"/>
    <w:link w:val="CorpsdetexteCar"/>
    <w:rsid w:val="001F06C9"/>
    <w:pPr>
      <w:tabs>
        <w:tab w:val="left" w:pos="-720"/>
      </w:tabs>
      <w:spacing w:after="120" w:line="360" w:lineRule="atLeast"/>
      <w:jc w:val="both"/>
    </w:pPr>
    <w:rPr>
      <w:sz w:val="20"/>
      <w:szCs w:val="20"/>
      <w:lang w:val="en-GB" w:eastAsia="en-GB"/>
    </w:rPr>
  </w:style>
  <w:style w:type="character" w:customStyle="1" w:styleId="CorpsdetexteCar">
    <w:name w:val="Corps de texte Car"/>
    <w:basedOn w:val="Policepardfaut"/>
    <w:link w:val="Corpsdetexte"/>
    <w:rsid w:val="001F06C9"/>
  </w:style>
  <w:style w:type="table" w:styleId="Grilledutableau">
    <w:name w:val="Table Grid"/>
    <w:basedOn w:val="TableauNormal"/>
    <w:uiPriority w:val="59"/>
    <w:rsid w:val="00B44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26926568"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ie.in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ie.int/en/scientific-expertise/reference-laboratories/list-of-laboratori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ncbi.nlm.nih.gov/pubmed/2910369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cbi.nlm.nih.gov/pubmed/28301243"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C9B9D-6C2F-4AC7-B2B1-31BFA04AD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14296</Words>
  <Characters>77486</Characters>
  <Application>Microsoft Office Word</Application>
  <DocSecurity>0</DocSecurity>
  <Lines>645</Lines>
  <Paragraphs>183</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CHAPTER 2</vt:lpstr>
      <vt:lpstr>CHAPTER 2</vt:lpstr>
    </vt:vector>
  </TitlesOfParts>
  <Company>University of Georgia</Company>
  <LinksUpToDate>false</LinksUpToDate>
  <CharactersWithSpaces>91599</CharactersWithSpaces>
  <SharedDoc>false</SharedDoc>
  <HLinks>
    <vt:vector size="6" baseType="variant">
      <vt:variant>
        <vt:i4>3932281</vt:i4>
      </vt:variant>
      <vt:variant>
        <vt:i4>0</vt:i4>
      </vt:variant>
      <vt:variant>
        <vt:i4>0</vt:i4>
      </vt:variant>
      <vt:variant>
        <vt:i4>5</vt:i4>
      </vt:variant>
      <vt:variant>
        <vt:lpwstr>http://www.oie.int/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Stanley H. Kleven</dc:creator>
  <cp:lastModifiedBy>Sara Linnane</cp:lastModifiedBy>
  <cp:revision>3</cp:revision>
  <cp:lastPrinted>2019-05-08T15:23:00Z</cp:lastPrinted>
  <dcterms:created xsi:type="dcterms:W3CDTF">2020-03-11T10:57:00Z</dcterms:created>
  <dcterms:modified xsi:type="dcterms:W3CDTF">2020-03-13T12:02:00Z</dcterms:modified>
</cp:coreProperties>
</file>