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9E0CD" w14:textId="046ED297" w:rsidR="001F7090" w:rsidRPr="008332F1" w:rsidRDefault="001F7090" w:rsidP="001F7090">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bookmarkStart w:id="0" w:name="_GoBack"/>
      <w:bookmarkEnd w:id="0"/>
      <w:r w:rsidRPr="008332F1">
        <w:rPr>
          <w:rFonts w:ascii="Times New Roman" w:hAnsi="Times New Roman" w:cs="Times New Roman"/>
          <w:spacing w:val="4"/>
          <w:sz w:val="20"/>
          <w:szCs w:val="20"/>
          <w:u w:val="single"/>
        </w:rPr>
        <w:t>Annex</w:t>
      </w:r>
      <w:r w:rsidR="00052CCA">
        <w:rPr>
          <w:rFonts w:ascii="Times New Roman" w:hAnsi="Times New Roman" w:cs="Times New Roman"/>
          <w:spacing w:val="4"/>
          <w:sz w:val="20"/>
          <w:szCs w:val="20"/>
          <w:u w:val="single"/>
        </w:rPr>
        <w:t xml:space="preserve"> </w:t>
      </w:r>
      <w:r w:rsidR="00E15A92">
        <w:rPr>
          <w:rFonts w:ascii="Times New Roman" w:hAnsi="Times New Roman" w:cs="Times New Roman"/>
          <w:spacing w:val="4"/>
          <w:sz w:val="20"/>
          <w:szCs w:val="20"/>
          <w:u w:val="single"/>
        </w:rPr>
        <w:t>4</w:t>
      </w:r>
    </w:p>
    <w:p w14:paraId="32EED093" w14:textId="77777777" w:rsidR="00DA6CD2" w:rsidRPr="00DA6CD2" w:rsidRDefault="00DA6CD2" w:rsidP="00DA6CD2">
      <w:pPr>
        <w:spacing w:after="240" w:line="240" w:lineRule="auto"/>
        <w:jc w:val="center"/>
        <w:rPr>
          <w:rFonts w:ascii="Ottawa" w:hAnsi="Ottawa" w:cs="Arial"/>
          <w:caps/>
          <w:spacing w:val="57"/>
          <w:sz w:val="28"/>
          <w:szCs w:val="28"/>
          <w:lang w:val="en"/>
        </w:rPr>
      </w:pPr>
      <w:r w:rsidRPr="00DA6CD2">
        <w:rPr>
          <w:rFonts w:ascii="Ottawa" w:hAnsi="Ottawa" w:cs="Arial"/>
          <w:caps/>
          <w:spacing w:val="57"/>
          <w:sz w:val="28"/>
          <w:szCs w:val="28"/>
          <w:lang w:val="en"/>
        </w:rPr>
        <w:t>User's guide</w:t>
      </w:r>
    </w:p>
    <w:p w14:paraId="0EC46003" w14:textId="77777777" w:rsidR="00DA6CD2" w:rsidRPr="00DA6CD2" w:rsidRDefault="00BF5517" w:rsidP="00DA6CD2">
      <w:pPr>
        <w:spacing w:after="240" w:line="240" w:lineRule="auto"/>
        <w:jc w:val="both"/>
        <w:rPr>
          <w:rFonts w:ascii="Arial" w:hAnsi="Arial" w:cs="Arial"/>
          <w:sz w:val="18"/>
          <w:szCs w:val="18"/>
          <w:lang w:val="en"/>
        </w:rPr>
      </w:pPr>
      <w:r>
        <w:rPr>
          <w:rFonts w:ascii="Arial" w:hAnsi="Arial" w:cs="Arial"/>
          <w:sz w:val="18"/>
          <w:szCs w:val="18"/>
          <w:lang w:val="en"/>
        </w:rPr>
        <w:pict w14:anchorId="4F92F6E3">
          <v:rect id="_x0000_i1025" style="width:136.1pt;height:1.5pt" o:hrpct="300" o:hralign="center" o:hrstd="t" o:hr="t" fillcolor="#a0a0a0" stroked="f"/>
        </w:pict>
      </w:r>
    </w:p>
    <w:p w14:paraId="1EA406F1" w14:textId="77777777" w:rsidR="00DA6CD2" w:rsidRPr="00052CCA" w:rsidRDefault="00E5594C" w:rsidP="00E5594C">
      <w:pPr>
        <w:snapToGrid w:val="0"/>
        <w:spacing w:after="360"/>
        <w:jc w:val="center"/>
        <w:rPr>
          <w:rFonts w:ascii="Ottawa" w:hAnsi="Ottawa" w:cs="Arial"/>
          <w:color w:val="000000"/>
          <w:sz w:val="18"/>
          <w:szCs w:val="18"/>
          <w:lang w:val="en-GB"/>
        </w:rPr>
      </w:pPr>
      <w:r w:rsidRPr="00052CCA">
        <w:rPr>
          <w:rFonts w:ascii="Ottawa" w:hAnsi="Ottawa" w:cs="Arial"/>
          <w:color w:val="000000"/>
          <w:sz w:val="18"/>
          <w:szCs w:val="18"/>
          <w:lang w:val="en-GB"/>
        </w:rPr>
        <w:t>[...]</w:t>
      </w:r>
    </w:p>
    <w:p w14:paraId="15AB19B4" w14:textId="77777777" w:rsidR="00DA6CD2" w:rsidRPr="00EC401D" w:rsidRDefault="00DA6CD2" w:rsidP="00EC401D">
      <w:pPr>
        <w:tabs>
          <w:tab w:val="num" w:pos="720"/>
        </w:tabs>
        <w:spacing w:after="240" w:line="240" w:lineRule="auto"/>
        <w:ind w:left="360"/>
        <w:jc w:val="center"/>
        <w:rPr>
          <w:rFonts w:ascii="Arial" w:hAnsi="Arial" w:cs="Arial"/>
          <w:sz w:val="18"/>
          <w:szCs w:val="18"/>
          <w:lang w:val="en"/>
        </w:rPr>
      </w:pPr>
      <w:r w:rsidRPr="00EC401D">
        <w:rPr>
          <w:rFonts w:ascii="Arial" w:hAnsi="Arial" w:cs="Arial"/>
          <w:sz w:val="18"/>
          <w:szCs w:val="18"/>
          <w:lang w:val="en"/>
        </w:rPr>
        <w:t xml:space="preserve">B.  </w:t>
      </w:r>
      <w:r w:rsidRPr="00EC401D">
        <w:rPr>
          <w:rFonts w:ascii="Arial" w:hAnsi="Arial" w:cs="Arial"/>
          <w:i/>
          <w:sz w:val="18"/>
          <w:szCs w:val="18"/>
          <w:lang w:val="en"/>
        </w:rPr>
        <w:t>Terrestrial Code</w:t>
      </w:r>
      <w:r w:rsidRPr="00EC401D">
        <w:rPr>
          <w:rFonts w:ascii="Arial" w:hAnsi="Arial" w:cs="Arial"/>
          <w:sz w:val="18"/>
          <w:szCs w:val="18"/>
          <w:lang w:val="en"/>
        </w:rPr>
        <w:t xml:space="preserve"> content</w:t>
      </w:r>
    </w:p>
    <w:p w14:paraId="6005D32C" w14:textId="77777777" w:rsidR="00E5594C" w:rsidRPr="00EC401D" w:rsidRDefault="00E5594C" w:rsidP="00EC401D">
      <w:pPr>
        <w:snapToGrid w:val="0"/>
        <w:spacing w:after="240" w:line="240" w:lineRule="auto"/>
        <w:jc w:val="center"/>
        <w:rPr>
          <w:rFonts w:ascii="Arial" w:hAnsi="Arial" w:cs="Arial"/>
          <w:color w:val="000000"/>
          <w:sz w:val="18"/>
          <w:szCs w:val="18"/>
          <w:lang w:val="en-US"/>
        </w:rPr>
      </w:pPr>
      <w:r w:rsidRPr="00EC401D">
        <w:rPr>
          <w:rFonts w:ascii="Arial" w:hAnsi="Arial" w:cs="Arial"/>
          <w:color w:val="000000"/>
          <w:sz w:val="18"/>
          <w:szCs w:val="18"/>
          <w:lang w:val="en-US"/>
        </w:rPr>
        <w:t>[...]</w:t>
      </w:r>
    </w:p>
    <w:p w14:paraId="5A833572" w14:textId="4C7304AC" w:rsidR="00DA6CD2" w:rsidRPr="00EC401D" w:rsidRDefault="00DA6CD2" w:rsidP="00EC401D">
      <w:pPr>
        <w:spacing w:after="240" w:line="240" w:lineRule="auto"/>
        <w:ind w:left="426" w:hanging="426"/>
        <w:jc w:val="both"/>
        <w:rPr>
          <w:rFonts w:ascii="Arial" w:hAnsi="Arial" w:cs="Arial"/>
          <w:sz w:val="18"/>
          <w:szCs w:val="18"/>
          <w:lang w:val="en"/>
        </w:rPr>
      </w:pPr>
      <w:r w:rsidRPr="00EC401D">
        <w:rPr>
          <w:rFonts w:ascii="Arial" w:hAnsi="Arial" w:cs="Arial"/>
          <w:sz w:val="18"/>
          <w:szCs w:val="18"/>
          <w:lang w:val="en"/>
        </w:rPr>
        <w:t>3)</w:t>
      </w:r>
      <w:r w:rsidRPr="00EC401D">
        <w:rPr>
          <w:rFonts w:ascii="Arial" w:hAnsi="Arial" w:cs="Arial"/>
          <w:sz w:val="18"/>
          <w:szCs w:val="18"/>
          <w:lang w:val="en"/>
        </w:rPr>
        <w:tab/>
        <w:t xml:space="preserve">The standards in the chapters of Section 1 are designed for the implementation of measures for the diagnosis, surveillance and notification of </w:t>
      </w:r>
      <w:r w:rsidRPr="00EC401D">
        <w:rPr>
          <w:rFonts w:ascii="Arial" w:hAnsi="Arial" w:cs="Arial"/>
          <w:strike/>
          <w:sz w:val="18"/>
          <w:szCs w:val="18"/>
          <w:lang w:val="en"/>
        </w:rPr>
        <w:t>pathogenic agents</w:t>
      </w:r>
      <w:r w:rsidR="009956FC" w:rsidRPr="00430524">
        <w:rPr>
          <w:rFonts w:ascii="Arial" w:hAnsi="Arial" w:cs="Arial"/>
          <w:sz w:val="18"/>
          <w:szCs w:val="18"/>
          <w:lang w:val="en"/>
        </w:rPr>
        <w:t xml:space="preserve"> </w:t>
      </w:r>
      <w:r w:rsidR="00E5594C" w:rsidRPr="00EC401D">
        <w:rPr>
          <w:rFonts w:ascii="Arial" w:hAnsi="Arial" w:cs="Arial"/>
          <w:sz w:val="18"/>
          <w:szCs w:val="18"/>
          <w:u w:val="double"/>
          <w:lang w:val="en"/>
        </w:rPr>
        <w:t>diseases, infections and infestations</w:t>
      </w:r>
      <w:r w:rsidRPr="00EC401D">
        <w:rPr>
          <w:rFonts w:ascii="Arial" w:hAnsi="Arial" w:cs="Arial"/>
          <w:sz w:val="18"/>
          <w:szCs w:val="18"/>
          <w:lang w:val="en"/>
        </w:rPr>
        <w:t>. The standards include procedures for notification to the OIE</w:t>
      </w:r>
      <w:r w:rsidRPr="00675AAB">
        <w:rPr>
          <w:rFonts w:ascii="Arial" w:hAnsi="Arial" w:cs="Arial"/>
          <w:strike/>
          <w:sz w:val="18"/>
          <w:szCs w:val="18"/>
          <w:highlight w:val="yellow"/>
          <w:lang w:val="en"/>
        </w:rPr>
        <w:t>, tests for international trade,</w:t>
      </w:r>
      <w:r w:rsidRPr="00EC401D">
        <w:rPr>
          <w:rFonts w:ascii="Arial" w:hAnsi="Arial" w:cs="Arial"/>
          <w:sz w:val="18"/>
          <w:szCs w:val="18"/>
          <w:lang w:val="en"/>
        </w:rPr>
        <w:t xml:space="preserve"> and procedures for the </w:t>
      </w:r>
      <w:r w:rsidR="009C6A7D" w:rsidRPr="00675AAB">
        <w:rPr>
          <w:rFonts w:ascii="Arial" w:hAnsi="Arial" w:cs="Arial"/>
          <w:sz w:val="18"/>
          <w:szCs w:val="18"/>
          <w:highlight w:val="yellow"/>
          <w:u w:val="double"/>
          <w:lang w:val="en"/>
        </w:rPr>
        <w:t>recognition</w:t>
      </w:r>
      <w:r w:rsidR="00675AAB">
        <w:rPr>
          <w:rFonts w:ascii="Arial" w:hAnsi="Arial" w:cs="Arial"/>
          <w:sz w:val="18"/>
          <w:szCs w:val="18"/>
          <w:lang w:val="en"/>
        </w:rPr>
        <w:t xml:space="preserve"> </w:t>
      </w:r>
      <w:r w:rsidRPr="00675AAB">
        <w:rPr>
          <w:rFonts w:ascii="Arial" w:hAnsi="Arial" w:cs="Arial"/>
          <w:strike/>
          <w:sz w:val="18"/>
          <w:szCs w:val="18"/>
          <w:highlight w:val="yellow"/>
          <w:lang w:val="en"/>
        </w:rPr>
        <w:t>assessment</w:t>
      </w:r>
      <w:r w:rsidRPr="00EC401D">
        <w:rPr>
          <w:rFonts w:ascii="Arial" w:hAnsi="Arial" w:cs="Arial"/>
          <w:sz w:val="18"/>
          <w:szCs w:val="18"/>
          <w:lang w:val="en"/>
        </w:rPr>
        <w:t xml:space="preserve"> of the </w:t>
      </w:r>
      <w:r w:rsidR="002D0BCD" w:rsidRPr="00675AAB">
        <w:rPr>
          <w:rFonts w:ascii="Arial" w:hAnsi="Arial" w:cs="Arial"/>
          <w:sz w:val="18"/>
          <w:szCs w:val="18"/>
          <w:highlight w:val="yellow"/>
          <w:u w:val="double"/>
          <w:lang w:val="en"/>
        </w:rPr>
        <w:t>animal</w:t>
      </w:r>
      <w:r w:rsidR="002D0BCD">
        <w:rPr>
          <w:rFonts w:ascii="Arial" w:hAnsi="Arial" w:cs="Arial"/>
          <w:sz w:val="18"/>
          <w:szCs w:val="18"/>
          <w:lang w:val="en"/>
        </w:rPr>
        <w:t xml:space="preserve"> </w:t>
      </w:r>
      <w:r w:rsidRPr="00EC401D">
        <w:rPr>
          <w:rFonts w:ascii="Arial" w:hAnsi="Arial" w:cs="Arial"/>
          <w:sz w:val="18"/>
          <w:szCs w:val="18"/>
          <w:lang w:val="en"/>
        </w:rPr>
        <w:t>health status of a country, zone or compartment.</w:t>
      </w:r>
    </w:p>
    <w:p w14:paraId="76A636EB" w14:textId="77777777" w:rsidR="00E5594C" w:rsidRPr="00EC401D" w:rsidRDefault="00E5594C" w:rsidP="00EC401D">
      <w:pPr>
        <w:snapToGrid w:val="0"/>
        <w:spacing w:after="240" w:line="240" w:lineRule="auto"/>
        <w:jc w:val="center"/>
        <w:rPr>
          <w:rFonts w:ascii="Arial" w:hAnsi="Arial" w:cs="Arial"/>
          <w:color w:val="000000"/>
          <w:sz w:val="18"/>
          <w:szCs w:val="18"/>
          <w:lang w:val="en-US"/>
        </w:rPr>
      </w:pPr>
      <w:r w:rsidRPr="00EC401D">
        <w:rPr>
          <w:rFonts w:ascii="Arial" w:hAnsi="Arial" w:cs="Arial"/>
          <w:color w:val="000000"/>
          <w:sz w:val="18"/>
          <w:szCs w:val="18"/>
          <w:lang w:val="en-US"/>
        </w:rPr>
        <w:t>[...]</w:t>
      </w:r>
    </w:p>
    <w:p w14:paraId="6195D3C6" w14:textId="77777777" w:rsidR="00DA6CD2" w:rsidRPr="00EC401D" w:rsidRDefault="00DA6CD2" w:rsidP="00EC401D">
      <w:pPr>
        <w:tabs>
          <w:tab w:val="num" w:pos="720"/>
        </w:tabs>
        <w:spacing w:after="240" w:line="240" w:lineRule="auto"/>
        <w:ind w:left="360"/>
        <w:jc w:val="center"/>
        <w:rPr>
          <w:rFonts w:ascii="Arial" w:hAnsi="Arial" w:cs="Arial"/>
          <w:sz w:val="18"/>
          <w:szCs w:val="18"/>
          <w:lang w:val="en"/>
        </w:rPr>
      </w:pPr>
      <w:r w:rsidRPr="00EC401D">
        <w:rPr>
          <w:rFonts w:ascii="Arial" w:hAnsi="Arial" w:cs="Arial"/>
          <w:sz w:val="18"/>
          <w:szCs w:val="18"/>
          <w:lang w:val="en"/>
        </w:rPr>
        <w:t>C.  Specific issues</w:t>
      </w:r>
    </w:p>
    <w:p w14:paraId="4BEA3D41" w14:textId="77777777" w:rsidR="00E5594C" w:rsidRPr="00EC401D" w:rsidRDefault="00E5594C" w:rsidP="00EC401D">
      <w:pPr>
        <w:snapToGrid w:val="0"/>
        <w:spacing w:after="240" w:line="240" w:lineRule="auto"/>
        <w:jc w:val="center"/>
        <w:rPr>
          <w:rFonts w:ascii="Arial" w:hAnsi="Arial" w:cs="Arial"/>
          <w:color w:val="000000"/>
          <w:sz w:val="18"/>
          <w:szCs w:val="18"/>
          <w:lang w:val="en-US"/>
        </w:rPr>
      </w:pPr>
      <w:r w:rsidRPr="00EC401D">
        <w:rPr>
          <w:rFonts w:ascii="Arial" w:hAnsi="Arial" w:cs="Arial"/>
          <w:color w:val="000000"/>
          <w:sz w:val="18"/>
          <w:szCs w:val="18"/>
          <w:lang w:val="en-US"/>
        </w:rPr>
        <w:t>[...]</w:t>
      </w:r>
    </w:p>
    <w:p w14:paraId="743CB6C9" w14:textId="77777777" w:rsidR="00DA6CD2" w:rsidRPr="00EC401D" w:rsidRDefault="00DA6CD2" w:rsidP="00EC401D">
      <w:pPr>
        <w:spacing w:after="240" w:line="240" w:lineRule="auto"/>
        <w:ind w:left="426" w:hanging="426"/>
        <w:jc w:val="both"/>
        <w:rPr>
          <w:rFonts w:ascii="Arial" w:hAnsi="Arial" w:cs="Arial"/>
          <w:sz w:val="18"/>
          <w:szCs w:val="18"/>
          <w:lang w:val="en"/>
        </w:rPr>
      </w:pPr>
      <w:r w:rsidRPr="00EC401D">
        <w:rPr>
          <w:rFonts w:ascii="Arial" w:hAnsi="Arial" w:cs="Arial"/>
          <w:sz w:val="18"/>
          <w:szCs w:val="18"/>
          <w:lang w:val="en"/>
        </w:rPr>
        <w:t>5.</w:t>
      </w:r>
      <w:r w:rsidRPr="00EC401D">
        <w:rPr>
          <w:rFonts w:ascii="Arial" w:hAnsi="Arial" w:cs="Arial"/>
          <w:sz w:val="18"/>
          <w:szCs w:val="18"/>
          <w:lang w:val="en"/>
        </w:rPr>
        <w:tab/>
      </w:r>
      <w:r w:rsidRPr="00EC401D">
        <w:rPr>
          <w:rFonts w:ascii="Arial" w:hAnsi="Arial" w:cs="Arial"/>
          <w:sz w:val="18"/>
          <w:szCs w:val="18"/>
          <w:u w:val="single"/>
          <w:lang w:val="en"/>
        </w:rPr>
        <w:t>Trade requirements</w:t>
      </w:r>
    </w:p>
    <w:p w14:paraId="583D247F" w14:textId="77777777" w:rsidR="00DA6CD2" w:rsidRPr="00EC401D" w:rsidRDefault="00DA6CD2" w:rsidP="00EC401D">
      <w:pPr>
        <w:spacing w:after="240" w:line="240" w:lineRule="auto"/>
        <w:ind w:left="426"/>
        <w:jc w:val="both"/>
        <w:rPr>
          <w:rFonts w:ascii="Arial" w:hAnsi="Arial" w:cs="Arial"/>
          <w:sz w:val="18"/>
          <w:szCs w:val="18"/>
          <w:lang w:val="en"/>
        </w:rPr>
      </w:pPr>
      <w:r w:rsidRPr="00EC401D">
        <w:rPr>
          <w:rFonts w:ascii="Arial" w:hAnsi="Arial" w:cs="Arial"/>
          <w:sz w:val="18"/>
          <w:szCs w:val="18"/>
          <w:lang w:val="en"/>
        </w:rPr>
        <w:t xml:space="preserve">Animal health measures related to international trade should be based on OIE standards. A Member Country may authorise the importation of animals or animal products into its territory under conditions different from those recommended by the </w:t>
      </w:r>
      <w:r w:rsidRPr="00EC401D">
        <w:rPr>
          <w:rFonts w:ascii="Arial" w:hAnsi="Arial" w:cs="Arial"/>
          <w:i/>
          <w:iCs/>
          <w:sz w:val="18"/>
          <w:szCs w:val="18"/>
          <w:lang w:val="en"/>
        </w:rPr>
        <w:t>Terrestrial Code</w:t>
      </w:r>
      <w:r w:rsidRPr="00EC401D">
        <w:rPr>
          <w:rFonts w:ascii="Arial" w:hAnsi="Arial" w:cs="Arial"/>
          <w:sz w:val="18"/>
          <w:szCs w:val="18"/>
          <w:lang w:val="en"/>
        </w:rPr>
        <w:t>. To scientifically justify more stringent measures, the importing country should conduct a risk analysis in accordance with OIE standards, as described in Chapter 2.1. Members of the WTO should refer to the Agreement on the Application of Sanitary and Phytosanitary Measures (SPS Agreement).</w:t>
      </w:r>
    </w:p>
    <w:p w14:paraId="3CADF022" w14:textId="77777777" w:rsidR="00DA6CD2" w:rsidRPr="00EC401D" w:rsidRDefault="00DA6CD2" w:rsidP="00EC401D">
      <w:pPr>
        <w:spacing w:after="240" w:line="240" w:lineRule="auto"/>
        <w:ind w:left="426"/>
        <w:jc w:val="both"/>
        <w:rPr>
          <w:rFonts w:ascii="Arial" w:hAnsi="Arial" w:cs="Arial"/>
          <w:sz w:val="18"/>
          <w:szCs w:val="18"/>
          <w:lang w:val="en"/>
        </w:rPr>
      </w:pPr>
      <w:r w:rsidRPr="00EC401D">
        <w:rPr>
          <w:rFonts w:ascii="Arial" w:hAnsi="Arial" w:cs="Arial"/>
          <w:sz w:val="18"/>
          <w:szCs w:val="18"/>
          <w:lang w:val="en"/>
        </w:rPr>
        <w:t>Chapters 5.1. to 5.3. describe the obligations and ethical responsibilities of importing and exporting countries in international trade. Veterinary Authorities and all veterinarians directly involved in international trade should be familiar with these chapters. Chapter 5.3. also describes the OIE informal procedure for dispute mediation.</w:t>
      </w:r>
    </w:p>
    <w:p w14:paraId="77E21394" w14:textId="77777777" w:rsidR="00DA6CD2" w:rsidRPr="00EC401D" w:rsidRDefault="00DA6CD2" w:rsidP="00EC401D">
      <w:pPr>
        <w:spacing w:after="240" w:line="240" w:lineRule="auto"/>
        <w:ind w:left="426"/>
        <w:jc w:val="both"/>
        <w:rPr>
          <w:rFonts w:ascii="Arial" w:hAnsi="Arial" w:cs="Arial"/>
          <w:sz w:val="18"/>
          <w:szCs w:val="18"/>
          <w:u w:val="double"/>
          <w:lang w:val="en"/>
        </w:rPr>
      </w:pPr>
      <w:r w:rsidRPr="00EC401D">
        <w:rPr>
          <w:rFonts w:ascii="Arial" w:hAnsi="Arial" w:cs="Arial"/>
          <w:sz w:val="18"/>
          <w:szCs w:val="18"/>
          <w:lang w:val="en"/>
        </w:rPr>
        <w:t>The OIE aims to include an article listing the commodities that are considered safe for trade without the need for risk mitigation measures specifically directed against a particular listed disease, infection or infestation, regardless of the status of the country or zone of origin for the agent in question, at the beginning of each listed disease-specific chapter in Sections 8 to 15. This is work in progress and some chapters do not yet contain articles listing safe commodities. When a list of safe commodities is present in a chapter, importing countries should not apply trade restrictions to such commodities with respect to the agent in question.</w:t>
      </w:r>
      <w:r w:rsidR="00E5594C" w:rsidRPr="00EC401D">
        <w:rPr>
          <w:rFonts w:ascii="Arial" w:hAnsi="Arial" w:cs="Arial"/>
          <w:sz w:val="18"/>
          <w:szCs w:val="18"/>
          <w:lang w:val="en"/>
        </w:rPr>
        <w:t xml:space="preserve"> </w:t>
      </w:r>
      <w:r w:rsidR="00E5594C" w:rsidRPr="00EC401D">
        <w:rPr>
          <w:rFonts w:ascii="Arial" w:hAnsi="Arial" w:cs="Arial"/>
          <w:sz w:val="18"/>
          <w:szCs w:val="18"/>
          <w:u w:val="double"/>
          <w:lang w:val="en"/>
        </w:rPr>
        <w:t>Chapter 2.2. describes the criteria used to assess the safety of commodities.</w:t>
      </w:r>
    </w:p>
    <w:p w14:paraId="3715FCB1" w14:textId="77777777" w:rsidR="00E5594C" w:rsidRPr="00E5594C" w:rsidRDefault="00E5594C" w:rsidP="00E5594C">
      <w:pPr>
        <w:snapToGrid w:val="0"/>
        <w:spacing w:after="360"/>
        <w:jc w:val="center"/>
        <w:rPr>
          <w:rFonts w:ascii="Ottawa" w:hAnsi="Ottawa" w:cs="Arial"/>
          <w:color w:val="000000"/>
          <w:sz w:val="18"/>
          <w:szCs w:val="18"/>
          <w:lang w:val="en-US"/>
        </w:rPr>
      </w:pPr>
      <w:r w:rsidRPr="00E5594C">
        <w:rPr>
          <w:rFonts w:ascii="Ottawa" w:hAnsi="Ottawa" w:cs="Arial"/>
          <w:color w:val="000000"/>
          <w:sz w:val="18"/>
          <w:szCs w:val="18"/>
          <w:lang w:val="en-US"/>
        </w:rPr>
        <w:t>[...]</w:t>
      </w:r>
    </w:p>
    <w:p w14:paraId="618BE9BE" w14:textId="77777777" w:rsidR="009D4A8C" w:rsidRPr="00DA6CD2" w:rsidRDefault="009D4A8C" w:rsidP="00DA6CD2">
      <w:pPr>
        <w:spacing w:after="240" w:line="240" w:lineRule="auto"/>
        <w:jc w:val="both"/>
        <w:rPr>
          <w:rFonts w:ascii="Arial" w:hAnsi="Arial" w:cs="Arial"/>
          <w:sz w:val="18"/>
          <w:szCs w:val="18"/>
          <w:lang w:val="en"/>
        </w:rPr>
      </w:pPr>
    </w:p>
    <w:sectPr w:rsidR="009D4A8C" w:rsidRPr="00DA6CD2" w:rsidSect="00E15A92">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932B0" w14:textId="77777777" w:rsidR="00F432C4" w:rsidRDefault="00F432C4" w:rsidP="00F432C4">
      <w:pPr>
        <w:spacing w:after="0" w:line="240" w:lineRule="auto"/>
      </w:pPr>
      <w:r>
        <w:separator/>
      </w:r>
    </w:p>
  </w:endnote>
  <w:endnote w:type="continuationSeparator" w:id="0">
    <w:p w14:paraId="427C3DBD" w14:textId="77777777" w:rsidR="00F432C4" w:rsidRDefault="00F432C4" w:rsidP="00F43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Ottawa">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B597" w14:textId="77777777" w:rsidR="007F1D4B" w:rsidRDefault="007F1D4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6E5A" w14:textId="76C9ADDB" w:rsidR="00EC401D" w:rsidRPr="00EC401D" w:rsidRDefault="00EC401D" w:rsidP="00EC401D">
    <w:pPr>
      <w:tabs>
        <w:tab w:val="center" w:pos="4536"/>
        <w:tab w:val="right" w:pos="9072"/>
      </w:tabs>
      <w:spacing w:after="0"/>
      <w:rPr>
        <w:rFonts w:ascii="Arial" w:hAnsi="Arial" w:cs="Arial"/>
        <w:sz w:val="18"/>
        <w:szCs w:val="18"/>
        <w:lang w:val="en-US"/>
      </w:rPr>
    </w:pPr>
    <w:r w:rsidRPr="00EC401D">
      <w:rPr>
        <w:rFonts w:ascii="Arial" w:hAnsi="Arial" w:cs="Arial"/>
        <w:i/>
        <w:sz w:val="18"/>
        <w:lang w:val="en-US"/>
      </w:rPr>
      <w:t>OIE Terrestrial Animal Health Standards Commission/</w:t>
    </w:r>
    <w:r w:rsidR="001F7090">
      <w:rPr>
        <w:rFonts w:ascii="Arial" w:hAnsi="Arial" w:cs="Arial"/>
        <w:i/>
        <w:sz w:val="18"/>
        <w:lang w:val="en-US"/>
      </w:rPr>
      <w:t>February</w:t>
    </w:r>
    <w:r w:rsidRPr="00EC401D">
      <w:rPr>
        <w:rFonts w:ascii="Arial" w:hAnsi="Arial" w:cs="Arial"/>
        <w:i/>
        <w:sz w:val="18"/>
        <w:lang w:val="en-US"/>
      </w:rPr>
      <w:t xml:space="preserve"> 20</w:t>
    </w:r>
    <w:r w:rsidR="001F7090">
      <w:rPr>
        <w:rFonts w:ascii="Arial" w:hAnsi="Arial" w:cs="Arial"/>
        <w:i/>
        <w:sz w:val="18"/>
        <w:lang w:val="en-US"/>
      </w:rPr>
      <w:t>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9D4" w14:textId="77777777" w:rsidR="007F1D4B" w:rsidRDefault="007F1D4B">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64CA3" w14:textId="77777777" w:rsidR="00F432C4" w:rsidRDefault="00F432C4" w:rsidP="00F432C4">
      <w:pPr>
        <w:spacing w:after="0" w:line="240" w:lineRule="auto"/>
      </w:pPr>
      <w:r>
        <w:separator/>
      </w:r>
    </w:p>
  </w:footnote>
  <w:footnote w:type="continuationSeparator" w:id="0">
    <w:p w14:paraId="31F7A848" w14:textId="77777777" w:rsidR="00F432C4" w:rsidRDefault="00F432C4" w:rsidP="00F432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E70ED" w14:textId="100354B8" w:rsidR="007F1D4B" w:rsidRDefault="00BF5517">
    <w:pPr>
      <w:pStyle w:val="En-tte"/>
    </w:pPr>
    <w:r>
      <w:rPr>
        <w:noProof/>
      </w:rPr>
      <w:pict w14:anchorId="485F6D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88360" o:spid="_x0000_s36866"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8918" w14:textId="4768D6F6" w:rsidR="00183E59" w:rsidRPr="00183E59" w:rsidRDefault="00BF5517" w:rsidP="008F183E">
    <w:pPr>
      <w:tabs>
        <w:tab w:val="center" w:pos="4536"/>
        <w:tab w:val="left" w:pos="7575"/>
        <w:tab w:val="right" w:pos="9070"/>
      </w:tabs>
      <w:spacing w:after="480"/>
      <w:rPr>
        <w:rFonts w:ascii="Arial" w:hAnsi="Arial" w:cs="Arial"/>
      </w:rPr>
    </w:pPr>
    <w:r>
      <w:rPr>
        <w:noProof/>
      </w:rPr>
      <w:pict w14:anchorId="4425A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88361" o:spid="_x0000_s36867"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8F183E">
      <w:rPr>
        <w:rFonts w:ascii="Arial" w:eastAsia="MS Mincho" w:hAnsi="Arial" w:cs="Arial"/>
        <w:sz w:val="18"/>
        <w:szCs w:val="18"/>
        <w:lang w:eastAsia="ja-JP"/>
      </w:rPr>
      <w:tab/>
    </w:r>
    <w:r w:rsidR="008F183E">
      <w:rPr>
        <w:rFonts w:ascii="Arial" w:eastAsia="MS Mincho" w:hAnsi="Arial" w:cs="Arial"/>
        <w:sz w:val="18"/>
        <w:szCs w:val="18"/>
        <w:lang w:eastAsia="ja-JP"/>
      </w:rPr>
      <w:tab/>
    </w:r>
    <w:r w:rsidR="008F183E">
      <w:rPr>
        <w:rFonts w:ascii="Arial" w:eastAsia="MS Mincho" w:hAnsi="Arial" w:cs="Arial"/>
        <w:sz w:val="18"/>
        <w:szCs w:val="18"/>
        <w:lang w:eastAsia="ja-JP"/>
      </w:rPr>
      <w:tab/>
    </w:r>
    <w:r w:rsidR="00EC401D">
      <w:rPr>
        <w:rFonts w:ascii="Arial" w:eastAsia="MS Mincho" w:hAnsi="Arial" w:cs="Arial"/>
        <w:sz w:val="18"/>
        <w:szCs w:val="18"/>
        <w:lang w:eastAsia="ja-JP"/>
      </w:rPr>
      <w:fldChar w:fldCharType="begin"/>
    </w:r>
    <w:r w:rsidR="00EC401D">
      <w:rPr>
        <w:rFonts w:ascii="Arial" w:eastAsia="MS Mincho" w:hAnsi="Arial" w:cs="Arial"/>
        <w:sz w:val="18"/>
        <w:szCs w:val="18"/>
        <w:lang w:eastAsia="ja-JP"/>
      </w:rPr>
      <w:instrText>PAGE   \* MERGEFORMAT</w:instrText>
    </w:r>
    <w:r w:rsidR="00EC401D">
      <w:rPr>
        <w:rFonts w:ascii="Arial" w:eastAsia="MS Mincho" w:hAnsi="Arial" w:cs="Arial"/>
        <w:sz w:val="18"/>
        <w:szCs w:val="18"/>
        <w:lang w:eastAsia="ja-JP"/>
      </w:rPr>
      <w:fldChar w:fldCharType="separate"/>
    </w:r>
    <w:r w:rsidRPr="00BF5517">
      <w:rPr>
        <w:rFonts w:ascii="Arial" w:hAnsi="Arial" w:cs="Arial"/>
        <w:noProof/>
        <w:sz w:val="18"/>
        <w:szCs w:val="18"/>
      </w:rPr>
      <w:t>1</w:t>
    </w:r>
    <w:r w:rsidR="00EC401D">
      <w:rPr>
        <w:rFonts w:ascii="Arial" w:eastAsia="MS Mincho" w:hAnsi="Arial" w:cs="Arial"/>
        <w:sz w:val="18"/>
        <w:szCs w:val="18"/>
        <w:lang w:eastAsia="ja-JP"/>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4086D" w14:textId="6EA5F3FE" w:rsidR="007F1D4B" w:rsidRDefault="00BF5517">
    <w:pPr>
      <w:pStyle w:val="En-tte"/>
    </w:pPr>
    <w:r>
      <w:rPr>
        <w:noProof/>
      </w:rPr>
      <w:pict w14:anchorId="25274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88359" o:spid="_x0000_s36865"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F9C"/>
    <w:multiLevelType w:val="multilevel"/>
    <w:tmpl w:val="8E4C68C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 w:numId="2">
    <w:abstractNumId w:val="0"/>
    <w:lvlOverride w:ilvl="1">
      <w:startOverride w:val="1"/>
    </w:lvlOverride>
  </w:num>
  <w:num w:numId="3">
    <w:abstractNumId w:val="0"/>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36868"/>
    <o:shapelayout v:ext="edit">
      <o:idmap v:ext="edit" data="3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CD2"/>
    <w:rsid w:val="00044B82"/>
    <w:rsid w:val="00052CCA"/>
    <w:rsid w:val="00183E59"/>
    <w:rsid w:val="001B232F"/>
    <w:rsid w:val="001F7090"/>
    <w:rsid w:val="002D0BCD"/>
    <w:rsid w:val="003A17D6"/>
    <w:rsid w:val="003E507C"/>
    <w:rsid w:val="00430524"/>
    <w:rsid w:val="00675AAB"/>
    <w:rsid w:val="006974C9"/>
    <w:rsid w:val="007F1D4B"/>
    <w:rsid w:val="00831489"/>
    <w:rsid w:val="00863CC0"/>
    <w:rsid w:val="008D4B16"/>
    <w:rsid w:val="008F183E"/>
    <w:rsid w:val="009937D1"/>
    <w:rsid w:val="009956FC"/>
    <w:rsid w:val="009C6A7D"/>
    <w:rsid w:val="009D4A8C"/>
    <w:rsid w:val="00B14523"/>
    <w:rsid w:val="00BF5517"/>
    <w:rsid w:val="00C12165"/>
    <w:rsid w:val="00C36247"/>
    <w:rsid w:val="00DA6CD2"/>
    <w:rsid w:val="00DF593B"/>
    <w:rsid w:val="00E15A92"/>
    <w:rsid w:val="00E5594C"/>
    <w:rsid w:val="00EC401D"/>
    <w:rsid w:val="00F432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6868"/>
    <o:shapelayout v:ext="edit">
      <o:idmap v:ext="edit" data="1"/>
    </o:shapelayout>
  </w:shapeDefaults>
  <w:decimalSymbol w:val=","/>
  <w:listSeparator w:val=";"/>
  <w14:docId w14:val="289315CA"/>
  <w15:docId w15:val="{E5DABD83-6228-424F-A290-5B1A3423C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432C4"/>
    <w:pPr>
      <w:tabs>
        <w:tab w:val="center" w:pos="4536"/>
        <w:tab w:val="right" w:pos="9072"/>
      </w:tabs>
      <w:spacing w:after="0" w:line="240" w:lineRule="auto"/>
    </w:pPr>
  </w:style>
  <w:style w:type="character" w:customStyle="1" w:styleId="En-tteCar">
    <w:name w:val="En-tête Car"/>
    <w:basedOn w:val="Policepardfaut"/>
    <w:link w:val="En-tte"/>
    <w:uiPriority w:val="99"/>
    <w:rsid w:val="00F432C4"/>
  </w:style>
  <w:style w:type="paragraph" w:styleId="Pieddepage">
    <w:name w:val="footer"/>
    <w:basedOn w:val="Normal"/>
    <w:link w:val="PieddepageCar"/>
    <w:uiPriority w:val="99"/>
    <w:unhideWhenUsed/>
    <w:rsid w:val="00F432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3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22167">
      <w:bodyDiv w:val="1"/>
      <w:marLeft w:val="0"/>
      <w:marRight w:val="0"/>
      <w:marTop w:val="0"/>
      <w:marBottom w:val="0"/>
      <w:divBdr>
        <w:top w:val="none" w:sz="0" w:space="0" w:color="auto"/>
        <w:left w:val="none" w:sz="0" w:space="0" w:color="auto"/>
        <w:bottom w:val="none" w:sz="0" w:space="0" w:color="auto"/>
        <w:right w:val="none" w:sz="0" w:space="0" w:color="auto"/>
      </w:divBdr>
    </w:div>
    <w:div w:id="153692004">
      <w:bodyDiv w:val="1"/>
      <w:marLeft w:val="0"/>
      <w:marRight w:val="0"/>
      <w:marTop w:val="0"/>
      <w:marBottom w:val="0"/>
      <w:divBdr>
        <w:top w:val="none" w:sz="0" w:space="0" w:color="auto"/>
        <w:left w:val="none" w:sz="0" w:space="0" w:color="auto"/>
        <w:bottom w:val="none" w:sz="0" w:space="0" w:color="auto"/>
        <w:right w:val="none" w:sz="0" w:space="0" w:color="auto"/>
      </w:divBdr>
    </w:div>
    <w:div w:id="209462732">
      <w:bodyDiv w:val="1"/>
      <w:marLeft w:val="0"/>
      <w:marRight w:val="0"/>
      <w:marTop w:val="0"/>
      <w:marBottom w:val="0"/>
      <w:divBdr>
        <w:top w:val="none" w:sz="0" w:space="0" w:color="auto"/>
        <w:left w:val="none" w:sz="0" w:space="0" w:color="auto"/>
        <w:bottom w:val="none" w:sz="0" w:space="0" w:color="auto"/>
        <w:right w:val="none" w:sz="0" w:space="0" w:color="auto"/>
      </w:divBdr>
      <w:divsChild>
        <w:div w:id="1351031416">
          <w:marLeft w:val="0"/>
          <w:marRight w:val="0"/>
          <w:marTop w:val="0"/>
          <w:marBottom w:val="0"/>
          <w:divBdr>
            <w:top w:val="none" w:sz="0" w:space="0" w:color="auto"/>
            <w:left w:val="none" w:sz="0" w:space="0" w:color="auto"/>
            <w:bottom w:val="none" w:sz="0" w:space="0" w:color="auto"/>
            <w:right w:val="none" w:sz="0" w:space="0" w:color="auto"/>
          </w:divBdr>
          <w:divsChild>
            <w:div w:id="119232603">
              <w:marLeft w:val="0"/>
              <w:marRight w:val="0"/>
              <w:marTop w:val="0"/>
              <w:marBottom w:val="0"/>
              <w:divBdr>
                <w:top w:val="none" w:sz="0" w:space="0" w:color="auto"/>
                <w:left w:val="none" w:sz="0" w:space="0" w:color="auto"/>
                <w:bottom w:val="none" w:sz="0" w:space="0" w:color="auto"/>
                <w:right w:val="none" w:sz="0" w:space="0" w:color="auto"/>
              </w:divBdr>
              <w:divsChild>
                <w:div w:id="1915236822">
                  <w:marLeft w:val="0"/>
                  <w:marRight w:val="0"/>
                  <w:marTop w:val="0"/>
                  <w:marBottom w:val="0"/>
                  <w:divBdr>
                    <w:top w:val="none" w:sz="0" w:space="0" w:color="auto"/>
                    <w:left w:val="none" w:sz="0" w:space="0" w:color="auto"/>
                    <w:bottom w:val="none" w:sz="0" w:space="0" w:color="auto"/>
                    <w:right w:val="none" w:sz="0" w:space="0" w:color="auto"/>
                  </w:divBdr>
                  <w:divsChild>
                    <w:div w:id="27086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1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331</Words>
  <Characters>1825</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9</cp:revision>
  <dcterms:created xsi:type="dcterms:W3CDTF">2020-02-11T16:09:00Z</dcterms:created>
  <dcterms:modified xsi:type="dcterms:W3CDTF">2020-03-25T15:36:00Z</dcterms:modified>
</cp:coreProperties>
</file>