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2019年度国家奖提名公示内容</w:t>
      </w:r>
    </w:p>
    <w:p>
      <w:pPr>
        <w:pStyle w:val="3"/>
        <w:numPr>
          <w:ilvl w:val="0"/>
          <w:numId w:val="1"/>
        </w:numPr>
        <w:spacing w:before="156"/>
      </w:pPr>
      <w:r>
        <w:rPr>
          <w:rFonts w:hint="eastAsia"/>
        </w:rPr>
        <w:t>项目名称</w:t>
      </w:r>
    </w:p>
    <w:p>
      <w:pPr>
        <w:ind w:firstLine="640"/>
        <w:rPr>
          <w:szCs w:val="32"/>
        </w:rPr>
      </w:pPr>
      <w:r>
        <w:rPr>
          <w:rFonts w:hint="eastAsia"/>
        </w:rPr>
        <w:t>绿豆优异种质创制与新品种选育技术及应用</w:t>
      </w:r>
    </w:p>
    <w:p>
      <w:pPr>
        <w:pStyle w:val="3"/>
        <w:spacing w:before="156"/>
      </w:pPr>
      <w:r>
        <w:rPr>
          <w:rFonts w:hint="eastAsia"/>
        </w:rPr>
        <w:t>二、提名者及提名意见</w:t>
      </w:r>
    </w:p>
    <w:p>
      <w:pPr>
        <w:ind w:firstLine="640"/>
      </w:pPr>
      <w:r>
        <w:rPr>
          <w:rFonts w:hint="eastAsia"/>
          <w:b/>
          <w:bCs/>
        </w:rPr>
        <w:t>提名者：</w:t>
      </w:r>
      <w:r>
        <w:rPr>
          <w:rFonts w:hint="eastAsia"/>
        </w:rPr>
        <w:t>农业农村部</w:t>
      </w:r>
    </w:p>
    <w:p>
      <w:pPr>
        <w:ind w:firstLine="640"/>
        <w:rPr>
          <w:rFonts w:hint="eastAsia"/>
          <w:b/>
          <w:bCs/>
        </w:rPr>
      </w:pPr>
      <w:r>
        <w:rPr>
          <w:rFonts w:hint="eastAsia"/>
          <w:b/>
          <w:bCs/>
        </w:rPr>
        <w:t>提名意见：</w:t>
      </w:r>
    </w:p>
    <w:p>
      <w:pPr>
        <w:ind w:firstLine="640"/>
      </w:pPr>
      <w:bookmarkStart w:id="2" w:name="_GoBack"/>
      <w:bookmarkEnd w:id="2"/>
      <w:r>
        <w:rPr>
          <w:rFonts w:hint="eastAsia"/>
        </w:rPr>
        <w:t>该项目</w:t>
      </w:r>
      <w:r>
        <w:t>针对绿豆</w:t>
      </w:r>
      <w:r>
        <w:rPr>
          <w:rFonts w:hint="eastAsia"/>
        </w:rPr>
        <w:t>产量低、抗病虫能力差、机械化程度低</w:t>
      </w:r>
      <w:r>
        <w:t>等问题，广泛搜集国内外</w:t>
      </w:r>
      <w:r>
        <w:rPr>
          <w:rFonts w:hint="eastAsia"/>
        </w:rPr>
        <w:t>种质</w:t>
      </w:r>
      <w:r>
        <w:t>资源</w:t>
      </w:r>
      <w:r>
        <w:rPr>
          <w:rFonts w:hint="eastAsia"/>
        </w:rPr>
        <w:t>，</w:t>
      </w:r>
      <w:r>
        <w:t>创建</w:t>
      </w:r>
      <w:r>
        <w:rPr>
          <w:rFonts w:hint="eastAsia"/>
        </w:rPr>
        <w:t>了</w:t>
      </w:r>
      <w:r>
        <w:t>抗豆象、叶斑病</w:t>
      </w:r>
      <w:r>
        <w:rPr>
          <w:rFonts w:hint="eastAsia"/>
        </w:rPr>
        <w:t>和</w:t>
      </w:r>
      <w:r>
        <w:t>抗枯萎病等重要性状鉴定技术，挖掘出我国缺乏的</w:t>
      </w:r>
      <w:r>
        <w:rPr>
          <w:rFonts w:hint="eastAsia"/>
        </w:rPr>
        <w:t>TC1966等</w:t>
      </w:r>
      <w:r>
        <w:t>抗豆象、</w:t>
      </w:r>
      <w:r>
        <w:rPr>
          <w:rFonts w:hint="eastAsia"/>
        </w:rPr>
        <w:t>VC1973A等</w:t>
      </w:r>
      <w:r>
        <w:t>抗叶斑病</w:t>
      </w:r>
      <w:r>
        <w:rPr>
          <w:rFonts w:hint="eastAsia"/>
        </w:rPr>
        <w:t>等</w:t>
      </w:r>
      <w:r>
        <w:t>优异种质</w:t>
      </w:r>
      <w:r>
        <w:rPr>
          <w:rFonts w:hint="eastAsia"/>
        </w:rPr>
        <w:t>。建立了绿豆种间远缘杂交、物理诱变、化学诱变等种质创新和育种技术体系，创制出育种和生产急需的新种质。绘制出绿豆高密度遗传图谱，精细</w:t>
      </w:r>
      <w:r>
        <w:t>定位和克隆了绿豆抗豆象、抗叶斑病基因，建立</w:t>
      </w:r>
      <w:r>
        <w:rPr>
          <w:rFonts w:hint="eastAsia"/>
        </w:rPr>
        <w:t>多性状聚合</w:t>
      </w:r>
      <w:r>
        <w:t>与分子标记</w:t>
      </w:r>
      <w:r>
        <w:rPr>
          <w:rFonts w:hint="eastAsia"/>
        </w:rPr>
        <w:t>辅助</w:t>
      </w:r>
      <w:r>
        <w:t>选择相结合的抗性育种技术</w:t>
      </w:r>
      <w:r>
        <w:rPr>
          <w:rFonts w:hint="eastAsia"/>
        </w:rPr>
        <w:t>。</w:t>
      </w:r>
      <w:r>
        <w:t>培育出</w:t>
      </w:r>
      <w:r>
        <w:rPr>
          <w:rFonts w:hint="eastAsia"/>
        </w:rPr>
        <w:t>世界首例</w:t>
      </w:r>
      <w:r>
        <w:t>高抗豆象</w:t>
      </w:r>
      <w:r>
        <w:rPr>
          <w:rFonts w:hint="eastAsia"/>
        </w:rPr>
        <w:t>兼抗</w:t>
      </w:r>
      <w:r>
        <w:t>叶斑病</w:t>
      </w:r>
      <w:r>
        <w:rPr>
          <w:rFonts w:hint="eastAsia"/>
        </w:rPr>
        <w:t>、枯萎病和晕疫病品种</w:t>
      </w:r>
      <w:r>
        <w:t>中绿4号</w:t>
      </w:r>
      <w:r>
        <w:rPr>
          <w:rFonts w:hint="eastAsia"/>
        </w:rPr>
        <w:t>，</w:t>
      </w:r>
      <w:r>
        <w:t>抗叶斑病</w:t>
      </w:r>
      <w:r>
        <w:rPr>
          <w:rFonts w:hint="eastAsia"/>
        </w:rPr>
        <w:t>适宜机械化生产的</w:t>
      </w:r>
      <w:r>
        <w:t>耐旱广适</w:t>
      </w:r>
      <w:r>
        <w:rPr>
          <w:rFonts w:hint="eastAsia"/>
        </w:rPr>
        <w:t>性品种</w:t>
      </w:r>
      <w:r>
        <w:t>中绿5号</w:t>
      </w:r>
      <w:r>
        <w:rPr>
          <w:rFonts w:hint="eastAsia"/>
        </w:rPr>
        <w:t>等，提高了产量和抗病虫能力，降低了生产和劳动成本，</w:t>
      </w:r>
      <w:r>
        <w:t>解决了</w:t>
      </w:r>
      <w:r>
        <w:rPr>
          <w:rFonts w:hint="eastAsia"/>
        </w:rPr>
        <w:t>因田间打药和仓储熏蒸造成的产品和环境污染问题，实现了田间抗病与仓储抗虫和机械化生产的有机结合及有传统的人工采摘到机械化收获的变革。</w:t>
      </w:r>
      <w:r>
        <w:t>新品种自2005年开始大面积示范推广，</w:t>
      </w:r>
      <w:r>
        <w:rPr>
          <w:rFonts w:hint="eastAsia"/>
        </w:rPr>
        <w:t>其中中绿3号、</w:t>
      </w:r>
      <w:r>
        <w:t>中绿4号、中绿5号</w:t>
      </w:r>
      <w:r>
        <w:rPr>
          <w:rFonts w:hint="eastAsia"/>
        </w:rPr>
        <w:t>等</w:t>
      </w:r>
      <w:r>
        <w:t>，近3年</w:t>
      </w:r>
      <w:r>
        <w:rPr>
          <w:rFonts w:hint="eastAsia"/>
        </w:rPr>
        <w:t>累计</w:t>
      </w:r>
      <w:r>
        <w:t>种植2845.5万亩，增产4.275亿公斤，增收43.025亿元，</w:t>
      </w:r>
      <w:r>
        <w:rPr>
          <w:rFonts w:hint="eastAsia"/>
        </w:rPr>
        <w:t>品种覆盖率达63.23%，</w:t>
      </w:r>
      <w:r>
        <w:t>实现了绿豆品种更新换代</w:t>
      </w:r>
      <w:r>
        <w:rPr>
          <w:rFonts w:hint="eastAsia"/>
        </w:rPr>
        <w:t>，</w:t>
      </w:r>
      <w:r>
        <w:t>其它单位利用本项目提供的优异种质</w:t>
      </w:r>
      <w:r>
        <w:rPr>
          <w:rFonts w:hint="eastAsia"/>
        </w:rPr>
        <w:t>和育种方法培育</w:t>
      </w:r>
      <w:r>
        <w:t>并在生产上大面积应用的新品种26个。本项目获国家发明专利6项、研制标准2项，发表论文78篇，出版著作16部。获</w:t>
      </w:r>
      <w:r>
        <w:rPr>
          <w:rFonts w:hint="eastAsia"/>
        </w:rPr>
        <w:t>中华农业科技一等奖</w:t>
      </w:r>
      <w:r>
        <w:t>1项。</w:t>
      </w:r>
      <w:r>
        <w:rPr>
          <w:rFonts w:hint="eastAsia"/>
        </w:rPr>
        <w:t>该项目发明点突出，社会和经济效益显著。</w:t>
      </w:r>
    </w:p>
    <w:p>
      <w:pPr>
        <w:ind w:firstLine="640"/>
        <w:rPr>
          <w:rFonts w:ascii="仿宋" w:hAnsi="仿宋" w:cs="仿宋_GB2312"/>
          <w:szCs w:val="32"/>
        </w:rPr>
      </w:pPr>
      <w:r>
        <w:rPr>
          <w:rFonts w:hint="eastAsia"/>
        </w:rPr>
        <w:t>提名该项目为国家技术发明奖二等奖。</w:t>
      </w:r>
    </w:p>
    <w:p>
      <w:pPr>
        <w:pStyle w:val="3"/>
        <w:spacing w:before="156"/>
      </w:pPr>
      <w:r>
        <w:rPr>
          <w:rFonts w:hint="eastAsia"/>
        </w:rPr>
        <w:t>三、项目简介</w:t>
      </w:r>
    </w:p>
    <w:p>
      <w:pPr>
        <w:ind w:firstLine="640"/>
      </w:pPr>
      <w:bookmarkStart w:id="0" w:name="OLE_LINK2"/>
      <w:bookmarkStart w:id="1" w:name="OLE_LINK1"/>
      <w:r>
        <w:rPr>
          <w:rFonts w:hint="eastAsia"/>
        </w:rPr>
        <w:t>绿豆是我国主要的杂粮作物，总产和出口量居世界首位。通过品种改良增强绿豆抗病虫能力、提高单产，降低生产成本对农民增收具有重要意义。本项目针对绿豆遗传基础狭窄、育种技术落后等问题，围绕绿豆主产区品种抗病虫性差、耐逆性不强、匍匐蔓生等技术难题，系统开展绿豆种质资源重要性状鉴定评价技术研究，深入挖掘优异基因资源，改进种质创制及育种方法，培育抗豆象、抗病、耐逆、适宜机械化生产的高产、广适性新品种，取得了重要突破。主要技术发明如下。</w:t>
      </w:r>
    </w:p>
    <w:p>
      <w:pPr>
        <w:ind w:firstLine="640"/>
        <w:rPr>
          <w:b/>
          <w:bCs/>
        </w:rPr>
      </w:pPr>
      <w:r>
        <w:rPr>
          <w:rFonts w:hint="eastAsia"/>
          <w:b/>
          <w:bCs/>
        </w:rPr>
        <w:t>1、首次创建抗豆象、抗病等重要性状鉴定技术，挖掘出目标性状突出的优异种质</w:t>
      </w:r>
    </w:p>
    <w:p>
      <w:pPr>
        <w:ind w:firstLine="640"/>
      </w:pPr>
      <w:r>
        <w:rPr>
          <w:rFonts w:hint="eastAsia"/>
        </w:rPr>
        <w:t>建立绿豆抗豆象、抗叶斑病和枯萎病等重要特征特性规模化鉴定技术与评价标准109项。鉴定出高抗豆象新种质4份；抗病新种质3份（高抗叶斑病、高抗枯萎病）；耐逆新种质3份（抗旱、耐盐）；早熟、直立新种质4份，早熟、抗倒优异种质3份，高产、广适性新种质3份，解决了抗病虫、耐逆、机械化专用等育种材料匮乏问题，为新品种选育提供材料基础。</w:t>
      </w:r>
    </w:p>
    <w:p>
      <w:pPr>
        <w:ind w:firstLine="640"/>
        <w:rPr>
          <w:b/>
          <w:bCs/>
        </w:rPr>
      </w:pPr>
      <w:r>
        <w:rPr>
          <w:rFonts w:hint="eastAsia"/>
          <w:b/>
          <w:bCs/>
        </w:rPr>
        <w:t>2、首次创建绿豆种间远缘杂交、物理诱变、化学诱变等种质创新技术体系，拓宽了创造变异的途径和方法，创制出一批育种和生产急需的优异新种质</w:t>
      </w:r>
    </w:p>
    <w:p>
      <w:pPr>
        <w:ind w:firstLine="640"/>
      </w:pPr>
      <w:r>
        <w:rPr>
          <w:rFonts w:hint="eastAsia"/>
        </w:rPr>
        <w:t>利用</w:t>
      </w:r>
      <w:r>
        <w:rPr>
          <w:rFonts w:hint="eastAsia"/>
          <w:vertAlign w:val="superscript"/>
        </w:rPr>
        <w:t>60</w:t>
      </w:r>
      <w:r>
        <w:rPr>
          <w:rFonts w:hint="eastAsia"/>
        </w:rPr>
        <w:t>Co-γ辐射获得抗病、耐逆新种质3份，EMS诱变获得早熟、多荚、大粒新种质3份。创建了绿豆种间远缘杂交育种技术体系，发明了基于SSR标记的杂交后代分子鉴定技术。通过种间杂交将野生绿豆抗豆象优良性状导入栽培种，创制出一批抗豆象、抗病、耐逆、广适性新种质。解决了我国绿豆抗病虫、抗逆境等基因资源匮乏问题，为新品种选育奠定了基础。</w:t>
      </w:r>
    </w:p>
    <w:p>
      <w:pPr>
        <w:ind w:firstLine="640"/>
        <w:rPr>
          <w:b/>
          <w:bCs/>
        </w:rPr>
      </w:pPr>
      <w:r>
        <w:rPr>
          <w:rFonts w:hint="eastAsia"/>
          <w:b/>
          <w:bCs/>
        </w:rPr>
        <w:t>3、大规模开发绿豆分子标记，挖掘抗豆象、抗旱、耐盐等基因，建立分子标记育种技术体系</w:t>
      </w:r>
    </w:p>
    <w:p>
      <w:pPr>
        <w:ind w:firstLine="640"/>
      </w:pPr>
      <w:r>
        <w:rPr>
          <w:rFonts w:hint="eastAsia"/>
        </w:rPr>
        <w:t>基于高通量测序技术大规模开发了绿豆分子标记，构建了国内外首张标记数目最多、密度最大的绿豆SNP遗传连锁图谱。明确了4份抗原抗豆象特性均受单个显性核基因控制，精细定位了抗豆象基因，经测序发现一个编码多聚半乳糖醛酸酶（PGIP）的基因，开发了功能标记并用于辅助选择育种，选择效率高达99.4%。发现了抗叶斑病受单个隐性核基因控制，精细定位了抗叶斑病基因。开发了与抗豆象、抗叶斑病基因紧密连锁的标记。构建了绿豆对不同非生物胁迫的表达谱数据库，基于比较转录组学发掘绿豆抗旱、耐盐基因，建立了以高通量技术为基础的高效基因资源发掘技术体系。利用RNA-seq技术构建逆境胁迫响应的转录调控网络，并分析了干旱、盐等非生物逆境胁迫的差异表达基因及共同调控基因，鉴定出</w:t>
      </w:r>
      <w:r>
        <w:rPr>
          <w:rFonts w:hint="eastAsia"/>
          <w:i/>
          <w:iCs/>
        </w:rPr>
        <w:t>VrDREB2A、bHLH、WRKY54</w:t>
      </w:r>
      <w:r>
        <w:rPr>
          <w:rFonts w:hint="eastAsia"/>
        </w:rPr>
        <w:t>等3个与抗旱、耐盐相关新基因，并研究应对干旱、高盐、ABA等非生物逆境胁迫的分子机理。为分子标记辅助选择育种提供了理论依据和技术支撑。</w:t>
      </w:r>
    </w:p>
    <w:p>
      <w:pPr>
        <w:ind w:firstLine="640"/>
        <w:rPr>
          <w:b/>
          <w:bCs/>
        </w:rPr>
      </w:pPr>
      <w:r>
        <w:rPr>
          <w:rFonts w:hint="eastAsia"/>
          <w:b/>
          <w:bCs/>
        </w:rPr>
        <w:t>4、通过复合杂交与分子标记相结合的聚合育种技术，聚合多个优异基因，培育出生产上急需的突破性绿豆新品种4个，显著提升了我国绿豆品种的综合抗性、丰产性和机械化适应程度</w:t>
      </w:r>
    </w:p>
    <w:p>
      <w:pPr>
        <w:ind w:firstLine="640"/>
      </w:pPr>
      <w:r>
        <w:rPr>
          <w:rFonts w:hint="eastAsia"/>
        </w:rPr>
        <w:t>利用挖掘的优异种质和改进的育种技术，培育出高产、抗倒伏、适宜机械化栽培的高抗豆象、抗叶斑病、适宜西北旱薄区种植的中绿3号，高抗豆象、抗叶斑病和枯萎病等、适宜中南部地区种植的中绿4号；抗叶斑病、耐旱、高产、广适、适于机械化生产的中绿5号；高抗豆象、抗叶斑病、广适性中绿7号等。解决了绿豆产量低、抗病虫能力差、不适宜机械化生产等问题，实现了田间抗病与仓储抗虫和机械化生产的有机结合。新品种自2005年开始大面积示范推广，截止到2017年，中绿3号、中绿4号、中绿5号，中绿7号，累计种植5961.1万亩，增产8.872亿公斤，增收93.25亿元；近3年在19个省份种植2845.5万亩，增产4.275亿公斤，增收43.025亿元，2016年种植758.8万亩，覆盖率达63.23%，实现了全国绿豆品种更新换代。其它单位利用本项目提供的优异种质育成并在生产上大面积应用的新品种26个。</w:t>
      </w:r>
    </w:p>
    <w:p>
      <w:pPr>
        <w:ind w:firstLine="640"/>
        <w:rPr>
          <w:b/>
          <w:bCs/>
        </w:rPr>
      </w:pPr>
      <w:r>
        <w:rPr>
          <w:rFonts w:hint="eastAsia"/>
          <w:b/>
          <w:bCs/>
        </w:rPr>
        <w:t>本项目获国家发明专利6项、研制标准2项，发表论文78篇，其中SCI论文22篇，出版著作16部。获省部级一等奖 1项。</w:t>
      </w:r>
      <w:bookmarkEnd w:id="0"/>
      <w:bookmarkEnd w:id="1"/>
    </w:p>
    <w:p>
      <w:pPr>
        <w:pStyle w:val="3"/>
        <w:spacing w:before="156"/>
      </w:pPr>
      <w:r>
        <w:rPr>
          <w:rFonts w:hint="eastAsia"/>
        </w:rPr>
        <w:t>四、客观评价</w:t>
      </w:r>
    </w:p>
    <w:p>
      <w:pPr>
        <w:ind w:firstLine="640"/>
        <w:rPr>
          <w:b/>
          <w:bCs/>
        </w:rPr>
      </w:pPr>
      <w:r>
        <w:rPr>
          <w:rFonts w:hint="eastAsia"/>
          <w:b/>
          <w:bCs/>
        </w:rPr>
        <w:t>（一）科技部认证的第三方专家组评价</w:t>
      </w:r>
    </w:p>
    <w:p>
      <w:pPr>
        <w:ind w:firstLine="640"/>
      </w:pPr>
      <w:r>
        <w:rPr>
          <w:rFonts w:hint="eastAsia"/>
        </w:rPr>
        <w:t>中国农学会组织由刘旭院士等专家组成的专家组认为，该成果针对我国生产绿豆品种叶斑病和豆象危害严重，产量低等问题，在资源系统收集与引进、鉴定评价和遗传特性研究基础上，构建核心种质，筛选优异种质，开展抗性基因挖掘、种质创新及新品种选育等研究，并针对新品种的特征特性，集成系列配套高产栽培技术。项目各项研究创新性突出，在同类研究成果中，总体达到国际先进水平，抗豆象新品种属国际首创。</w:t>
      </w:r>
    </w:p>
    <w:p>
      <w:pPr>
        <w:ind w:firstLine="640"/>
      </w:pPr>
      <w:r>
        <w:t>1</w:t>
      </w:r>
      <w:r>
        <w:rPr>
          <w:rFonts w:hint="eastAsia"/>
        </w:rPr>
        <w:t>．系统收集引进国内外绿豆种质资源</w:t>
      </w:r>
      <w:r>
        <w:t>3000</w:t>
      </w:r>
      <w:r>
        <w:rPr>
          <w:rFonts w:hint="eastAsia"/>
        </w:rPr>
        <w:t>余份，筛选出抗豆象、抗叶斑病、综合性状优异的种质资源</w:t>
      </w:r>
      <w:r>
        <w:t>200</w:t>
      </w:r>
      <w:r>
        <w:rPr>
          <w:rFonts w:hint="eastAsia"/>
        </w:rPr>
        <w:t>余份；研究了绿豆资源遗传多样性，构建了核心种质。</w:t>
      </w:r>
    </w:p>
    <w:p>
      <w:pPr>
        <w:ind w:firstLine="640"/>
      </w:pPr>
      <w:r>
        <w:t>2</w:t>
      </w:r>
      <w:r>
        <w:rPr>
          <w:rFonts w:hint="eastAsia"/>
        </w:rPr>
        <w:t>．发掘出</w:t>
      </w:r>
      <w:r>
        <w:t>TC1966</w:t>
      </w:r>
      <w:r>
        <w:rPr>
          <w:rFonts w:hint="eastAsia"/>
        </w:rPr>
        <w:t>、</w:t>
      </w:r>
      <w:r>
        <w:t>V2709</w:t>
      </w:r>
      <w:r>
        <w:rPr>
          <w:rFonts w:hint="eastAsia"/>
        </w:rPr>
        <w:t>等抗豆象种质，</w:t>
      </w:r>
      <w:r>
        <w:t>VC1973A</w:t>
      </w:r>
      <w:r>
        <w:rPr>
          <w:rFonts w:hint="eastAsia"/>
        </w:rPr>
        <w:t>、</w:t>
      </w:r>
      <w:r>
        <w:t>VC2768A</w:t>
      </w:r>
      <w:r>
        <w:rPr>
          <w:rFonts w:hint="eastAsia"/>
        </w:rPr>
        <w:t>抗叶斑病种质以及</w:t>
      </w:r>
      <w:r>
        <w:t>C0840</w:t>
      </w:r>
      <w:r>
        <w:rPr>
          <w:rFonts w:hint="eastAsia"/>
        </w:rPr>
        <w:t>、</w:t>
      </w:r>
      <w:r>
        <w:t>C1555</w:t>
      </w:r>
      <w:r>
        <w:rPr>
          <w:rFonts w:hint="eastAsia"/>
        </w:rPr>
        <w:t>、</w:t>
      </w:r>
      <w:r>
        <w:t>C0848</w:t>
      </w:r>
      <w:r>
        <w:rPr>
          <w:rFonts w:hint="eastAsia"/>
        </w:rPr>
        <w:t>等抗枯萎病种质。采用分子标记辅助与常规育种技术结合的方法，培育出中绿</w:t>
      </w:r>
      <w:r>
        <w:t>3</w:t>
      </w:r>
      <w:r>
        <w:rPr>
          <w:rFonts w:hint="eastAsia"/>
        </w:rPr>
        <w:t>号、中绿</w:t>
      </w:r>
      <w:r>
        <w:t>4</w:t>
      </w:r>
      <w:r>
        <w:rPr>
          <w:rFonts w:hint="eastAsia"/>
        </w:rPr>
        <w:t>号、中绿</w:t>
      </w:r>
      <w:r>
        <w:t>5</w:t>
      </w:r>
      <w:r>
        <w:rPr>
          <w:rFonts w:hint="eastAsia"/>
        </w:rPr>
        <w:t>号、中绿</w:t>
      </w:r>
      <w:r>
        <w:t>7</w:t>
      </w:r>
      <w:r>
        <w:rPr>
          <w:rFonts w:hint="eastAsia"/>
        </w:rPr>
        <w:t>号等高产、抗豆象、抗叶斑病、适应性广的系列绿豆新品种，分别通过国家或省级品种审（鉴）定，其中抗豆象的新品种属国际首创。</w:t>
      </w:r>
    </w:p>
    <w:p>
      <w:pPr>
        <w:ind w:firstLine="640"/>
      </w:pPr>
      <w:r>
        <w:t>3</w:t>
      </w:r>
      <w:r>
        <w:rPr>
          <w:rFonts w:hint="eastAsia"/>
        </w:rPr>
        <w:t>．构建了世界上首个高密度绿豆遗传图谱，完成了抗豆象基因的精细定位与克隆，开发了抗豆象功能标记并建立了辅助选择育种技术体系。</w:t>
      </w:r>
    </w:p>
    <w:p>
      <w:pPr>
        <w:ind w:firstLine="640"/>
      </w:pPr>
      <w:r>
        <w:t>4</w:t>
      </w:r>
      <w:r>
        <w:rPr>
          <w:rFonts w:hint="eastAsia"/>
        </w:rPr>
        <w:t>．资源和育种方法被国内相关单位广泛应用，育成新品种在近三年推广占全国面积</w:t>
      </w:r>
      <w:r>
        <w:t>50%</w:t>
      </w:r>
      <w:r>
        <w:rPr>
          <w:rFonts w:hint="eastAsia"/>
        </w:rPr>
        <w:t>以上，经济、社会和生态效益显著。</w:t>
      </w:r>
    </w:p>
    <w:p>
      <w:pPr>
        <w:ind w:firstLine="640"/>
        <w:rPr>
          <w:b/>
          <w:bCs/>
        </w:rPr>
      </w:pPr>
      <w:r>
        <w:rPr>
          <w:rFonts w:hint="eastAsia"/>
          <w:b/>
          <w:bCs/>
        </w:rPr>
        <w:t>（二）中国农业科学院科技文献信息中心查新结果</w:t>
      </w:r>
    </w:p>
    <w:p>
      <w:pPr>
        <w:ind w:firstLine="640"/>
      </w:pPr>
      <w:r>
        <w:t>1</w:t>
      </w:r>
      <w:r>
        <w:rPr>
          <w:rFonts w:hint="eastAsia"/>
        </w:rPr>
        <w:t>．本项目对数千份绿豆资源综合评价，从国内资源中筛选出早熟、大粒、多荚、丰产、抗旱、耐盐等特异种质；在国外资源中筛选出国内缺乏的抗豆象、抗叶斑病材料，除本项目单位外，未见其他单位相同报道。</w:t>
      </w:r>
    </w:p>
    <w:p>
      <w:pPr>
        <w:ind w:firstLine="640"/>
      </w:pPr>
      <w:r>
        <w:t>2</w:t>
      </w:r>
      <w:r>
        <w:rPr>
          <w:rFonts w:hint="eastAsia"/>
        </w:rPr>
        <w:t>．本项目培育出高产、广适、抗豆象和抗叶斑病绿豆新品种，除本项目单位外，未见其他单位相同报道。</w:t>
      </w:r>
    </w:p>
    <w:p>
      <w:pPr>
        <w:ind w:firstLine="640"/>
      </w:pPr>
      <w:r>
        <w:t>3</w:t>
      </w:r>
      <w:r>
        <w:rPr>
          <w:rFonts w:hint="eastAsia"/>
        </w:rPr>
        <w:t>．本项目建立的多性状鉴定评价及集杂交育种与分子标记辅助选择于一体的绿豆抗性育种技术，除本项目单位外，未见其他单位相同报道。</w:t>
      </w:r>
    </w:p>
    <w:p>
      <w:pPr>
        <w:ind w:firstLine="640"/>
        <w:rPr>
          <w:b/>
          <w:bCs/>
        </w:rPr>
      </w:pPr>
      <w:r>
        <w:rPr>
          <w:rFonts w:hint="eastAsia"/>
          <w:b/>
          <w:bCs/>
        </w:rPr>
        <w:t>（三）新品种抗病（虫）特性评价结果</w:t>
      </w:r>
    </w:p>
    <w:p>
      <w:pPr>
        <w:ind w:firstLine="640"/>
        <w:rPr>
          <w:rFonts w:eastAsia="宋体"/>
          <w:szCs w:val="24"/>
        </w:rPr>
      </w:pPr>
      <w:r>
        <w:rPr>
          <w:rFonts w:hint="eastAsia"/>
        </w:rPr>
        <w:t>经中国农业科学院作物科学研究所病虫害检测检验中心，按照《粮食作物种质资源抗病虫鉴定方法》，对中绿</w:t>
      </w:r>
      <w:r>
        <w:t>3</w:t>
      </w:r>
      <w:r>
        <w:rPr>
          <w:rFonts w:hint="eastAsia"/>
        </w:rPr>
        <w:t>号、中绿</w:t>
      </w:r>
      <w:r>
        <w:t>4</w:t>
      </w:r>
      <w:r>
        <w:rPr>
          <w:rFonts w:hint="eastAsia"/>
        </w:rPr>
        <w:t>号、中绿</w:t>
      </w:r>
      <w:r>
        <w:t>5</w:t>
      </w:r>
      <w:r>
        <w:rPr>
          <w:rFonts w:hint="eastAsia"/>
        </w:rPr>
        <w:t>号、中绿</w:t>
      </w:r>
      <w:r>
        <w:t>7</w:t>
      </w:r>
      <w:r>
        <w:rPr>
          <w:rFonts w:hint="eastAsia"/>
        </w:rPr>
        <w:t>号等新品种进行接种鉴定，其结果是：中绿</w:t>
      </w:r>
      <w:r>
        <w:t>3</w:t>
      </w:r>
      <w:r>
        <w:rPr>
          <w:rFonts w:hint="eastAsia"/>
        </w:rPr>
        <w:t>号高抗豆象（</w:t>
      </w:r>
      <w:r>
        <w:t>HR</w:t>
      </w:r>
      <w:r>
        <w:rPr>
          <w:rFonts w:hint="eastAsia"/>
        </w:rPr>
        <w:t>）、抗叶斑病（</w:t>
      </w:r>
      <w:r>
        <w:t>R</w:t>
      </w:r>
      <w:r>
        <w:rPr>
          <w:rFonts w:hint="eastAsia"/>
        </w:rPr>
        <w:t>）、抗白粉病（</w:t>
      </w:r>
      <w:r>
        <w:t>R</w:t>
      </w:r>
      <w:r>
        <w:rPr>
          <w:rFonts w:hint="eastAsia"/>
        </w:rPr>
        <w:t>），耐瘠薄</w:t>
      </w:r>
      <w:r>
        <w:t>(2</w:t>
      </w:r>
      <w:r>
        <w:rPr>
          <w:rFonts w:hint="eastAsia"/>
        </w:rPr>
        <w:t>级</w:t>
      </w:r>
      <w:r>
        <w:t>)</w:t>
      </w:r>
      <w:r>
        <w:rPr>
          <w:rFonts w:hint="eastAsia"/>
        </w:rPr>
        <w:t>；中绿</w:t>
      </w:r>
      <w:r>
        <w:t>4</w:t>
      </w:r>
      <w:r>
        <w:rPr>
          <w:rFonts w:hint="eastAsia"/>
        </w:rPr>
        <w:t>号高抗豆象（</w:t>
      </w:r>
      <w:r>
        <w:t>HR</w:t>
      </w:r>
      <w:r>
        <w:rPr>
          <w:rFonts w:hint="eastAsia"/>
        </w:rPr>
        <w:t>）、抗叶斑病（</w:t>
      </w:r>
      <w:r>
        <w:t>R</w:t>
      </w:r>
      <w:r>
        <w:rPr>
          <w:rFonts w:hint="eastAsia"/>
        </w:rPr>
        <w:t>）、抗白粉病（</w:t>
      </w:r>
      <w:r>
        <w:t>R</w:t>
      </w:r>
      <w:r>
        <w:rPr>
          <w:rFonts w:hint="eastAsia"/>
        </w:rPr>
        <w:t>）、枯萎病（</w:t>
      </w:r>
      <w:r>
        <w:t>R</w:t>
      </w:r>
      <w:r>
        <w:rPr>
          <w:rFonts w:hint="eastAsia"/>
        </w:rPr>
        <w:t>）和晕疫病（</w:t>
      </w:r>
      <w:r>
        <w:t>R</w:t>
      </w:r>
      <w:r>
        <w:rPr>
          <w:rFonts w:hint="eastAsia"/>
        </w:rPr>
        <w:t>）；中绿</w:t>
      </w:r>
      <w:r>
        <w:t>5</w:t>
      </w:r>
      <w:r>
        <w:rPr>
          <w:rFonts w:hint="eastAsia"/>
        </w:rPr>
        <w:t>号抗叶斑病（</w:t>
      </w:r>
      <w:r>
        <w:t>R</w:t>
      </w:r>
      <w:r>
        <w:rPr>
          <w:rFonts w:hint="eastAsia"/>
        </w:rPr>
        <w:t>）、白粉病（</w:t>
      </w:r>
      <w:r>
        <w:t>R</w:t>
      </w:r>
      <w:r>
        <w:rPr>
          <w:rFonts w:hint="eastAsia"/>
        </w:rPr>
        <w:t>）；中绿</w:t>
      </w:r>
      <w:r>
        <w:t>7</w:t>
      </w:r>
      <w:r>
        <w:rPr>
          <w:rFonts w:hint="eastAsia"/>
        </w:rPr>
        <w:t>号高抗豆象（</w:t>
      </w:r>
      <w:r>
        <w:t>HR</w:t>
      </w:r>
      <w:r>
        <w:rPr>
          <w:rFonts w:hint="eastAsia"/>
        </w:rPr>
        <w:t>）、抗叶斑病（</w:t>
      </w:r>
      <w:r>
        <w:t>R</w:t>
      </w:r>
      <w:r>
        <w:rPr>
          <w:rFonts w:hint="eastAsia"/>
        </w:rPr>
        <w:t>）、抗白粉病（</w:t>
      </w:r>
      <w:r>
        <w:t>R</w:t>
      </w:r>
      <w:r>
        <w:rPr>
          <w:rFonts w:hint="eastAsia"/>
        </w:rPr>
        <w:t>）。湖北省农业科学院植保土肥研究所，按照《绿豆尾孢菌叶斑病的抗病性鉴定方法》，对中绿</w:t>
      </w:r>
      <w:r>
        <w:t>5</w:t>
      </w:r>
      <w:r>
        <w:rPr>
          <w:rFonts w:hint="eastAsia"/>
        </w:rPr>
        <w:t>号等新品种进行接种鉴定，其结果是：中绿</w:t>
      </w:r>
      <w:r>
        <w:t>5</w:t>
      </w:r>
      <w:r>
        <w:rPr>
          <w:rFonts w:hint="eastAsia"/>
        </w:rPr>
        <w:t>号高抗叶斑病（</w:t>
      </w:r>
      <w:r>
        <w:t>HR</w:t>
      </w:r>
      <w:r>
        <w:rPr>
          <w:rFonts w:hint="eastAsia"/>
        </w:rPr>
        <w:t>）。</w:t>
      </w:r>
    </w:p>
    <w:p>
      <w:pPr>
        <w:ind w:firstLine="640"/>
        <w:rPr>
          <w:b/>
          <w:bCs/>
        </w:rPr>
      </w:pPr>
      <w:r>
        <w:rPr>
          <w:rFonts w:hint="eastAsia"/>
          <w:b/>
          <w:bCs/>
        </w:rPr>
        <w:t>（四）新品种抗旱性评价结果</w:t>
      </w:r>
    </w:p>
    <w:p>
      <w:pPr>
        <w:ind w:firstLine="640"/>
      </w:pPr>
      <w:r>
        <w:rPr>
          <w:rFonts w:hint="eastAsia"/>
        </w:rPr>
        <w:t>新疆农业科学院粮食作物研究所对</w:t>
      </w:r>
      <w:r>
        <w:t>19</w:t>
      </w:r>
      <w:r>
        <w:rPr>
          <w:rFonts w:hint="eastAsia"/>
        </w:rPr>
        <w:t>个绿豆新品种进行全生育期抗旱性鉴定，采用水旱两区试验及抗旱系数评价方法，两年结果表明，中绿</w:t>
      </w:r>
      <w:r>
        <w:t>5</w:t>
      </w:r>
      <w:r>
        <w:rPr>
          <w:rFonts w:hint="eastAsia"/>
        </w:rPr>
        <w:t>号是参试品种中唯一一个连续两年处于极强水平的品种。</w:t>
      </w:r>
    </w:p>
    <w:p>
      <w:pPr>
        <w:ind w:firstLine="640"/>
        <w:rPr>
          <w:rFonts w:eastAsia="宋体"/>
          <w:b/>
          <w:szCs w:val="24"/>
        </w:rPr>
      </w:pPr>
      <w:r>
        <w:rPr>
          <w:rFonts w:hint="eastAsia"/>
          <w:b/>
          <w:bCs/>
        </w:rPr>
        <w:t>（五）新品种高产创建田间检测检验结果</w:t>
      </w:r>
    </w:p>
    <w:p>
      <w:pPr>
        <w:ind w:firstLine="640"/>
      </w:pPr>
      <w:r>
        <w:rPr>
          <w:rFonts w:hint="eastAsia"/>
        </w:rPr>
        <w:t>经有关单位组织专家对中绿</w:t>
      </w:r>
      <w:r>
        <w:t>5</w:t>
      </w:r>
      <w:r>
        <w:rPr>
          <w:rFonts w:hint="eastAsia"/>
        </w:rPr>
        <w:t>号等新品种进行田间检测，其结果见表。</w:t>
      </w:r>
    </w:p>
    <w:p>
      <w:pPr>
        <w:ind w:firstLine="0" w:firstLineChars="0"/>
        <w:jc w:val="center"/>
        <w:rPr>
          <w:b/>
          <w:bCs/>
        </w:rPr>
      </w:pPr>
      <w:r>
        <w:rPr>
          <w:rFonts w:hint="eastAsia"/>
          <w:b/>
          <w:bCs/>
          <w:sz w:val="28"/>
          <w:szCs w:val="28"/>
        </w:rPr>
        <w:t>中绿</w:t>
      </w:r>
      <w:r>
        <w:rPr>
          <w:b/>
          <w:bCs/>
          <w:sz w:val="28"/>
          <w:szCs w:val="28"/>
        </w:rPr>
        <w:t>5</w:t>
      </w:r>
      <w:r>
        <w:rPr>
          <w:rFonts w:hint="eastAsia"/>
          <w:b/>
          <w:bCs/>
          <w:sz w:val="28"/>
          <w:szCs w:val="28"/>
        </w:rPr>
        <w:t>号田间检测结果汇总表</w:t>
      </w:r>
    </w:p>
    <w:tbl>
      <w:tblPr>
        <w:tblStyle w:val="9"/>
        <w:tblW w:w="8096" w:type="dxa"/>
        <w:jc w:val="center"/>
        <w:tblInd w:w="0" w:type="dxa"/>
        <w:tblBorders>
          <w:top w:val="single" w:color="auto" w:sz="4" w:space="0"/>
          <w:left w:val="none" w:color="auto" w:sz="6" w:space="0"/>
          <w:bottom w:val="single" w:color="auto" w:sz="4" w:space="0"/>
          <w:right w:val="none" w:color="auto" w:sz="6" w:space="0"/>
          <w:insideH w:val="outset" w:color="auto" w:sz="6" w:space="0"/>
          <w:insideV w:val="outset" w:color="auto" w:sz="6" w:space="0"/>
        </w:tblBorders>
        <w:tblLayout w:type="fixed"/>
        <w:tblCellMar>
          <w:top w:w="0" w:type="dxa"/>
          <w:left w:w="108" w:type="dxa"/>
          <w:bottom w:w="0" w:type="dxa"/>
          <w:right w:w="108" w:type="dxa"/>
        </w:tblCellMar>
      </w:tblPr>
      <w:tblGrid>
        <w:gridCol w:w="752"/>
        <w:gridCol w:w="918"/>
        <w:gridCol w:w="1280"/>
        <w:gridCol w:w="1705"/>
        <w:gridCol w:w="1625"/>
        <w:gridCol w:w="1816"/>
      </w:tblGrid>
      <w:tr>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Layout w:type="fixed"/>
          <w:tblCellMar>
            <w:top w:w="0" w:type="dxa"/>
            <w:left w:w="108" w:type="dxa"/>
            <w:bottom w:w="0" w:type="dxa"/>
            <w:right w:w="108" w:type="dxa"/>
          </w:tblCellMar>
        </w:tblPrEx>
        <w:trPr>
          <w:trHeight w:val="397" w:hRule="exact"/>
          <w:jc w:val="center"/>
        </w:trPr>
        <w:tc>
          <w:tcPr>
            <w:tcW w:w="752" w:type="dxa"/>
            <w:tcBorders>
              <w:top w:val="single" w:color="auto" w:sz="4" w:space="0"/>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序号</w:t>
            </w:r>
          </w:p>
        </w:tc>
        <w:tc>
          <w:tcPr>
            <w:tcW w:w="918" w:type="dxa"/>
            <w:tcBorders>
              <w:top w:val="single" w:color="auto" w:sz="4" w:space="0"/>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年度</w:t>
            </w:r>
          </w:p>
        </w:tc>
        <w:tc>
          <w:tcPr>
            <w:tcW w:w="1280" w:type="dxa"/>
            <w:tcBorders>
              <w:top w:val="single" w:color="auto" w:sz="4" w:space="0"/>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地点</w:t>
            </w:r>
          </w:p>
        </w:tc>
        <w:tc>
          <w:tcPr>
            <w:tcW w:w="1705" w:type="dxa"/>
            <w:tcBorders>
              <w:top w:val="single" w:color="auto" w:sz="4" w:space="0"/>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面积（亩）</w:t>
            </w:r>
          </w:p>
        </w:tc>
        <w:tc>
          <w:tcPr>
            <w:tcW w:w="1625" w:type="dxa"/>
            <w:tcBorders>
              <w:top w:val="single" w:color="auto" w:sz="4" w:space="0"/>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种植模式</w:t>
            </w:r>
          </w:p>
        </w:tc>
        <w:tc>
          <w:tcPr>
            <w:tcW w:w="1816" w:type="dxa"/>
            <w:tcBorders>
              <w:top w:val="single" w:color="auto" w:sz="4" w:space="0"/>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产量（公斤/亩）</w:t>
            </w:r>
          </w:p>
        </w:tc>
      </w:tr>
      <w:tr>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Layout w:type="fixed"/>
          <w:tblCellMar>
            <w:top w:w="0" w:type="dxa"/>
            <w:left w:w="108" w:type="dxa"/>
            <w:bottom w:w="0" w:type="dxa"/>
            <w:right w:w="108" w:type="dxa"/>
          </w:tblCellMar>
        </w:tblPrEx>
        <w:trPr>
          <w:trHeight w:val="397" w:hRule="exact"/>
          <w:jc w:val="center"/>
        </w:trPr>
        <w:tc>
          <w:tcPr>
            <w:tcW w:w="752" w:type="dxa"/>
            <w:tcBorders>
              <w:top w:val="single" w:color="auto" w:sz="4" w:space="0"/>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918" w:type="dxa"/>
            <w:tcBorders>
              <w:top w:val="single" w:color="auto" w:sz="4" w:space="0"/>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w:t>
            </w:r>
          </w:p>
        </w:tc>
        <w:tc>
          <w:tcPr>
            <w:tcW w:w="1280" w:type="dxa"/>
            <w:tcBorders>
              <w:top w:val="single" w:color="auto" w:sz="4" w:space="0"/>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安徽明光</w:t>
            </w:r>
          </w:p>
        </w:tc>
        <w:tc>
          <w:tcPr>
            <w:tcW w:w="1705" w:type="dxa"/>
            <w:tcBorders>
              <w:top w:val="single" w:color="auto" w:sz="4" w:space="0"/>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150</w:t>
            </w:r>
          </w:p>
        </w:tc>
        <w:tc>
          <w:tcPr>
            <w:tcW w:w="1625" w:type="dxa"/>
            <w:tcBorders>
              <w:top w:val="single" w:color="auto" w:sz="4" w:space="0"/>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麦后复播</w:t>
            </w:r>
          </w:p>
        </w:tc>
        <w:tc>
          <w:tcPr>
            <w:tcW w:w="1816" w:type="dxa"/>
            <w:tcBorders>
              <w:top w:val="single" w:color="auto" w:sz="4" w:space="0"/>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242.67</w:t>
            </w:r>
          </w:p>
        </w:tc>
      </w:tr>
      <w:tr>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Layout w:type="fixed"/>
          <w:tblCellMar>
            <w:top w:w="0" w:type="dxa"/>
            <w:left w:w="108" w:type="dxa"/>
            <w:bottom w:w="0" w:type="dxa"/>
            <w:right w:w="108" w:type="dxa"/>
          </w:tblCellMar>
        </w:tblPrEx>
        <w:trPr>
          <w:trHeight w:val="397" w:hRule="exact"/>
          <w:jc w:val="center"/>
        </w:trPr>
        <w:tc>
          <w:tcPr>
            <w:tcW w:w="752"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918"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w:t>
            </w:r>
          </w:p>
        </w:tc>
        <w:tc>
          <w:tcPr>
            <w:tcW w:w="1280"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安徽明光</w:t>
            </w:r>
          </w:p>
        </w:tc>
        <w:tc>
          <w:tcPr>
            <w:tcW w:w="1705"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100</w:t>
            </w:r>
          </w:p>
        </w:tc>
        <w:tc>
          <w:tcPr>
            <w:tcW w:w="1625"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桃树套种</w:t>
            </w:r>
          </w:p>
        </w:tc>
        <w:tc>
          <w:tcPr>
            <w:tcW w:w="1816"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122.47</w:t>
            </w:r>
          </w:p>
        </w:tc>
      </w:tr>
      <w:tr>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Layout w:type="fixed"/>
          <w:tblCellMar>
            <w:top w:w="0" w:type="dxa"/>
            <w:left w:w="108" w:type="dxa"/>
            <w:bottom w:w="0" w:type="dxa"/>
            <w:right w:w="108" w:type="dxa"/>
          </w:tblCellMar>
        </w:tblPrEx>
        <w:trPr>
          <w:trHeight w:val="397" w:hRule="exact"/>
          <w:jc w:val="center"/>
        </w:trPr>
        <w:tc>
          <w:tcPr>
            <w:tcW w:w="752"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918"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w:t>
            </w:r>
          </w:p>
        </w:tc>
        <w:tc>
          <w:tcPr>
            <w:tcW w:w="1280"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广西崇左</w:t>
            </w:r>
          </w:p>
        </w:tc>
        <w:tc>
          <w:tcPr>
            <w:tcW w:w="1705"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250</w:t>
            </w:r>
          </w:p>
        </w:tc>
        <w:tc>
          <w:tcPr>
            <w:tcW w:w="1625"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甘蔗套种</w:t>
            </w:r>
          </w:p>
        </w:tc>
        <w:tc>
          <w:tcPr>
            <w:tcW w:w="1816" w:type="dxa"/>
            <w:tcBorders>
              <w:top w:val="nil"/>
              <w:left w:val="nil"/>
              <w:bottom w:val="nil"/>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102.7</w:t>
            </w:r>
          </w:p>
        </w:tc>
      </w:tr>
      <w:tr>
        <w:tblPrEx>
          <w:tblBorders>
            <w:top w:val="single" w:color="auto" w:sz="4" w:space="0"/>
            <w:left w:val="none" w:color="auto" w:sz="6" w:space="0"/>
            <w:bottom w:val="single" w:color="auto" w:sz="4" w:space="0"/>
            <w:right w:val="none" w:color="auto" w:sz="6" w:space="0"/>
            <w:insideH w:val="outset" w:color="auto" w:sz="6" w:space="0"/>
            <w:insideV w:val="outset" w:color="auto" w:sz="6" w:space="0"/>
          </w:tblBorders>
          <w:tblLayout w:type="fixed"/>
          <w:tblCellMar>
            <w:top w:w="0" w:type="dxa"/>
            <w:left w:w="108" w:type="dxa"/>
            <w:bottom w:w="0" w:type="dxa"/>
            <w:right w:w="108" w:type="dxa"/>
          </w:tblCellMar>
        </w:tblPrEx>
        <w:trPr>
          <w:trHeight w:val="397" w:hRule="exact"/>
          <w:jc w:val="center"/>
        </w:trPr>
        <w:tc>
          <w:tcPr>
            <w:tcW w:w="752" w:type="dxa"/>
            <w:tcBorders>
              <w:top w:val="nil"/>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918" w:type="dxa"/>
            <w:tcBorders>
              <w:top w:val="nil"/>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w:t>
            </w:r>
          </w:p>
        </w:tc>
        <w:tc>
          <w:tcPr>
            <w:tcW w:w="1280" w:type="dxa"/>
            <w:tcBorders>
              <w:top w:val="nil"/>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新疆奇台</w:t>
            </w:r>
          </w:p>
        </w:tc>
        <w:tc>
          <w:tcPr>
            <w:tcW w:w="1705" w:type="dxa"/>
            <w:tcBorders>
              <w:top w:val="nil"/>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30</w:t>
            </w:r>
          </w:p>
        </w:tc>
        <w:tc>
          <w:tcPr>
            <w:tcW w:w="1625" w:type="dxa"/>
            <w:tcBorders>
              <w:top w:val="nil"/>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旱地平作</w:t>
            </w:r>
          </w:p>
        </w:tc>
        <w:tc>
          <w:tcPr>
            <w:tcW w:w="1816" w:type="dxa"/>
            <w:tcBorders>
              <w:top w:val="nil"/>
              <w:left w:val="nil"/>
              <w:bottom w:val="single" w:color="auto" w:sz="4" w:space="0"/>
              <w:right w:val="nil"/>
            </w:tcBorders>
            <w:shd w:val="clear" w:color="auto" w:fill="auto"/>
            <w:vAlign w:val="center"/>
          </w:tcPr>
          <w:p>
            <w:pPr>
              <w:spacing w:line="240" w:lineRule="auto"/>
              <w:ind w:firstLine="0" w:firstLineChars="0"/>
              <w:jc w:val="center"/>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241.74</w:t>
            </w:r>
          </w:p>
        </w:tc>
      </w:tr>
    </w:tbl>
    <w:p>
      <w:pPr>
        <w:ind w:firstLine="640"/>
        <w:rPr>
          <w:b/>
          <w:bCs/>
        </w:rPr>
      </w:pPr>
      <w:r>
        <w:rPr>
          <w:rFonts w:hint="eastAsia"/>
          <w:b/>
          <w:bCs/>
        </w:rPr>
        <w:t>（六）新品种选育及其高产高效生产技术等研究获得省级科技成果奖励</w:t>
      </w:r>
    </w:p>
    <w:p>
      <w:pPr>
        <w:ind w:firstLine="640"/>
      </w:pPr>
      <w:r>
        <w:rPr>
          <w:rFonts w:hint="eastAsia"/>
        </w:rPr>
        <w:t>应用优异种质培育的新品种及配套生产技术，推广应用效果显著，其中，绿豆优异基因资源挖掘与创新利用获</w:t>
      </w:r>
      <w:r>
        <w:t>2014-2015</w:t>
      </w:r>
      <w:r>
        <w:rPr>
          <w:rFonts w:hint="eastAsia"/>
        </w:rPr>
        <w:t>年度中华农业科技一等奖。</w:t>
      </w:r>
    </w:p>
    <w:p>
      <w:pPr>
        <w:pStyle w:val="3"/>
        <w:numPr>
          <w:ilvl w:val="0"/>
          <w:numId w:val="2"/>
        </w:numPr>
        <w:spacing w:before="156"/>
      </w:pPr>
      <w:r>
        <w:rPr>
          <w:rFonts w:hint="eastAsia"/>
        </w:rPr>
        <w:t>应用情况</w:t>
      </w:r>
    </w:p>
    <w:p>
      <w:pPr>
        <w:ind w:firstLine="0" w:firstLineChars="0"/>
      </w:pPr>
      <w:r>
        <w:rPr>
          <w:rFonts w:hint="eastAsia"/>
        </w:rPr>
        <w:t xml:space="preserve">   </w:t>
      </w:r>
      <w:r>
        <w:rPr>
          <w:rFonts w:hint="eastAsia"/>
          <w:b/>
          <w:bCs/>
        </w:rPr>
        <w:t xml:space="preserve"> 1．应用情况</w:t>
      </w:r>
    </w:p>
    <w:p>
      <w:pPr>
        <w:keepNext w:val="0"/>
        <w:keepLines w:val="0"/>
        <w:pageBreakBefore w:val="0"/>
        <w:widowControl w:val="0"/>
        <w:kinsoku/>
        <w:wordWrap/>
        <w:overflowPunct/>
        <w:topLinePunct w:val="0"/>
        <w:autoSpaceDE/>
        <w:autoSpaceDN/>
        <w:bidi w:val="0"/>
        <w:adjustRightInd/>
        <w:snapToGrid/>
        <w:spacing w:line="240" w:lineRule="auto"/>
        <w:ind w:firstLine="640"/>
        <w:textAlignment w:val="auto"/>
        <w:outlineLvl w:val="9"/>
      </w:pPr>
      <w:r>
        <w:rPr>
          <w:rFonts w:hint="eastAsia"/>
        </w:rPr>
        <w:t>自</w:t>
      </w:r>
      <w:r>
        <w:t>2005</w:t>
      </w:r>
      <w:r>
        <w:rPr>
          <w:rFonts w:hint="eastAsia"/>
        </w:rPr>
        <w:t>年起，本项目育成的中绿</w:t>
      </w:r>
      <w:r>
        <w:t>4</w:t>
      </w:r>
      <w:r>
        <w:rPr>
          <w:rFonts w:hint="eastAsia"/>
        </w:rPr>
        <w:t>号、中绿</w:t>
      </w:r>
      <w:r>
        <w:t>5</w:t>
      </w:r>
      <w:r>
        <w:rPr>
          <w:rFonts w:hint="eastAsia"/>
        </w:rPr>
        <w:t>号、中绿</w:t>
      </w:r>
      <w:r>
        <w:t>7</w:t>
      </w:r>
      <w:r>
        <w:rPr>
          <w:rFonts w:hint="eastAsia"/>
        </w:rPr>
        <w:t>号开始在全国</w:t>
      </w:r>
      <w:r>
        <w:t>29</w:t>
      </w:r>
      <w:r>
        <w:rPr>
          <w:rFonts w:hint="eastAsia"/>
        </w:rPr>
        <w:t>个省份示范推广。据不完全统计，截止到</w:t>
      </w:r>
      <w:r>
        <w:t>2017</w:t>
      </w:r>
      <w:r>
        <w:rPr>
          <w:rFonts w:hint="eastAsia"/>
        </w:rPr>
        <w:t>年，在全国</w:t>
      </w:r>
      <w:r>
        <w:t>19</w:t>
      </w:r>
      <w:r>
        <w:rPr>
          <w:rFonts w:hint="eastAsia"/>
        </w:rPr>
        <w:t>个省份累计推广种植</w:t>
      </w:r>
      <w:r>
        <w:t>5961.1</w:t>
      </w:r>
      <w:r>
        <w:rPr>
          <w:rFonts w:hint="eastAsia"/>
        </w:rPr>
        <w:t>万亩，增产</w:t>
      </w:r>
      <w:r>
        <w:t>8.872</w:t>
      </w:r>
      <w:r>
        <w:rPr>
          <w:rFonts w:hint="eastAsia"/>
        </w:rPr>
        <w:t>亿公斤，增收</w:t>
      </w:r>
      <w:r>
        <w:t>93.25</w:t>
      </w:r>
      <w:r>
        <w:rPr>
          <w:rFonts w:hint="eastAsia"/>
        </w:rPr>
        <w:t>亿元；近</w:t>
      </w:r>
      <w:r>
        <w:t>3</w:t>
      </w:r>
      <w:r>
        <w:rPr>
          <w:rFonts w:hint="eastAsia"/>
        </w:rPr>
        <w:t>年累计种植</w:t>
      </w:r>
      <w:r>
        <w:t>2845.5</w:t>
      </w:r>
      <w:r>
        <w:rPr>
          <w:rFonts w:hint="eastAsia"/>
        </w:rPr>
        <w:t>万亩，增产</w:t>
      </w:r>
      <w:r>
        <w:t>4.275</w:t>
      </w:r>
      <w:r>
        <w:rPr>
          <w:rFonts w:hint="eastAsia"/>
        </w:rPr>
        <w:t>亿公斤，增收</w:t>
      </w:r>
      <w:r>
        <w:t>43.025</w:t>
      </w:r>
      <w:r>
        <w:rPr>
          <w:rFonts w:hint="eastAsia"/>
        </w:rPr>
        <w:t>亿元；</w:t>
      </w:r>
      <w:r>
        <w:t>2016</w:t>
      </w:r>
      <w:r>
        <w:rPr>
          <w:rFonts w:hint="eastAsia"/>
        </w:rPr>
        <w:t>年种植</w:t>
      </w:r>
      <w:r>
        <w:t>758.8</w:t>
      </w:r>
      <w:r>
        <w:rPr>
          <w:rFonts w:hint="eastAsia"/>
        </w:rPr>
        <w:t>万亩，覆盖率达</w:t>
      </w:r>
      <w:r>
        <w:t>63.23%</w:t>
      </w:r>
      <w:r>
        <w:rPr>
          <w:rFonts w:hint="eastAsia"/>
        </w:rPr>
        <w:t>，实现了全国绿豆品种更新换代。</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ascii="仿宋" w:hAnsi="仿宋"/>
          <w:b/>
          <w:sz w:val="28"/>
          <w:szCs w:val="28"/>
        </w:rPr>
      </w:pPr>
      <w:r>
        <w:rPr>
          <w:rFonts w:hint="eastAsia" w:ascii="仿宋" w:hAnsi="仿宋"/>
          <w:b/>
          <w:sz w:val="28"/>
          <w:szCs w:val="28"/>
        </w:rPr>
        <w:t>主要应用单位情况表</w:t>
      </w:r>
    </w:p>
    <w:tbl>
      <w:tblPr>
        <w:tblStyle w:val="9"/>
        <w:tblW w:w="9437" w:type="dxa"/>
        <w:jc w:val="center"/>
        <w:tblInd w:w="-4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2017"/>
        <w:gridCol w:w="1104"/>
        <w:gridCol w:w="3110"/>
        <w:gridCol w:w="119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序号</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单位名称</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应用的</w:t>
            </w:r>
          </w:p>
          <w:p>
            <w:pPr>
              <w:spacing w:line="240" w:lineRule="auto"/>
              <w:ind w:firstLine="0" w:firstLineChars="0"/>
              <w:jc w:val="center"/>
              <w:rPr>
                <w:rFonts w:cs="Times New Roman"/>
                <w:b/>
                <w:sz w:val="21"/>
                <w:szCs w:val="21"/>
              </w:rPr>
            </w:pPr>
            <w:r>
              <w:rPr>
                <w:rFonts w:cs="Times New Roman"/>
                <w:b/>
                <w:sz w:val="21"/>
                <w:szCs w:val="21"/>
              </w:rPr>
              <w:t>技术</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应用对象及规模</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应用</w:t>
            </w:r>
          </w:p>
          <w:p>
            <w:pPr>
              <w:spacing w:line="240" w:lineRule="auto"/>
              <w:ind w:firstLine="0" w:firstLineChars="0"/>
              <w:jc w:val="center"/>
              <w:rPr>
                <w:rFonts w:cs="Times New Roman"/>
                <w:b/>
                <w:sz w:val="21"/>
                <w:szCs w:val="21"/>
              </w:rPr>
            </w:pPr>
            <w:r>
              <w:rPr>
                <w:rFonts w:cs="Times New Roman"/>
                <w:b/>
                <w:sz w:val="21"/>
                <w:szCs w:val="21"/>
              </w:rPr>
              <w:t>起止时间</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单位联系人</w:t>
            </w:r>
          </w:p>
          <w:p>
            <w:pPr>
              <w:spacing w:line="240" w:lineRule="auto"/>
              <w:ind w:firstLine="0" w:firstLineChars="0"/>
              <w:jc w:val="center"/>
              <w:rPr>
                <w:rFonts w:cs="Times New Roman"/>
                <w:b/>
                <w:sz w:val="21"/>
                <w:szCs w:val="21"/>
              </w:rPr>
            </w:pPr>
            <w:r>
              <w:rPr>
                <w:rFonts w:cs="Times New Roman"/>
                <w:b/>
                <w:sz w:val="21"/>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河北省农林科学院粮油作物研究所</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资源利用</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科研单位：育成品种冀绿7-13号；种植92.8万亩，增收3846.75万元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2007~2016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田静0311-8767060</w:t>
            </w:r>
            <w:r>
              <w:rPr>
                <w:rFonts w:hint="eastAsia" w:cs="Times New Roman"/>
                <w:sz w:val="21"/>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黑龙江省农业科学院齐齐哈尔分院</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资源利用</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科研单位：育成品种嫩绿2号；种植70.9万亩，增收8975.8万元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2012-2016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崔秀辉0452-2720209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3</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保定市农业科学院</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资源利用</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科研单位：育成品种冀绿2号、冀绿11、14、保绿942等；种植40.0万亩，增收4800万元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1997-2016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李彩菊0312-5913569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4</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黑龙江省齐齐哈尔市种子管理处</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生产部门：种植110万亩，增收18480万元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王成15663352599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5</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安徽省种子管理总站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生产部门：种植286万亩，增收35750万元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周斌18756019871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6</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河南省种子管理站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生产部门：种植198.2万亩，增收48519.36万元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朱旭13838709394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7</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四川省种子站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生产部门：种植139.6万亩，增收33504万元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韩友学0288</w:t>
            </w:r>
            <w:r>
              <w:rPr>
                <w:rFonts w:hint="eastAsia" w:cs="Times New Roman"/>
                <w:sz w:val="21"/>
                <w:szCs w:val="21"/>
              </w:rPr>
              <w:t>-</w:t>
            </w:r>
            <w:r>
              <w:rPr>
                <w:rFonts w:cs="Times New Roman"/>
                <w:sz w:val="21"/>
                <w:szCs w:val="21"/>
              </w:rPr>
              <w:t>5588170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8</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陕西省榆林市种子管理总站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w:t>
            </w:r>
            <w:r>
              <w:rPr>
                <w:rFonts w:hint="eastAsia" w:cs="Times New Roman"/>
                <w:sz w:val="21"/>
                <w:szCs w:val="21"/>
              </w:rPr>
              <w:t>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生产部门：种植113.5万亩，增收9988万元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王斌13484980564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9</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山西省农业技术推广总站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生产部门：种植100万亩，增收8000万元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2009~2016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赵雪英0351</w:t>
            </w:r>
            <w:r>
              <w:rPr>
                <w:rFonts w:hint="eastAsia" w:cs="Times New Roman"/>
                <w:sz w:val="21"/>
                <w:szCs w:val="21"/>
              </w:rPr>
              <w:t>-</w:t>
            </w:r>
            <w:r>
              <w:rPr>
                <w:rFonts w:cs="Times New Roman"/>
                <w:sz w:val="21"/>
                <w:szCs w:val="21"/>
              </w:rPr>
              <w:t>7115371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10</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内蒙古自治区赤峰市农业技术服务中心</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生产部门：种植415万亩，增收37856.3万元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2006~2016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丁素荣13947640639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11</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内蒙古自治区兴安盟农业技术推广站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生产部门：种植465万亩，增收42417.3万元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2006~2016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赵存虎13604711861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12</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辽宁省农业技术推广总站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生产部门：种植120万亩，增收24000万元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2009~2016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葛维德13810021679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13</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吉林省农业技术推广总站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生产部门：种植269万亩，增收21520万元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徐宁13596682760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14</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江苏省农业技术推广总站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生产部门：种植212万亩，增收16960万元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袁星星13814087299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15</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黑龙江省农业技术推广站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生产部门：种植420万亩，增收48048万元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魏淑红13503633303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jc w:val="center"/>
        </w:trPr>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16</w:t>
            </w:r>
          </w:p>
        </w:tc>
        <w:tc>
          <w:tcPr>
            <w:tcW w:w="20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湖北省农业技术推广总站</w:t>
            </w:r>
          </w:p>
        </w:tc>
        <w:tc>
          <w:tcPr>
            <w:tcW w:w="110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新品种示范推广</w:t>
            </w:r>
          </w:p>
        </w:tc>
        <w:tc>
          <w:tcPr>
            <w:tcW w:w="311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cs="Times New Roman"/>
                <w:sz w:val="21"/>
                <w:szCs w:val="21"/>
              </w:rPr>
            </w:pPr>
            <w:r>
              <w:rPr>
                <w:rFonts w:cs="Times New Roman"/>
                <w:sz w:val="21"/>
                <w:szCs w:val="21"/>
              </w:rPr>
              <w:t>生产部门：种植159.3万亩，增收17682.3万元</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2005~2016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cs="Times New Roman"/>
                <w:sz w:val="21"/>
                <w:szCs w:val="21"/>
              </w:rPr>
            </w:pPr>
            <w:r>
              <w:rPr>
                <w:rFonts w:cs="Times New Roman"/>
                <w:sz w:val="21"/>
                <w:szCs w:val="21"/>
              </w:rPr>
              <w:t>李莉13808698956</w:t>
            </w:r>
          </w:p>
        </w:tc>
      </w:tr>
    </w:tbl>
    <w:p>
      <w:pPr>
        <w:ind w:firstLine="640"/>
        <w:rPr>
          <w:b/>
          <w:bCs/>
        </w:rPr>
      </w:pPr>
      <w:r>
        <w:rPr>
          <w:rFonts w:hint="eastAsia"/>
          <w:b/>
          <w:bCs/>
        </w:rPr>
        <w:t>2．应用效果</w:t>
      </w:r>
    </w:p>
    <w:p>
      <w:pPr>
        <w:ind w:firstLine="640"/>
      </w:pPr>
      <w:r>
        <w:rPr>
          <w:rFonts w:hint="eastAsia"/>
        </w:rPr>
        <w:t>该项科研成果的经济效益由中国农业科学院农业经济与发展研究所测算，该项成果科研投资年均纯收益率达到27.56，即平均每元科研投资在经济效益计算年限内，每年为社会增加27.56元的纯收益，说明该成果的科研投资回报达到较高的水平。对推动产业发展、增加农民收益的成效显著。</w:t>
      </w:r>
    </w:p>
    <w:p>
      <w:pPr>
        <w:pStyle w:val="3"/>
        <w:numPr>
          <w:ilvl w:val="0"/>
          <w:numId w:val="2"/>
        </w:numPr>
        <w:spacing w:before="156"/>
      </w:pPr>
      <w:r>
        <w:t>主要知识产权</w:t>
      </w:r>
      <w:r>
        <w:rPr>
          <w:rFonts w:hint="eastAsia"/>
        </w:rPr>
        <w:t>和标准规范等</w:t>
      </w:r>
      <w:r>
        <w:t>目录</w:t>
      </w:r>
    </w:p>
    <w:tbl>
      <w:tblPr>
        <w:tblStyle w:val="9"/>
        <w:tblW w:w="93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1133"/>
        <w:gridCol w:w="680"/>
        <w:gridCol w:w="1133"/>
        <w:gridCol w:w="1020"/>
        <w:gridCol w:w="1133"/>
        <w:gridCol w:w="1136"/>
        <w:gridCol w:w="113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知识产权（标准）类别</w:t>
            </w:r>
          </w:p>
        </w:tc>
        <w:tc>
          <w:tcPr>
            <w:tcW w:w="1133"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知识产权（标准）具体名称</w:t>
            </w:r>
          </w:p>
        </w:tc>
        <w:tc>
          <w:tcPr>
            <w:tcW w:w="680"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国家</w:t>
            </w:r>
          </w:p>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（地区）</w:t>
            </w:r>
          </w:p>
        </w:tc>
        <w:tc>
          <w:tcPr>
            <w:tcW w:w="1133"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授权号（标准编号）</w:t>
            </w:r>
          </w:p>
        </w:tc>
        <w:tc>
          <w:tcPr>
            <w:tcW w:w="1020"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授权（标准发布）日期</w:t>
            </w:r>
          </w:p>
        </w:tc>
        <w:tc>
          <w:tcPr>
            <w:tcW w:w="1133"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证书编号</w:t>
            </w:r>
            <w:r>
              <w:rPr>
                <w:rFonts w:hint="eastAsia" w:ascii="仿宋" w:hAnsi="仿宋" w:eastAsia="仿宋" w:cs="仿宋"/>
                <w:b/>
                <w:bCs/>
                <w:color w:val="000000"/>
                <w:sz w:val="21"/>
                <w:szCs w:val="21"/>
              </w:rPr>
              <w:br w:type="textWrapping"/>
            </w:r>
            <w:r>
              <w:rPr>
                <w:rFonts w:hint="eastAsia" w:ascii="仿宋" w:hAnsi="仿宋" w:eastAsia="仿宋" w:cs="仿宋"/>
                <w:b/>
                <w:bCs/>
                <w:color w:val="000000"/>
                <w:sz w:val="21"/>
                <w:szCs w:val="21"/>
              </w:rPr>
              <w:t>（标准批准发布部门）</w:t>
            </w:r>
          </w:p>
        </w:tc>
        <w:tc>
          <w:tcPr>
            <w:tcW w:w="1136"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权利人（标准起草单位）</w:t>
            </w:r>
          </w:p>
        </w:tc>
        <w:tc>
          <w:tcPr>
            <w:tcW w:w="1133"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发明人（标准起草人）</w:t>
            </w:r>
          </w:p>
        </w:tc>
        <w:tc>
          <w:tcPr>
            <w:tcW w:w="850" w:type="dxa"/>
            <w:vAlign w:val="center"/>
          </w:tcPr>
          <w:p>
            <w:pPr>
              <w:pStyle w:val="4"/>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仿宋" w:hAnsi="仿宋" w:eastAsia="仿宋" w:cs="仿宋"/>
                <w:b/>
                <w:bCs/>
                <w:color w:val="000000"/>
                <w:sz w:val="21"/>
                <w:szCs w:val="21"/>
              </w:rPr>
            </w:pPr>
            <w:r>
              <w:rPr>
                <w:rFonts w:hint="eastAsia" w:ascii="仿宋" w:hAnsi="仿宋" w:eastAsia="仿宋" w:cs="仿宋"/>
                <w:b/>
                <w:bCs/>
                <w:color w:val="000000"/>
                <w:sz w:val="21"/>
                <w:szCs w:val="21"/>
              </w:rPr>
              <w:t>发明专利（标准）有效状态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专利</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一种分子标记辅助选育绿豆抗豆象品种的方法</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中国</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ZL2014 10566900.2</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2017.12.08</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2731170</w:t>
            </w:r>
          </w:p>
        </w:tc>
        <w:tc>
          <w:tcPr>
            <w:tcW w:w="1136"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中国农业科学院作物科学研究所</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陈红霖，程须珍，王丽侠，王素华</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专利</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植物耐逆性相关蛋白VrDREB2A及其编码基因与应用</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中国</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ZL20151 0064674.2</w:t>
            </w:r>
          </w:p>
        </w:tc>
        <w:tc>
          <w:tcPr>
            <w:tcW w:w="102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2017.11.14</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2697531</w:t>
            </w:r>
          </w:p>
        </w:tc>
        <w:tc>
          <w:tcPr>
            <w:tcW w:w="1136"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中国农业科学院作物科学研究所</w:t>
            </w:r>
          </w:p>
        </w:tc>
        <w:tc>
          <w:tcPr>
            <w:tcW w:w="1133"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陈红霖，程须珍，王丽侠，王素华</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ascii="宋体" w:hAnsi="宋体"/>
                <w:color w:val="000000"/>
                <w:sz w:val="21"/>
                <w:szCs w:val="21"/>
              </w:rPr>
            </w:pPr>
            <w:r>
              <w:rPr>
                <w:rFonts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专利</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基于转录组测序开发绿豆SSR引物的方法</w:t>
            </w:r>
          </w:p>
        </w:tc>
        <w:tc>
          <w:tcPr>
            <w:tcW w:w="68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ZL20131 0629710.6</w:t>
            </w:r>
          </w:p>
        </w:tc>
        <w:tc>
          <w:tcPr>
            <w:tcW w:w="102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2015.03.18</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1606051</w:t>
            </w:r>
          </w:p>
        </w:tc>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中国农业科学院作物科学研究所</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陈红霖，程须珍， 王素华，王丽侠</w:t>
            </w:r>
          </w:p>
        </w:tc>
        <w:tc>
          <w:tcPr>
            <w:tcW w:w="85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专利</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绿豆尾孢菌叶斑病的抗病性快速鉴定方法</w:t>
            </w:r>
          </w:p>
        </w:tc>
        <w:tc>
          <w:tcPr>
            <w:tcW w:w="68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ZL201410276784.0</w:t>
            </w:r>
          </w:p>
        </w:tc>
        <w:tc>
          <w:tcPr>
            <w:tcW w:w="102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2016.08.17</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2185480</w:t>
            </w:r>
          </w:p>
        </w:tc>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湖北省农业科学院粮食作物研究所</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刘昌燕</w:t>
            </w:r>
            <w:r>
              <w:rPr>
                <w:rFonts w:hint="eastAsia" w:cs="Times New Roman"/>
                <w:sz w:val="21"/>
                <w:szCs w:val="21"/>
              </w:rPr>
              <w:t>，</w:t>
            </w:r>
            <w:r>
              <w:rPr>
                <w:rFonts w:cs="Times New Roman"/>
                <w:sz w:val="21"/>
                <w:szCs w:val="21"/>
              </w:rPr>
              <w:t>焦春海，肖炎农，吴小微，万正煌，仲建锋</w:t>
            </w:r>
            <w:r>
              <w:rPr>
                <w:rFonts w:hint="eastAsia" w:cs="Times New Roman"/>
                <w:sz w:val="21"/>
                <w:szCs w:val="21"/>
              </w:rPr>
              <w:t>，</w:t>
            </w:r>
            <w:r>
              <w:rPr>
                <w:rFonts w:cs="Times New Roman"/>
                <w:sz w:val="21"/>
                <w:szCs w:val="21"/>
              </w:rPr>
              <w:t>李莉</w:t>
            </w:r>
          </w:p>
        </w:tc>
        <w:tc>
          <w:tcPr>
            <w:tcW w:w="85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专利</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鉴定或辅助鉴定仓储豆象的引物对及其试剂盒</w:t>
            </w:r>
          </w:p>
        </w:tc>
        <w:tc>
          <w:tcPr>
            <w:tcW w:w="68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ZL201410717232.9</w:t>
            </w:r>
          </w:p>
        </w:tc>
        <w:tc>
          <w:tcPr>
            <w:tcW w:w="102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2016. 08.24</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2207643</w:t>
            </w:r>
          </w:p>
        </w:tc>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湖北省农业科学院粮食作物研究所</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刘昌燕</w:t>
            </w:r>
            <w:r>
              <w:rPr>
                <w:rFonts w:hint="eastAsia" w:cs="Times New Roman"/>
                <w:sz w:val="21"/>
                <w:szCs w:val="21"/>
              </w:rPr>
              <w:t>，</w:t>
            </w:r>
            <w:r>
              <w:rPr>
                <w:rFonts w:cs="Times New Roman"/>
                <w:sz w:val="21"/>
                <w:szCs w:val="21"/>
              </w:rPr>
              <w:t>万正煌</w:t>
            </w:r>
            <w:r>
              <w:rPr>
                <w:rFonts w:hint="eastAsia" w:cs="Times New Roman"/>
                <w:sz w:val="21"/>
                <w:szCs w:val="21"/>
              </w:rPr>
              <w:t>，</w:t>
            </w:r>
            <w:r>
              <w:rPr>
                <w:rFonts w:cs="Times New Roman"/>
                <w:sz w:val="21"/>
                <w:szCs w:val="21"/>
              </w:rPr>
              <w:t>焦春海</w:t>
            </w:r>
            <w:r>
              <w:rPr>
                <w:rFonts w:hint="eastAsia" w:cs="Times New Roman"/>
                <w:sz w:val="21"/>
                <w:szCs w:val="21"/>
              </w:rPr>
              <w:t>，</w:t>
            </w:r>
            <w:r>
              <w:rPr>
                <w:rFonts w:cs="Times New Roman"/>
                <w:sz w:val="21"/>
                <w:szCs w:val="21"/>
              </w:rPr>
              <w:t>李莉</w:t>
            </w:r>
            <w:r>
              <w:rPr>
                <w:rFonts w:hint="eastAsia" w:cs="Times New Roman"/>
                <w:sz w:val="21"/>
                <w:szCs w:val="21"/>
              </w:rPr>
              <w:t>，</w:t>
            </w:r>
            <w:r>
              <w:rPr>
                <w:rFonts w:cs="Times New Roman"/>
                <w:sz w:val="21"/>
                <w:szCs w:val="21"/>
              </w:rPr>
              <w:t>陈宏伟</w:t>
            </w:r>
            <w:r>
              <w:rPr>
                <w:rFonts w:hint="eastAsia" w:cs="Times New Roman"/>
                <w:sz w:val="21"/>
                <w:szCs w:val="21"/>
              </w:rPr>
              <w:t>，</w:t>
            </w:r>
            <w:r>
              <w:rPr>
                <w:rFonts w:cs="Times New Roman"/>
                <w:sz w:val="21"/>
                <w:szCs w:val="21"/>
              </w:rPr>
              <w:t>刘良军</w:t>
            </w:r>
            <w:r>
              <w:rPr>
                <w:rFonts w:hint="eastAsia" w:cs="Times New Roman"/>
                <w:sz w:val="21"/>
                <w:szCs w:val="21"/>
              </w:rPr>
              <w:t>，</w:t>
            </w:r>
            <w:r>
              <w:rPr>
                <w:rFonts w:cs="Times New Roman"/>
                <w:sz w:val="21"/>
                <w:szCs w:val="21"/>
              </w:rPr>
              <w:t>伍广洪</w:t>
            </w:r>
          </w:p>
        </w:tc>
        <w:tc>
          <w:tcPr>
            <w:tcW w:w="85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专利</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四纹豆象的分子标记序列及检测方法</w:t>
            </w:r>
          </w:p>
        </w:tc>
        <w:tc>
          <w:tcPr>
            <w:tcW w:w="68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ZL20151 0587739.1</w:t>
            </w:r>
          </w:p>
        </w:tc>
        <w:tc>
          <w:tcPr>
            <w:tcW w:w="102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2017.11.21</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2707967</w:t>
            </w:r>
          </w:p>
        </w:tc>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中国农业科学院作物科学研究所</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段灿星</w:t>
            </w:r>
            <w:r>
              <w:rPr>
                <w:rFonts w:hint="eastAsia" w:cs="Times New Roman"/>
                <w:sz w:val="21"/>
                <w:szCs w:val="21"/>
              </w:rPr>
              <w:t>，</w:t>
            </w:r>
            <w:r>
              <w:rPr>
                <w:rFonts w:cs="Times New Roman"/>
                <w:sz w:val="21"/>
                <w:szCs w:val="21"/>
              </w:rPr>
              <w:t>朱振东</w:t>
            </w:r>
            <w:r>
              <w:rPr>
                <w:rFonts w:hint="eastAsia" w:cs="Times New Roman"/>
                <w:sz w:val="21"/>
                <w:szCs w:val="21"/>
              </w:rPr>
              <w:t>，</w:t>
            </w:r>
            <w:r>
              <w:rPr>
                <w:rFonts w:cs="Times New Roman"/>
                <w:sz w:val="21"/>
                <w:szCs w:val="21"/>
              </w:rPr>
              <w:t>王晓鸣</w:t>
            </w:r>
            <w:r>
              <w:rPr>
                <w:rFonts w:hint="eastAsia" w:cs="Times New Roman"/>
                <w:sz w:val="21"/>
                <w:szCs w:val="21"/>
              </w:rPr>
              <w:t>，</w:t>
            </w:r>
            <w:r>
              <w:rPr>
                <w:rFonts w:cs="Times New Roman"/>
                <w:sz w:val="21"/>
                <w:szCs w:val="21"/>
              </w:rPr>
              <w:t>孙素丽</w:t>
            </w:r>
            <w:r>
              <w:rPr>
                <w:rFonts w:hint="eastAsia" w:cs="Times New Roman"/>
                <w:sz w:val="21"/>
                <w:szCs w:val="21"/>
              </w:rPr>
              <w:t>，</w:t>
            </w:r>
            <w:r>
              <w:rPr>
                <w:rFonts w:cs="Times New Roman"/>
                <w:sz w:val="21"/>
                <w:szCs w:val="21"/>
              </w:rPr>
              <w:t>李丹丹</w:t>
            </w:r>
            <w:r>
              <w:rPr>
                <w:rFonts w:hint="eastAsia" w:cs="Times New Roman"/>
                <w:sz w:val="21"/>
                <w:szCs w:val="21"/>
              </w:rPr>
              <w:t>，</w:t>
            </w:r>
            <w:r>
              <w:rPr>
                <w:rFonts w:cs="Times New Roman"/>
                <w:sz w:val="21"/>
                <w:szCs w:val="21"/>
              </w:rPr>
              <w:t>武小菲</w:t>
            </w:r>
          </w:p>
        </w:tc>
        <w:tc>
          <w:tcPr>
            <w:tcW w:w="85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标准</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绿豆种质资源描述规范和数据标准</w:t>
            </w:r>
          </w:p>
        </w:tc>
        <w:tc>
          <w:tcPr>
            <w:tcW w:w="68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ISBN7-109-11016-8</w:t>
            </w:r>
          </w:p>
        </w:tc>
        <w:tc>
          <w:tcPr>
            <w:tcW w:w="102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2006.8</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中国农业出版社</w:t>
            </w:r>
          </w:p>
        </w:tc>
        <w:tc>
          <w:tcPr>
            <w:tcW w:w="1136"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中国农业科学院作物科学研究所</w:t>
            </w:r>
          </w:p>
        </w:tc>
        <w:tc>
          <w:tcPr>
            <w:tcW w:w="1133"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程须珍</w:t>
            </w:r>
            <w:r>
              <w:rPr>
                <w:rFonts w:hint="eastAsia" w:cs="Times New Roman"/>
                <w:sz w:val="21"/>
                <w:szCs w:val="21"/>
              </w:rPr>
              <w:t>，</w:t>
            </w:r>
            <w:r>
              <w:rPr>
                <w:rFonts w:cs="Times New Roman"/>
                <w:sz w:val="21"/>
                <w:szCs w:val="21"/>
              </w:rPr>
              <w:t>王素华</w:t>
            </w:r>
            <w:r>
              <w:rPr>
                <w:rFonts w:hint="eastAsia" w:cs="Times New Roman"/>
                <w:sz w:val="21"/>
                <w:szCs w:val="21"/>
              </w:rPr>
              <w:t>，</w:t>
            </w:r>
            <w:r>
              <w:rPr>
                <w:rFonts w:cs="Times New Roman"/>
                <w:sz w:val="21"/>
                <w:szCs w:val="21"/>
              </w:rPr>
              <w:t>王丽侠</w:t>
            </w:r>
          </w:p>
        </w:tc>
        <w:tc>
          <w:tcPr>
            <w:tcW w:w="850" w:type="dxa"/>
            <w:vAlign w:val="center"/>
          </w:tcPr>
          <w:p>
            <w:pPr>
              <w:spacing w:line="270" w:lineRule="exact"/>
              <w:ind w:firstLine="0" w:firstLineChars="0"/>
              <w:jc w:val="center"/>
              <w:rPr>
                <w:rFonts w:ascii="宋体" w:hAnsi="宋体"/>
                <w:color w:val="000000"/>
                <w:sz w:val="21"/>
                <w:szCs w:val="21"/>
              </w:rPr>
            </w:pPr>
            <w:r>
              <w:rPr>
                <w:rFonts w:cs="Times New Roman"/>
                <w:sz w:val="21"/>
                <w:szCs w:val="21"/>
              </w:rPr>
              <w:t>有效</w:t>
            </w:r>
          </w:p>
        </w:tc>
      </w:tr>
    </w:tbl>
    <w:p>
      <w:pPr>
        <w:pStyle w:val="3"/>
        <w:spacing w:before="156"/>
      </w:pPr>
      <w:r>
        <w:rPr>
          <w:rFonts w:hint="eastAsia"/>
        </w:rPr>
        <w:t>七、主要完成人情况</w:t>
      </w:r>
    </w:p>
    <w:tbl>
      <w:tblPr>
        <w:tblStyle w:val="9"/>
        <w:tblW w:w="9354" w:type="dxa"/>
        <w:jc w:val="center"/>
        <w:tblInd w:w="-9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b/>
                <w:bCs/>
                <w:sz w:val="21"/>
                <w:szCs w:val="21"/>
              </w:rPr>
            </w:pPr>
            <w:r>
              <w:rPr>
                <w:rFonts w:cs="Times New Roman"/>
                <w:b/>
                <w:bCs/>
                <w:sz w:val="21"/>
                <w:szCs w:val="21"/>
              </w:rPr>
              <w:t>姓 名</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b/>
                <w:bCs/>
                <w:sz w:val="21"/>
                <w:szCs w:val="21"/>
              </w:rPr>
            </w:pPr>
            <w:r>
              <w:rPr>
                <w:rFonts w:cs="Times New Roman"/>
                <w:b/>
                <w:bCs/>
                <w:sz w:val="21"/>
                <w:szCs w:val="21"/>
              </w:rPr>
              <w:t>排名</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b/>
                <w:bCs/>
                <w:sz w:val="21"/>
                <w:szCs w:val="21"/>
              </w:rPr>
            </w:pPr>
            <w:r>
              <w:rPr>
                <w:rFonts w:cs="Times New Roman"/>
                <w:b/>
                <w:bCs/>
                <w:sz w:val="21"/>
                <w:szCs w:val="21"/>
              </w:rPr>
              <w:t>行政</w:t>
            </w:r>
          </w:p>
          <w:p>
            <w:pPr>
              <w:spacing w:line="270" w:lineRule="exact"/>
              <w:ind w:firstLine="0" w:firstLineChars="0"/>
              <w:jc w:val="center"/>
              <w:rPr>
                <w:rFonts w:cs="Times New Roman"/>
                <w:b/>
                <w:bCs/>
                <w:sz w:val="21"/>
                <w:szCs w:val="21"/>
              </w:rPr>
            </w:pPr>
            <w:r>
              <w:rPr>
                <w:rFonts w:cs="Times New Roman"/>
                <w:b/>
                <w:bCs/>
                <w:sz w:val="21"/>
                <w:szCs w:val="21"/>
              </w:rPr>
              <w:t>职务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b/>
                <w:bCs/>
                <w:sz w:val="21"/>
                <w:szCs w:val="21"/>
              </w:rPr>
            </w:pPr>
            <w:r>
              <w:rPr>
                <w:rFonts w:cs="Times New Roman"/>
                <w:b/>
                <w:bCs/>
                <w:sz w:val="21"/>
                <w:szCs w:val="21"/>
              </w:rPr>
              <w:t>技术</w:t>
            </w:r>
          </w:p>
          <w:p>
            <w:pPr>
              <w:spacing w:line="270" w:lineRule="exact"/>
              <w:ind w:firstLine="0" w:firstLineChars="0"/>
              <w:jc w:val="center"/>
              <w:rPr>
                <w:rFonts w:cs="Times New Roman"/>
                <w:b/>
                <w:bCs/>
                <w:sz w:val="21"/>
                <w:szCs w:val="21"/>
              </w:rPr>
            </w:pPr>
            <w:r>
              <w:rPr>
                <w:rFonts w:cs="Times New Roman"/>
                <w:b/>
                <w:bCs/>
                <w:sz w:val="21"/>
                <w:szCs w:val="21"/>
              </w:rPr>
              <w:t>职称</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b/>
                <w:bCs/>
                <w:sz w:val="21"/>
                <w:szCs w:val="21"/>
              </w:rPr>
            </w:pPr>
            <w:r>
              <w:rPr>
                <w:rFonts w:cs="Times New Roman"/>
                <w:b/>
                <w:bCs/>
                <w:sz w:val="21"/>
                <w:szCs w:val="21"/>
              </w:rPr>
              <w:t>工作</w:t>
            </w:r>
          </w:p>
          <w:p>
            <w:pPr>
              <w:spacing w:line="270" w:lineRule="exact"/>
              <w:ind w:firstLine="0" w:firstLineChars="0"/>
              <w:jc w:val="center"/>
              <w:rPr>
                <w:rFonts w:cs="Times New Roman"/>
                <w:b/>
                <w:bCs/>
                <w:sz w:val="21"/>
                <w:szCs w:val="21"/>
              </w:rPr>
            </w:pPr>
            <w:r>
              <w:rPr>
                <w:rFonts w:cs="Times New Roman"/>
                <w:b/>
                <w:bCs/>
                <w:sz w:val="21"/>
                <w:szCs w:val="21"/>
              </w:rPr>
              <w:t>单位</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b/>
                <w:bCs/>
                <w:color w:val="0D0D0D"/>
                <w:sz w:val="21"/>
                <w:szCs w:val="21"/>
              </w:rPr>
            </w:pPr>
            <w:r>
              <w:rPr>
                <w:rFonts w:cs="Times New Roman"/>
                <w:b/>
                <w:bCs/>
                <w:color w:val="0D0D0D"/>
                <w:sz w:val="21"/>
                <w:szCs w:val="21"/>
              </w:rPr>
              <w:t>完成</w:t>
            </w:r>
          </w:p>
          <w:p>
            <w:pPr>
              <w:spacing w:line="270" w:lineRule="exact"/>
              <w:ind w:firstLine="0" w:firstLineChars="0"/>
              <w:jc w:val="center"/>
              <w:rPr>
                <w:rFonts w:cs="Times New Roman"/>
                <w:b/>
                <w:bCs/>
                <w:color w:val="0D0D0D"/>
                <w:sz w:val="21"/>
                <w:szCs w:val="21"/>
              </w:rPr>
            </w:pPr>
            <w:r>
              <w:rPr>
                <w:rFonts w:cs="Times New Roman"/>
                <w:b/>
                <w:bCs/>
                <w:color w:val="0D0D0D"/>
                <w:sz w:val="21"/>
                <w:szCs w:val="21"/>
              </w:rPr>
              <w:t>单位</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b/>
                <w:bCs/>
                <w:sz w:val="21"/>
                <w:szCs w:val="21"/>
              </w:rPr>
            </w:pPr>
            <w:r>
              <w:rPr>
                <w:rFonts w:cs="Times New Roman"/>
                <w:b/>
                <w:bCs/>
                <w:color w:val="0D0D0D"/>
                <w:sz w:val="21"/>
                <w:szCs w:val="21"/>
              </w:rPr>
              <w:t>对本项目贡献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程须珍</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1</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hint="eastAsia" w:eastAsia="仿宋" w:cs="Times New Roman"/>
                <w:sz w:val="21"/>
                <w:szCs w:val="21"/>
                <w:lang w:val="en-US" w:eastAsia="zh-CN"/>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研究员</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left"/>
              <w:rPr>
                <w:rFonts w:cs="Times New Roman"/>
                <w:sz w:val="21"/>
                <w:szCs w:val="21"/>
              </w:rPr>
            </w:pPr>
            <w:r>
              <w:rPr>
                <w:rFonts w:cs="Times New Roman"/>
                <w:sz w:val="21"/>
                <w:szCs w:val="21"/>
              </w:rPr>
              <w:t>项目主持，（1）创建抗豆象、叶斑病和抗枯萎病等重要性状鉴定技术，挖掘出优异种质；（2）创建了绿豆种间远缘杂交、化学诱变等种质创制技术体系，创制出一批优异新种质</w:t>
            </w:r>
            <w:r>
              <w:rPr>
                <w:rFonts w:hint="eastAsia" w:cs="Times New Roman"/>
                <w:sz w:val="21"/>
                <w:szCs w:val="21"/>
              </w:rPr>
              <w:t>；</w:t>
            </w:r>
            <w:r>
              <w:rPr>
                <w:rFonts w:cs="Times New Roman"/>
                <w:sz w:val="21"/>
                <w:szCs w:val="21"/>
              </w:rPr>
              <w:t>（3）挖掘抗豆象、抗旱、耐盐等基因，建立分子标记育种技术体系；（4）创新育种技术，通过复合杂交与分子标记相结合的聚合育种技术，聚合多个优异基因，培育出生产上急需突破性绿豆新品种4个；（5）发表相关论文20余篇，出版专著10部，研制标准</w:t>
            </w:r>
            <w:r>
              <w:rPr>
                <w:rFonts w:hint="eastAsia" w:cs="Times New Roman"/>
                <w:sz w:val="21"/>
                <w:szCs w:val="21"/>
              </w:rPr>
              <w:t>2</w:t>
            </w:r>
            <w:r>
              <w:rPr>
                <w:rFonts w:cs="Times New Roman"/>
                <w:sz w:val="21"/>
                <w:szCs w:val="21"/>
              </w:rPr>
              <w:t>项。投入该成果的工作总量占95%。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王素华</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2</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高级实验师</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left"/>
              <w:rPr>
                <w:rFonts w:cs="Times New Roman"/>
                <w:sz w:val="21"/>
                <w:szCs w:val="21"/>
              </w:rPr>
            </w:pPr>
            <w:r>
              <w:rPr>
                <w:rFonts w:cs="Times New Roman"/>
                <w:sz w:val="21"/>
                <w:szCs w:val="21"/>
              </w:rPr>
              <w:t>参加（1）创建抗豆象、叶斑病和抗枯萎病等重要性状鉴定技术，挖掘出优异种质；（4）创新育种技术，通过复合杂交与分子标记相结合的聚合育种技术，聚合多个优异基因,培育出生产急需突破性绿豆新品种4个；投入该成果工作总量占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陈红霖</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3</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助研</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left"/>
              <w:rPr>
                <w:rFonts w:cs="Times New Roman"/>
                <w:sz w:val="21"/>
                <w:szCs w:val="21"/>
              </w:rPr>
            </w:pPr>
            <w:r>
              <w:rPr>
                <w:rFonts w:cs="Times New Roman"/>
                <w:sz w:val="21"/>
                <w:szCs w:val="21"/>
              </w:rPr>
              <w:t>参加了（1）挖掘抗豆象、抗旱、耐盐等基因，建立分子标记育种技术体系；（4）创新育种技术，通过复合杂交与分子标记相结合的聚合育种技术，聚合多个优异基因，培育出生产上急需突破性绿豆新品种4个；投入该成果工作总量占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91" w:hRule="atLeast"/>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万正煌</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4</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研究员</w:t>
            </w:r>
          </w:p>
        </w:tc>
        <w:tc>
          <w:tcPr>
            <w:tcW w:w="964" w:type="dxa"/>
            <w:tcBorders>
              <w:top w:val="single" w:color="000000" w:sz="4" w:space="0"/>
              <w:left w:val="single" w:color="000000" w:sz="4" w:space="0"/>
              <w:bottom w:val="single" w:color="000000" w:sz="4" w:space="0"/>
              <w:right w:val="single" w:color="000000" w:sz="4" w:space="0"/>
            </w:tcBorders>
            <w:shd w:val="clear" w:color="auto" w:fill="auto"/>
          </w:tcPr>
          <w:p>
            <w:pPr>
              <w:spacing w:line="270" w:lineRule="exact"/>
              <w:ind w:firstLine="0" w:firstLineChars="0"/>
              <w:jc w:val="center"/>
              <w:rPr>
                <w:rFonts w:cs="Times New Roman"/>
                <w:sz w:val="21"/>
                <w:szCs w:val="21"/>
              </w:rPr>
            </w:pPr>
            <w:r>
              <w:rPr>
                <w:rFonts w:cs="Times New Roman"/>
                <w:sz w:val="21"/>
                <w:szCs w:val="21"/>
              </w:rPr>
              <w:t>湖北省农业科学院经济作物研究所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tcPr>
          <w:p>
            <w:pPr>
              <w:spacing w:line="270" w:lineRule="exact"/>
              <w:ind w:firstLine="0" w:firstLineChars="0"/>
              <w:jc w:val="center"/>
              <w:rPr>
                <w:rFonts w:cs="Times New Roman"/>
                <w:sz w:val="21"/>
                <w:szCs w:val="21"/>
              </w:rPr>
            </w:pPr>
            <w:r>
              <w:rPr>
                <w:rFonts w:cs="Times New Roman"/>
                <w:sz w:val="21"/>
                <w:szCs w:val="21"/>
              </w:rPr>
              <w:t>湖北省农业科学院经济作物研究所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left"/>
              <w:rPr>
                <w:rFonts w:cs="Times New Roman"/>
                <w:sz w:val="21"/>
                <w:szCs w:val="21"/>
              </w:rPr>
            </w:pPr>
            <w:r>
              <w:rPr>
                <w:rFonts w:cs="Times New Roman"/>
                <w:sz w:val="21"/>
                <w:szCs w:val="21"/>
              </w:rPr>
              <w:t>参加了（1）创建抗豆象、叶斑病和抗枯萎病等重要性状鉴定技术，挖掘出优异种质；（2）创新优异资源和新种质利用，选育出国内首例高抗豆象、抗叶斑病等优异特性的新品种。投入该成果的工作总量占55%</w:t>
            </w:r>
            <w:r>
              <w:rPr>
                <w:rFonts w:hint="eastAsia" w:cs="Times New Roman"/>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王丽侠</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5</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副研</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left"/>
              <w:rPr>
                <w:rFonts w:cs="Times New Roman"/>
                <w:sz w:val="21"/>
                <w:szCs w:val="21"/>
              </w:rPr>
            </w:pPr>
            <w:r>
              <w:rPr>
                <w:rFonts w:cs="Times New Roman"/>
                <w:sz w:val="21"/>
                <w:szCs w:val="21"/>
              </w:rPr>
              <w:t>参加了（1）发表相关论文10余篇，出版专著5部，形成标准1项。（1）创建抗豆象、叶斑病和抗枯萎病等重要性状鉴定技术，挖掘出优异种质；（2）创建了绿豆种间远缘杂交、化学诱变等种质创制技术体系，创制出一批优异新种质；（3）挖掘抗豆象、抗旱、耐盐等基因，建立分子标记育种技术体系；（4）创新育种技术，通过复合杂交与分子标记相结合的聚合育种技术，聚合多个优异基因，培育出生产上急需突破性绿豆新品种4个；投入该成果工作总量占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段灿星</w:t>
            </w:r>
          </w:p>
        </w:tc>
        <w:tc>
          <w:tcPr>
            <w:tcW w:w="4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6</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hint="eastAsia" w:cs="Times New Roman"/>
                <w:sz w:val="21"/>
                <w:szCs w:val="21"/>
                <w:lang w:val="en-US" w:eastAsia="zh-CN"/>
              </w:rPr>
              <w:t>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副研</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center"/>
              <w:rPr>
                <w:rFonts w:cs="Times New Roman"/>
                <w:sz w:val="21"/>
                <w:szCs w:val="21"/>
              </w:rPr>
            </w:pPr>
            <w:r>
              <w:rPr>
                <w:rFonts w:cs="Times New Roman"/>
                <w:sz w:val="21"/>
                <w:szCs w:val="21"/>
              </w:rPr>
              <w:t>中国农业科学院作物科学研究所</w:t>
            </w:r>
          </w:p>
        </w:tc>
        <w:tc>
          <w:tcPr>
            <w:tcW w:w="459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7"/>
              <w:spacing w:line="270" w:lineRule="exact"/>
              <w:ind w:firstLine="0" w:firstLineChars="0"/>
              <w:jc w:val="left"/>
              <w:rPr>
                <w:rFonts w:cs="Times New Roman"/>
                <w:sz w:val="21"/>
                <w:szCs w:val="21"/>
              </w:rPr>
            </w:pPr>
            <w:r>
              <w:rPr>
                <w:rFonts w:cs="Times New Roman"/>
                <w:sz w:val="21"/>
                <w:szCs w:val="21"/>
              </w:rPr>
              <w:t>参加了（1）创建抗豆象、叶斑病和抗枯萎病等重要性状鉴定技术，挖掘出优异种质；投入该成果的工作总量占30%。</w:t>
            </w:r>
          </w:p>
        </w:tc>
      </w:tr>
    </w:tbl>
    <w:p>
      <w:pPr>
        <w:pStyle w:val="3"/>
        <w:spacing w:before="156"/>
      </w:pPr>
      <w:r>
        <w:rPr>
          <w:rFonts w:hint="eastAsia"/>
        </w:rPr>
        <w:t>八、完成人合作关系说明</w:t>
      </w:r>
    </w:p>
    <w:p>
      <w:pPr>
        <w:ind w:firstLine="640"/>
      </w:pPr>
      <w:r>
        <w:rPr>
          <w:rFonts w:hint="eastAsia"/>
        </w:rPr>
        <w:t>本项目由中国农业科学院作物科学研究所与湖北省农业科学院两家单位联合申报。针对我国绿豆生产存在的主要问题及各生态区产业特点，组建协作攻关小组，依托国家科技项目，开展资源收集、评价筛选、基因挖掘、新品种等研究，逐渐形成一支稳定的科研队伍。其中，自“八五”以来，本项目所有完成人均参加了由中国农业科学院作物科学研究所（原品种资源研究所）主持的国家“八五”重点科技攻关项目“食用豆资源繁种、编目及农艺性状鉴定”（850010204-3，1991-1995年），联合开展不同省市绿豆资源的收集考察、评价鉴定及入交国家库保存等工作，参与了国家科技支撑计划“出口杂豆品种改良及产业化示范”（2006BAD02B08，2006-2010年），及公益性行业科研专项“食用豆类资源初级核心样本和新品种配套栽培技术研究与集成”（nyhyzx07-017，2007-2010年），现代农业产业技术体系建设“国家食用豆产业技术体系”（nyhyzx07-017，2009-2013年；CARS-09，2011-2015年）等项目工作；其中第1、2完成人还参与了国家自然科学基金“绿豆抗豆象种质遗传与创新研究”（30170635，2002-2004年），第1、2、5完成人参与了国家自然科学基金“绿豆抗豆象基因的精细定位与应用研究”（30871565，2009-2011年），第1、2、3、5完成人参与了国家自然科学基金“基于转录组测序的绿豆抗豆象特异新标记开发及新基因Br2精细定位”（31401442，2015-2017年），共同完成抗豆象种质遗传、创新种质、选育新品种及标记开发和精细定位等工作；所有完成人根据课题的总体研究思路和技术方案，具体承担本省、市所在生态区等绿豆种质资源研究及重要育种性状评价与创新利用研究。详见“食用豆资源繁种、编目及农艺性状鉴定（850010204-3）”、“食用豆类资源初级核心样本和新品种配套栽培技术研究与集成”（nyhyzx07-017）、“国家食用豆产业技术体系”（nycytx-18，CARS-09），“出口杂豆品种改良及产业化示范”（2006BAD02B08）课题任务书参加人员名单与验收报告等（见附件）。</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41BAE7"/>
    <w:multiLevelType w:val="singleLevel"/>
    <w:tmpl w:val="CA41BAE7"/>
    <w:lvl w:ilvl="0" w:tentative="0">
      <w:start w:val="1"/>
      <w:numFmt w:val="chineseCounting"/>
      <w:suff w:val="nothing"/>
      <w:lvlText w:val="%1、"/>
      <w:lvlJc w:val="left"/>
      <w:rPr>
        <w:rFonts w:hint="eastAsia"/>
      </w:rPr>
    </w:lvl>
  </w:abstractNum>
  <w:abstractNum w:abstractNumId="1">
    <w:nsid w:val="410F9B1B"/>
    <w:multiLevelType w:val="singleLevel"/>
    <w:tmpl w:val="410F9B1B"/>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C47F41"/>
    <w:rsid w:val="00000C94"/>
    <w:rsid w:val="00001546"/>
    <w:rsid w:val="00002FF8"/>
    <w:rsid w:val="00003755"/>
    <w:rsid w:val="000063FB"/>
    <w:rsid w:val="00010654"/>
    <w:rsid w:val="00013CE6"/>
    <w:rsid w:val="00014B7E"/>
    <w:rsid w:val="0002060F"/>
    <w:rsid w:val="00021878"/>
    <w:rsid w:val="000268A8"/>
    <w:rsid w:val="00036EA3"/>
    <w:rsid w:val="000401E9"/>
    <w:rsid w:val="0004488B"/>
    <w:rsid w:val="00044C6B"/>
    <w:rsid w:val="0005368E"/>
    <w:rsid w:val="00053B7F"/>
    <w:rsid w:val="000617AE"/>
    <w:rsid w:val="00063727"/>
    <w:rsid w:val="000673BC"/>
    <w:rsid w:val="000700A8"/>
    <w:rsid w:val="00070414"/>
    <w:rsid w:val="00074483"/>
    <w:rsid w:val="00077BBD"/>
    <w:rsid w:val="00081598"/>
    <w:rsid w:val="00083F91"/>
    <w:rsid w:val="00092B63"/>
    <w:rsid w:val="000B1EBB"/>
    <w:rsid w:val="000B31A6"/>
    <w:rsid w:val="000B53A9"/>
    <w:rsid w:val="000B74BB"/>
    <w:rsid w:val="000C2D4E"/>
    <w:rsid w:val="000C4630"/>
    <w:rsid w:val="000C7683"/>
    <w:rsid w:val="000D1DF0"/>
    <w:rsid w:val="000D4BC5"/>
    <w:rsid w:val="000D634E"/>
    <w:rsid w:val="000D6E94"/>
    <w:rsid w:val="000E2446"/>
    <w:rsid w:val="000E5352"/>
    <w:rsid w:val="000E7E81"/>
    <w:rsid w:val="000F4F73"/>
    <w:rsid w:val="00100578"/>
    <w:rsid w:val="00105E68"/>
    <w:rsid w:val="001076EB"/>
    <w:rsid w:val="001121F9"/>
    <w:rsid w:val="0011334F"/>
    <w:rsid w:val="00113CF0"/>
    <w:rsid w:val="00114CE4"/>
    <w:rsid w:val="00114F48"/>
    <w:rsid w:val="00115D6B"/>
    <w:rsid w:val="001167A8"/>
    <w:rsid w:val="00116C03"/>
    <w:rsid w:val="00132282"/>
    <w:rsid w:val="0013533F"/>
    <w:rsid w:val="001363B8"/>
    <w:rsid w:val="00141250"/>
    <w:rsid w:val="00154770"/>
    <w:rsid w:val="00162497"/>
    <w:rsid w:val="00167D46"/>
    <w:rsid w:val="001716FF"/>
    <w:rsid w:val="0017336D"/>
    <w:rsid w:val="00173A63"/>
    <w:rsid w:val="00173E5B"/>
    <w:rsid w:val="00184B44"/>
    <w:rsid w:val="00185526"/>
    <w:rsid w:val="00187483"/>
    <w:rsid w:val="001875A7"/>
    <w:rsid w:val="00191554"/>
    <w:rsid w:val="00193C4C"/>
    <w:rsid w:val="0019499E"/>
    <w:rsid w:val="001978A2"/>
    <w:rsid w:val="001A03CB"/>
    <w:rsid w:val="001A1962"/>
    <w:rsid w:val="001B03D0"/>
    <w:rsid w:val="001B362E"/>
    <w:rsid w:val="001B5921"/>
    <w:rsid w:val="001B6941"/>
    <w:rsid w:val="001C44A9"/>
    <w:rsid w:val="001C5B1B"/>
    <w:rsid w:val="001C7E05"/>
    <w:rsid w:val="001D3601"/>
    <w:rsid w:val="001D654A"/>
    <w:rsid w:val="001D7851"/>
    <w:rsid w:val="001E51FF"/>
    <w:rsid w:val="001E68A4"/>
    <w:rsid w:val="001E6E04"/>
    <w:rsid w:val="001F3885"/>
    <w:rsid w:val="002038C2"/>
    <w:rsid w:val="00204C32"/>
    <w:rsid w:val="002069AD"/>
    <w:rsid w:val="00210F67"/>
    <w:rsid w:val="002135E8"/>
    <w:rsid w:val="00220329"/>
    <w:rsid w:val="002230E7"/>
    <w:rsid w:val="002322B7"/>
    <w:rsid w:val="0023384D"/>
    <w:rsid w:val="0024020C"/>
    <w:rsid w:val="00240CDD"/>
    <w:rsid w:val="00244058"/>
    <w:rsid w:val="002447FB"/>
    <w:rsid w:val="00245DE2"/>
    <w:rsid w:val="00247757"/>
    <w:rsid w:val="00247AC2"/>
    <w:rsid w:val="002514DD"/>
    <w:rsid w:val="00253FA8"/>
    <w:rsid w:val="00256500"/>
    <w:rsid w:val="00256D12"/>
    <w:rsid w:val="002579FA"/>
    <w:rsid w:val="00260296"/>
    <w:rsid w:val="00260718"/>
    <w:rsid w:val="002611A8"/>
    <w:rsid w:val="0026294A"/>
    <w:rsid w:val="00267D6C"/>
    <w:rsid w:val="00270490"/>
    <w:rsid w:val="00273EAD"/>
    <w:rsid w:val="0027402E"/>
    <w:rsid w:val="00274208"/>
    <w:rsid w:val="00286665"/>
    <w:rsid w:val="002924CE"/>
    <w:rsid w:val="002A4047"/>
    <w:rsid w:val="002A7A8B"/>
    <w:rsid w:val="002B0690"/>
    <w:rsid w:val="002B1A5C"/>
    <w:rsid w:val="002B223D"/>
    <w:rsid w:val="002B3647"/>
    <w:rsid w:val="002C0664"/>
    <w:rsid w:val="002C31B1"/>
    <w:rsid w:val="002C7D9C"/>
    <w:rsid w:val="002D1AC5"/>
    <w:rsid w:val="002D4688"/>
    <w:rsid w:val="002D5655"/>
    <w:rsid w:val="002D7427"/>
    <w:rsid w:val="002E0292"/>
    <w:rsid w:val="002E2CFF"/>
    <w:rsid w:val="002F2A6D"/>
    <w:rsid w:val="002F43EB"/>
    <w:rsid w:val="00301158"/>
    <w:rsid w:val="00306D9A"/>
    <w:rsid w:val="003072EA"/>
    <w:rsid w:val="00310C50"/>
    <w:rsid w:val="00312BE9"/>
    <w:rsid w:val="0031365F"/>
    <w:rsid w:val="0031466F"/>
    <w:rsid w:val="0032293E"/>
    <w:rsid w:val="0032360E"/>
    <w:rsid w:val="00325667"/>
    <w:rsid w:val="0032653A"/>
    <w:rsid w:val="00327CC6"/>
    <w:rsid w:val="003308A5"/>
    <w:rsid w:val="00333E9D"/>
    <w:rsid w:val="003405E2"/>
    <w:rsid w:val="003458F5"/>
    <w:rsid w:val="00352D7A"/>
    <w:rsid w:val="0035696C"/>
    <w:rsid w:val="0035741D"/>
    <w:rsid w:val="00360F73"/>
    <w:rsid w:val="0036370A"/>
    <w:rsid w:val="00363722"/>
    <w:rsid w:val="0036585B"/>
    <w:rsid w:val="003756C6"/>
    <w:rsid w:val="00380BE9"/>
    <w:rsid w:val="003848CD"/>
    <w:rsid w:val="00385434"/>
    <w:rsid w:val="00390255"/>
    <w:rsid w:val="003A1ACB"/>
    <w:rsid w:val="003A4CC4"/>
    <w:rsid w:val="003B7697"/>
    <w:rsid w:val="003C1808"/>
    <w:rsid w:val="003C41E5"/>
    <w:rsid w:val="003C5511"/>
    <w:rsid w:val="003D05F8"/>
    <w:rsid w:val="003D1FAF"/>
    <w:rsid w:val="003E1E51"/>
    <w:rsid w:val="003E7D0E"/>
    <w:rsid w:val="003F0EBF"/>
    <w:rsid w:val="003F4650"/>
    <w:rsid w:val="003F5273"/>
    <w:rsid w:val="003F57FD"/>
    <w:rsid w:val="003F74BE"/>
    <w:rsid w:val="00402880"/>
    <w:rsid w:val="00405EE7"/>
    <w:rsid w:val="0040798D"/>
    <w:rsid w:val="00412A8D"/>
    <w:rsid w:val="0041319C"/>
    <w:rsid w:val="0041380A"/>
    <w:rsid w:val="004155C9"/>
    <w:rsid w:val="004158B6"/>
    <w:rsid w:val="004162BB"/>
    <w:rsid w:val="0042244B"/>
    <w:rsid w:val="004265EE"/>
    <w:rsid w:val="00432A8F"/>
    <w:rsid w:val="0043434A"/>
    <w:rsid w:val="00435CB9"/>
    <w:rsid w:val="0043644A"/>
    <w:rsid w:val="004426CE"/>
    <w:rsid w:val="00442988"/>
    <w:rsid w:val="00444C1C"/>
    <w:rsid w:val="0045228A"/>
    <w:rsid w:val="00456C9D"/>
    <w:rsid w:val="00456FFF"/>
    <w:rsid w:val="004601DF"/>
    <w:rsid w:val="00461940"/>
    <w:rsid w:val="00470146"/>
    <w:rsid w:val="00472E7C"/>
    <w:rsid w:val="00475DA8"/>
    <w:rsid w:val="004778F5"/>
    <w:rsid w:val="00480E83"/>
    <w:rsid w:val="004816B7"/>
    <w:rsid w:val="004A075F"/>
    <w:rsid w:val="004A0AC6"/>
    <w:rsid w:val="004A10B5"/>
    <w:rsid w:val="004A1431"/>
    <w:rsid w:val="004A3D47"/>
    <w:rsid w:val="004A662F"/>
    <w:rsid w:val="004A6CD4"/>
    <w:rsid w:val="004B33D2"/>
    <w:rsid w:val="004C1666"/>
    <w:rsid w:val="004C17F0"/>
    <w:rsid w:val="004C281F"/>
    <w:rsid w:val="004C36FB"/>
    <w:rsid w:val="004E0959"/>
    <w:rsid w:val="004E0F5D"/>
    <w:rsid w:val="004E1EF2"/>
    <w:rsid w:val="004E29BC"/>
    <w:rsid w:val="004E33D8"/>
    <w:rsid w:val="004E577C"/>
    <w:rsid w:val="004E67AF"/>
    <w:rsid w:val="004F02A4"/>
    <w:rsid w:val="004F49AB"/>
    <w:rsid w:val="004F57E1"/>
    <w:rsid w:val="00501706"/>
    <w:rsid w:val="0050516E"/>
    <w:rsid w:val="00514884"/>
    <w:rsid w:val="00521404"/>
    <w:rsid w:val="0052323E"/>
    <w:rsid w:val="00534CBC"/>
    <w:rsid w:val="00535C55"/>
    <w:rsid w:val="005360A8"/>
    <w:rsid w:val="00541B2A"/>
    <w:rsid w:val="00542902"/>
    <w:rsid w:val="00543B0D"/>
    <w:rsid w:val="00547FE4"/>
    <w:rsid w:val="00552EA4"/>
    <w:rsid w:val="005543E4"/>
    <w:rsid w:val="0055554D"/>
    <w:rsid w:val="00556891"/>
    <w:rsid w:val="00557573"/>
    <w:rsid w:val="005630CB"/>
    <w:rsid w:val="0056371E"/>
    <w:rsid w:val="00564EFC"/>
    <w:rsid w:val="0057205A"/>
    <w:rsid w:val="00577DA0"/>
    <w:rsid w:val="00580319"/>
    <w:rsid w:val="005869D0"/>
    <w:rsid w:val="00590D5D"/>
    <w:rsid w:val="00591D20"/>
    <w:rsid w:val="00592114"/>
    <w:rsid w:val="00593756"/>
    <w:rsid w:val="00594656"/>
    <w:rsid w:val="005A1CE7"/>
    <w:rsid w:val="005B36CF"/>
    <w:rsid w:val="005B589A"/>
    <w:rsid w:val="005C1F87"/>
    <w:rsid w:val="005C254D"/>
    <w:rsid w:val="005C26C0"/>
    <w:rsid w:val="005C73A2"/>
    <w:rsid w:val="005D6409"/>
    <w:rsid w:val="005D6935"/>
    <w:rsid w:val="005E254A"/>
    <w:rsid w:val="005E5A37"/>
    <w:rsid w:val="005E6BEF"/>
    <w:rsid w:val="005F109A"/>
    <w:rsid w:val="005F17A7"/>
    <w:rsid w:val="005F3C21"/>
    <w:rsid w:val="005F658D"/>
    <w:rsid w:val="00602896"/>
    <w:rsid w:val="00602DA9"/>
    <w:rsid w:val="00621391"/>
    <w:rsid w:val="00626557"/>
    <w:rsid w:val="00626CD5"/>
    <w:rsid w:val="00627592"/>
    <w:rsid w:val="00630E4D"/>
    <w:rsid w:val="0063122E"/>
    <w:rsid w:val="00632648"/>
    <w:rsid w:val="00634786"/>
    <w:rsid w:val="00635B20"/>
    <w:rsid w:val="00640F08"/>
    <w:rsid w:val="006410E2"/>
    <w:rsid w:val="00644BBD"/>
    <w:rsid w:val="00645B1B"/>
    <w:rsid w:val="0065201F"/>
    <w:rsid w:val="0065205C"/>
    <w:rsid w:val="00654E2D"/>
    <w:rsid w:val="006568FF"/>
    <w:rsid w:val="006642D6"/>
    <w:rsid w:val="00664617"/>
    <w:rsid w:val="00667672"/>
    <w:rsid w:val="00671886"/>
    <w:rsid w:val="00676E9D"/>
    <w:rsid w:val="00683D5E"/>
    <w:rsid w:val="00685329"/>
    <w:rsid w:val="00686C1A"/>
    <w:rsid w:val="006901E9"/>
    <w:rsid w:val="00690550"/>
    <w:rsid w:val="00690C89"/>
    <w:rsid w:val="00691CDA"/>
    <w:rsid w:val="006938DB"/>
    <w:rsid w:val="006A13B8"/>
    <w:rsid w:val="006A30D7"/>
    <w:rsid w:val="006B5981"/>
    <w:rsid w:val="006B664B"/>
    <w:rsid w:val="006C032D"/>
    <w:rsid w:val="006C1427"/>
    <w:rsid w:val="006C323F"/>
    <w:rsid w:val="006C5251"/>
    <w:rsid w:val="006D22DF"/>
    <w:rsid w:val="006D4B2B"/>
    <w:rsid w:val="006E0080"/>
    <w:rsid w:val="006E1D06"/>
    <w:rsid w:val="006E25EA"/>
    <w:rsid w:val="006F17EC"/>
    <w:rsid w:val="006F3102"/>
    <w:rsid w:val="006F5B2F"/>
    <w:rsid w:val="006F7D96"/>
    <w:rsid w:val="00701272"/>
    <w:rsid w:val="007062C8"/>
    <w:rsid w:val="007114DD"/>
    <w:rsid w:val="0071572A"/>
    <w:rsid w:val="00720CD3"/>
    <w:rsid w:val="00721112"/>
    <w:rsid w:val="00722E2D"/>
    <w:rsid w:val="007230CA"/>
    <w:rsid w:val="00737143"/>
    <w:rsid w:val="007373CB"/>
    <w:rsid w:val="007374ED"/>
    <w:rsid w:val="007443B9"/>
    <w:rsid w:val="00746ADF"/>
    <w:rsid w:val="00746B40"/>
    <w:rsid w:val="00746F33"/>
    <w:rsid w:val="00747108"/>
    <w:rsid w:val="00755352"/>
    <w:rsid w:val="00762740"/>
    <w:rsid w:val="0076537C"/>
    <w:rsid w:val="00782B0F"/>
    <w:rsid w:val="0079147E"/>
    <w:rsid w:val="00791B64"/>
    <w:rsid w:val="0079331F"/>
    <w:rsid w:val="00794633"/>
    <w:rsid w:val="00794A23"/>
    <w:rsid w:val="00796FE3"/>
    <w:rsid w:val="00797468"/>
    <w:rsid w:val="007A4E7A"/>
    <w:rsid w:val="007B1237"/>
    <w:rsid w:val="007B35F5"/>
    <w:rsid w:val="007B6C65"/>
    <w:rsid w:val="007C4444"/>
    <w:rsid w:val="007C5E2B"/>
    <w:rsid w:val="007D1346"/>
    <w:rsid w:val="007D2166"/>
    <w:rsid w:val="007D3717"/>
    <w:rsid w:val="007D4AE6"/>
    <w:rsid w:val="007D4EE4"/>
    <w:rsid w:val="007D5169"/>
    <w:rsid w:val="007D68BC"/>
    <w:rsid w:val="007E0A18"/>
    <w:rsid w:val="007E0D7D"/>
    <w:rsid w:val="007E233E"/>
    <w:rsid w:val="007E4569"/>
    <w:rsid w:val="007F00EB"/>
    <w:rsid w:val="007F03C3"/>
    <w:rsid w:val="007F1961"/>
    <w:rsid w:val="007F2946"/>
    <w:rsid w:val="007F336F"/>
    <w:rsid w:val="007F5F45"/>
    <w:rsid w:val="007F7340"/>
    <w:rsid w:val="007F7ADF"/>
    <w:rsid w:val="008001F5"/>
    <w:rsid w:val="0080519C"/>
    <w:rsid w:val="00813CEE"/>
    <w:rsid w:val="008141D6"/>
    <w:rsid w:val="00817BDB"/>
    <w:rsid w:val="008207CD"/>
    <w:rsid w:val="00824A2A"/>
    <w:rsid w:val="00832430"/>
    <w:rsid w:val="00832759"/>
    <w:rsid w:val="00832BB6"/>
    <w:rsid w:val="00832EBC"/>
    <w:rsid w:val="00836565"/>
    <w:rsid w:val="008456C8"/>
    <w:rsid w:val="008457C8"/>
    <w:rsid w:val="00854E02"/>
    <w:rsid w:val="0086336A"/>
    <w:rsid w:val="00863B0B"/>
    <w:rsid w:val="0087119D"/>
    <w:rsid w:val="00873753"/>
    <w:rsid w:val="008822CE"/>
    <w:rsid w:val="008828EC"/>
    <w:rsid w:val="0089098D"/>
    <w:rsid w:val="00894AFB"/>
    <w:rsid w:val="008A30E1"/>
    <w:rsid w:val="008A7316"/>
    <w:rsid w:val="008B02DA"/>
    <w:rsid w:val="008B3E2C"/>
    <w:rsid w:val="008C2DC1"/>
    <w:rsid w:val="008C5A95"/>
    <w:rsid w:val="008C6C63"/>
    <w:rsid w:val="008D0D22"/>
    <w:rsid w:val="008D1833"/>
    <w:rsid w:val="008D6089"/>
    <w:rsid w:val="008D703A"/>
    <w:rsid w:val="008D73E8"/>
    <w:rsid w:val="008E7C44"/>
    <w:rsid w:val="008F3A86"/>
    <w:rsid w:val="008F46C2"/>
    <w:rsid w:val="009027CD"/>
    <w:rsid w:val="00905806"/>
    <w:rsid w:val="00907772"/>
    <w:rsid w:val="009105DF"/>
    <w:rsid w:val="009115F8"/>
    <w:rsid w:val="00914829"/>
    <w:rsid w:val="00916F0B"/>
    <w:rsid w:val="00917418"/>
    <w:rsid w:val="009219F4"/>
    <w:rsid w:val="00921DFB"/>
    <w:rsid w:val="00923318"/>
    <w:rsid w:val="00924738"/>
    <w:rsid w:val="009261D5"/>
    <w:rsid w:val="00930604"/>
    <w:rsid w:val="00932ABA"/>
    <w:rsid w:val="00933BBE"/>
    <w:rsid w:val="00934BD7"/>
    <w:rsid w:val="00944287"/>
    <w:rsid w:val="009459FF"/>
    <w:rsid w:val="00950A3A"/>
    <w:rsid w:val="00950BBC"/>
    <w:rsid w:val="00954164"/>
    <w:rsid w:val="0095629B"/>
    <w:rsid w:val="009569F6"/>
    <w:rsid w:val="00963399"/>
    <w:rsid w:val="00965846"/>
    <w:rsid w:val="0097004B"/>
    <w:rsid w:val="00970B33"/>
    <w:rsid w:val="00974DE8"/>
    <w:rsid w:val="009769B5"/>
    <w:rsid w:val="009774E7"/>
    <w:rsid w:val="009822B3"/>
    <w:rsid w:val="0098402E"/>
    <w:rsid w:val="00990696"/>
    <w:rsid w:val="00993BAA"/>
    <w:rsid w:val="00995710"/>
    <w:rsid w:val="00996343"/>
    <w:rsid w:val="009B3E6C"/>
    <w:rsid w:val="009B4B93"/>
    <w:rsid w:val="009B5DE0"/>
    <w:rsid w:val="009B788A"/>
    <w:rsid w:val="009D54E5"/>
    <w:rsid w:val="009E17F2"/>
    <w:rsid w:val="009F51D0"/>
    <w:rsid w:val="009F5F89"/>
    <w:rsid w:val="009F7371"/>
    <w:rsid w:val="009F73FE"/>
    <w:rsid w:val="00A0043F"/>
    <w:rsid w:val="00A004EF"/>
    <w:rsid w:val="00A010CD"/>
    <w:rsid w:val="00A04AB7"/>
    <w:rsid w:val="00A0554E"/>
    <w:rsid w:val="00A07CF9"/>
    <w:rsid w:val="00A14102"/>
    <w:rsid w:val="00A1685A"/>
    <w:rsid w:val="00A203E8"/>
    <w:rsid w:val="00A208B1"/>
    <w:rsid w:val="00A2201D"/>
    <w:rsid w:val="00A238C6"/>
    <w:rsid w:val="00A24CE7"/>
    <w:rsid w:val="00A27024"/>
    <w:rsid w:val="00A31AE0"/>
    <w:rsid w:val="00A320BD"/>
    <w:rsid w:val="00A35760"/>
    <w:rsid w:val="00A36D83"/>
    <w:rsid w:val="00A41FE6"/>
    <w:rsid w:val="00A45E2D"/>
    <w:rsid w:val="00A50F0E"/>
    <w:rsid w:val="00A51A6F"/>
    <w:rsid w:val="00A6092F"/>
    <w:rsid w:val="00A63F50"/>
    <w:rsid w:val="00A66F2C"/>
    <w:rsid w:val="00A708FA"/>
    <w:rsid w:val="00A711AC"/>
    <w:rsid w:val="00A778B8"/>
    <w:rsid w:val="00A811F4"/>
    <w:rsid w:val="00A816A0"/>
    <w:rsid w:val="00A83EE3"/>
    <w:rsid w:val="00A84FCB"/>
    <w:rsid w:val="00A853F4"/>
    <w:rsid w:val="00A91F0B"/>
    <w:rsid w:val="00AA0FC6"/>
    <w:rsid w:val="00AA549A"/>
    <w:rsid w:val="00AA6F6D"/>
    <w:rsid w:val="00AA6FF9"/>
    <w:rsid w:val="00AB0366"/>
    <w:rsid w:val="00AB6099"/>
    <w:rsid w:val="00AB6A91"/>
    <w:rsid w:val="00AC440F"/>
    <w:rsid w:val="00AC7D09"/>
    <w:rsid w:val="00AD20BA"/>
    <w:rsid w:val="00AD2324"/>
    <w:rsid w:val="00AD6334"/>
    <w:rsid w:val="00AE0D49"/>
    <w:rsid w:val="00AE2FE5"/>
    <w:rsid w:val="00AE46A3"/>
    <w:rsid w:val="00AE580D"/>
    <w:rsid w:val="00AF20EB"/>
    <w:rsid w:val="00AF37CB"/>
    <w:rsid w:val="00AF6819"/>
    <w:rsid w:val="00AF7C4F"/>
    <w:rsid w:val="00B012B9"/>
    <w:rsid w:val="00B0751D"/>
    <w:rsid w:val="00B07EC8"/>
    <w:rsid w:val="00B1269A"/>
    <w:rsid w:val="00B13BEA"/>
    <w:rsid w:val="00B20A31"/>
    <w:rsid w:val="00B239CE"/>
    <w:rsid w:val="00B26935"/>
    <w:rsid w:val="00B27B03"/>
    <w:rsid w:val="00B34609"/>
    <w:rsid w:val="00B355C7"/>
    <w:rsid w:val="00B45784"/>
    <w:rsid w:val="00B46B4B"/>
    <w:rsid w:val="00B4746C"/>
    <w:rsid w:val="00B51B3A"/>
    <w:rsid w:val="00B526C5"/>
    <w:rsid w:val="00B66295"/>
    <w:rsid w:val="00B71DA6"/>
    <w:rsid w:val="00B72B76"/>
    <w:rsid w:val="00B75545"/>
    <w:rsid w:val="00B76C35"/>
    <w:rsid w:val="00B8164C"/>
    <w:rsid w:val="00B83C18"/>
    <w:rsid w:val="00B844B9"/>
    <w:rsid w:val="00B862A8"/>
    <w:rsid w:val="00B91017"/>
    <w:rsid w:val="00B934E9"/>
    <w:rsid w:val="00B9575B"/>
    <w:rsid w:val="00B95C09"/>
    <w:rsid w:val="00B96CA2"/>
    <w:rsid w:val="00BA7A0E"/>
    <w:rsid w:val="00BB13ED"/>
    <w:rsid w:val="00BB56ED"/>
    <w:rsid w:val="00BC01EB"/>
    <w:rsid w:val="00BC04DB"/>
    <w:rsid w:val="00BC2B45"/>
    <w:rsid w:val="00BC3B23"/>
    <w:rsid w:val="00BC3BE4"/>
    <w:rsid w:val="00BC478E"/>
    <w:rsid w:val="00BC64E5"/>
    <w:rsid w:val="00BC6E4E"/>
    <w:rsid w:val="00BD1E2C"/>
    <w:rsid w:val="00BD305C"/>
    <w:rsid w:val="00BD6BB5"/>
    <w:rsid w:val="00BD7E49"/>
    <w:rsid w:val="00BE1371"/>
    <w:rsid w:val="00BE6C97"/>
    <w:rsid w:val="00BF3BA4"/>
    <w:rsid w:val="00C05D77"/>
    <w:rsid w:val="00C10A20"/>
    <w:rsid w:val="00C123DA"/>
    <w:rsid w:val="00C12817"/>
    <w:rsid w:val="00C1453A"/>
    <w:rsid w:val="00C157D5"/>
    <w:rsid w:val="00C2299B"/>
    <w:rsid w:val="00C22E02"/>
    <w:rsid w:val="00C23828"/>
    <w:rsid w:val="00C32DB6"/>
    <w:rsid w:val="00C3347A"/>
    <w:rsid w:val="00C33B99"/>
    <w:rsid w:val="00C3475A"/>
    <w:rsid w:val="00C360D4"/>
    <w:rsid w:val="00C409FE"/>
    <w:rsid w:val="00C41048"/>
    <w:rsid w:val="00C42050"/>
    <w:rsid w:val="00C43A06"/>
    <w:rsid w:val="00C440F8"/>
    <w:rsid w:val="00C4752A"/>
    <w:rsid w:val="00C47F41"/>
    <w:rsid w:val="00C54234"/>
    <w:rsid w:val="00C55C6C"/>
    <w:rsid w:val="00C612C7"/>
    <w:rsid w:val="00C63BB2"/>
    <w:rsid w:val="00C65055"/>
    <w:rsid w:val="00C65949"/>
    <w:rsid w:val="00C6682C"/>
    <w:rsid w:val="00C66D18"/>
    <w:rsid w:val="00C67589"/>
    <w:rsid w:val="00C751AC"/>
    <w:rsid w:val="00C80082"/>
    <w:rsid w:val="00C91A34"/>
    <w:rsid w:val="00C94012"/>
    <w:rsid w:val="00C96061"/>
    <w:rsid w:val="00CA14AD"/>
    <w:rsid w:val="00CB0725"/>
    <w:rsid w:val="00CB2073"/>
    <w:rsid w:val="00CC2D58"/>
    <w:rsid w:val="00CC2F1B"/>
    <w:rsid w:val="00CC54E0"/>
    <w:rsid w:val="00CC7CD5"/>
    <w:rsid w:val="00CD0DAB"/>
    <w:rsid w:val="00CD0DDC"/>
    <w:rsid w:val="00CD27B7"/>
    <w:rsid w:val="00CD61E6"/>
    <w:rsid w:val="00CD6B4E"/>
    <w:rsid w:val="00CD6DF9"/>
    <w:rsid w:val="00CE0A1E"/>
    <w:rsid w:val="00CE78FE"/>
    <w:rsid w:val="00CF048C"/>
    <w:rsid w:val="00CF38AF"/>
    <w:rsid w:val="00CF39C1"/>
    <w:rsid w:val="00CF451F"/>
    <w:rsid w:val="00CF524D"/>
    <w:rsid w:val="00CF5556"/>
    <w:rsid w:val="00D01DD9"/>
    <w:rsid w:val="00D02E61"/>
    <w:rsid w:val="00D02F8B"/>
    <w:rsid w:val="00D0332A"/>
    <w:rsid w:val="00D034B9"/>
    <w:rsid w:val="00D113DA"/>
    <w:rsid w:val="00D12DE9"/>
    <w:rsid w:val="00D13B81"/>
    <w:rsid w:val="00D13C0C"/>
    <w:rsid w:val="00D172BB"/>
    <w:rsid w:val="00D17A4A"/>
    <w:rsid w:val="00D20E3B"/>
    <w:rsid w:val="00D21309"/>
    <w:rsid w:val="00D23DF7"/>
    <w:rsid w:val="00D26BDB"/>
    <w:rsid w:val="00D367EE"/>
    <w:rsid w:val="00D42996"/>
    <w:rsid w:val="00D5026B"/>
    <w:rsid w:val="00D5026D"/>
    <w:rsid w:val="00D51909"/>
    <w:rsid w:val="00D5375C"/>
    <w:rsid w:val="00D55212"/>
    <w:rsid w:val="00D561B3"/>
    <w:rsid w:val="00D60090"/>
    <w:rsid w:val="00D63552"/>
    <w:rsid w:val="00D649B7"/>
    <w:rsid w:val="00D6549B"/>
    <w:rsid w:val="00D7290F"/>
    <w:rsid w:val="00D8071C"/>
    <w:rsid w:val="00D83EB4"/>
    <w:rsid w:val="00D858DE"/>
    <w:rsid w:val="00D862EE"/>
    <w:rsid w:val="00D86DE6"/>
    <w:rsid w:val="00D91919"/>
    <w:rsid w:val="00D91B91"/>
    <w:rsid w:val="00D966B0"/>
    <w:rsid w:val="00D97F66"/>
    <w:rsid w:val="00DA5710"/>
    <w:rsid w:val="00DA65A3"/>
    <w:rsid w:val="00DA6E18"/>
    <w:rsid w:val="00DB014C"/>
    <w:rsid w:val="00DB56F0"/>
    <w:rsid w:val="00DB5EB1"/>
    <w:rsid w:val="00DD1870"/>
    <w:rsid w:val="00DD38AD"/>
    <w:rsid w:val="00DE1D3C"/>
    <w:rsid w:val="00DE2608"/>
    <w:rsid w:val="00DE407E"/>
    <w:rsid w:val="00DE6D92"/>
    <w:rsid w:val="00DF494D"/>
    <w:rsid w:val="00DF4C19"/>
    <w:rsid w:val="00DF7FB3"/>
    <w:rsid w:val="00E00736"/>
    <w:rsid w:val="00E0655C"/>
    <w:rsid w:val="00E102B4"/>
    <w:rsid w:val="00E121CB"/>
    <w:rsid w:val="00E16D27"/>
    <w:rsid w:val="00E208ED"/>
    <w:rsid w:val="00E2632D"/>
    <w:rsid w:val="00E27986"/>
    <w:rsid w:val="00E30DEE"/>
    <w:rsid w:val="00E335D1"/>
    <w:rsid w:val="00E34602"/>
    <w:rsid w:val="00E362F9"/>
    <w:rsid w:val="00E3709A"/>
    <w:rsid w:val="00E43CB6"/>
    <w:rsid w:val="00E4562B"/>
    <w:rsid w:val="00E46BF4"/>
    <w:rsid w:val="00E47398"/>
    <w:rsid w:val="00E478DF"/>
    <w:rsid w:val="00E52B2F"/>
    <w:rsid w:val="00E52CB5"/>
    <w:rsid w:val="00E55A1F"/>
    <w:rsid w:val="00E56845"/>
    <w:rsid w:val="00E57879"/>
    <w:rsid w:val="00E60FD1"/>
    <w:rsid w:val="00E62C4D"/>
    <w:rsid w:val="00E63EB5"/>
    <w:rsid w:val="00E64E0D"/>
    <w:rsid w:val="00E73625"/>
    <w:rsid w:val="00E73879"/>
    <w:rsid w:val="00E740FA"/>
    <w:rsid w:val="00E81268"/>
    <w:rsid w:val="00E832B9"/>
    <w:rsid w:val="00E84736"/>
    <w:rsid w:val="00E86C6D"/>
    <w:rsid w:val="00E91289"/>
    <w:rsid w:val="00E93D54"/>
    <w:rsid w:val="00E94403"/>
    <w:rsid w:val="00E95EF0"/>
    <w:rsid w:val="00EA3B97"/>
    <w:rsid w:val="00EA421E"/>
    <w:rsid w:val="00EB1CFD"/>
    <w:rsid w:val="00EB3FAB"/>
    <w:rsid w:val="00EB6306"/>
    <w:rsid w:val="00EB694D"/>
    <w:rsid w:val="00EC379C"/>
    <w:rsid w:val="00EC5528"/>
    <w:rsid w:val="00EC7002"/>
    <w:rsid w:val="00ED3830"/>
    <w:rsid w:val="00ED5B9E"/>
    <w:rsid w:val="00ED5BFE"/>
    <w:rsid w:val="00EF26F8"/>
    <w:rsid w:val="00EF2D86"/>
    <w:rsid w:val="00EF3B7F"/>
    <w:rsid w:val="00F03275"/>
    <w:rsid w:val="00F06614"/>
    <w:rsid w:val="00F10F7B"/>
    <w:rsid w:val="00F12598"/>
    <w:rsid w:val="00F14B52"/>
    <w:rsid w:val="00F15DD6"/>
    <w:rsid w:val="00F1773A"/>
    <w:rsid w:val="00F2347B"/>
    <w:rsid w:val="00F31A1D"/>
    <w:rsid w:val="00F3640B"/>
    <w:rsid w:val="00F3737A"/>
    <w:rsid w:val="00F44B27"/>
    <w:rsid w:val="00F46299"/>
    <w:rsid w:val="00F52296"/>
    <w:rsid w:val="00F57A7E"/>
    <w:rsid w:val="00F57C11"/>
    <w:rsid w:val="00F622FE"/>
    <w:rsid w:val="00F62FC9"/>
    <w:rsid w:val="00F65298"/>
    <w:rsid w:val="00F73715"/>
    <w:rsid w:val="00F74184"/>
    <w:rsid w:val="00F77EC5"/>
    <w:rsid w:val="00F80EDD"/>
    <w:rsid w:val="00F8153E"/>
    <w:rsid w:val="00F82FAD"/>
    <w:rsid w:val="00F85BF8"/>
    <w:rsid w:val="00F90408"/>
    <w:rsid w:val="00F92C7B"/>
    <w:rsid w:val="00FA0A6D"/>
    <w:rsid w:val="00FA1AA2"/>
    <w:rsid w:val="00FA33B7"/>
    <w:rsid w:val="00FA3B31"/>
    <w:rsid w:val="00FB06CC"/>
    <w:rsid w:val="00FB1121"/>
    <w:rsid w:val="00FB264B"/>
    <w:rsid w:val="00FB3900"/>
    <w:rsid w:val="00FB63CF"/>
    <w:rsid w:val="00FC22FD"/>
    <w:rsid w:val="00FC31AD"/>
    <w:rsid w:val="00FC31B8"/>
    <w:rsid w:val="00FC33FA"/>
    <w:rsid w:val="00FC3887"/>
    <w:rsid w:val="00FC452E"/>
    <w:rsid w:val="00FC49A5"/>
    <w:rsid w:val="00FC5DF1"/>
    <w:rsid w:val="00FC76AA"/>
    <w:rsid w:val="00FD49B2"/>
    <w:rsid w:val="00FD4DBC"/>
    <w:rsid w:val="00FE3617"/>
    <w:rsid w:val="00FE4CCE"/>
    <w:rsid w:val="00FE6FAE"/>
    <w:rsid w:val="00FF1DBF"/>
    <w:rsid w:val="00FF2562"/>
    <w:rsid w:val="00FF287A"/>
    <w:rsid w:val="00FF4721"/>
    <w:rsid w:val="00FF47BF"/>
    <w:rsid w:val="04945A01"/>
    <w:rsid w:val="0B2F7979"/>
    <w:rsid w:val="0CED0C27"/>
    <w:rsid w:val="0ED50BB2"/>
    <w:rsid w:val="117F4CC5"/>
    <w:rsid w:val="15E73621"/>
    <w:rsid w:val="163D534E"/>
    <w:rsid w:val="19C36532"/>
    <w:rsid w:val="1A3356A3"/>
    <w:rsid w:val="1CBF3C5F"/>
    <w:rsid w:val="1EA34A6A"/>
    <w:rsid w:val="222E2343"/>
    <w:rsid w:val="241252FC"/>
    <w:rsid w:val="242B4954"/>
    <w:rsid w:val="2538525F"/>
    <w:rsid w:val="253C5EE3"/>
    <w:rsid w:val="29A04AFF"/>
    <w:rsid w:val="2BFC357B"/>
    <w:rsid w:val="2D432DE3"/>
    <w:rsid w:val="2EC95FA2"/>
    <w:rsid w:val="2F246972"/>
    <w:rsid w:val="30996A15"/>
    <w:rsid w:val="31647EE6"/>
    <w:rsid w:val="32D86F28"/>
    <w:rsid w:val="358A6B63"/>
    <w:rsid w:val="3A777CF2"/>
    <w:rsid w:val="3C247D71"/>
    <w:rsid w:val="3D2D7731"/>
    <w:rsid w:val="47085AE5"/>
    <w:rsid w:val="48FD25A8"/>
    <w:rsid w:val="4B0056D6"/>
    <w:rsid w:val="4B713B78"/>
    <w:rsid w:val="51F83FAE"/>
    <w:rsid w:val="537F03AA"/>
    <w:rsid w:val="56B86403"/>
    <w:rsid w:val="58C144F8"/>
    <w:rsid w:val="5AF50F7F"/>
    <w:rsid w:val="5BEA3CD3"/>
    <w:rsid w:val="5C0A2477"/>
    <w:rsid w:val="637202FA"/>
    <w:rsid w:val="64471721"/>
    <w:rsid w:val="645356B2"/>
    <w:rsid w:val="65636989"/>
    <w:rsid w:val="66D71840"/>
    <w:rsid w:val="66E57CF7"/>
    <w:rsid w:val="67E55BCF"/>
    <w:rsid w:val="74B12873"/>
    <w:rsid w:val="77371522"/>
    <w:rsid w:val="798F0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heme="minorBidi"/>
      <w:kern w:val="2"/>
      <w:sz w:val="32"/>
      <w:szCs w:val="22"/>
      <w:lang w:val="en-US" w:eastAsia="zh-CN" w:bidi="ar-SA"/>
    </w:rPr>
  </w:style>
  <w:style w:type="paragraph" w:styleId="2">
    <w:name w:val="heading 1"/>
    <w:basedOn w:val="1"/>
    <w:next w:val="1"/>
    <w:link w:val="12"/>
    <w:qFormat/>
    <w:uiPriority w:val="9"/>
    <w:pPr>
      <w:keepNext/>
      <w:keepLines/>
      <w:spacing w:before="240" w:after="240" w:line="480" w:lineRule="auto"/>
      <w:ind w:firstLine="0" w:firstLineChars="0"/>
      <w:jc w:val="center"/>
      <w:outlineLvl w:val="0"/>
    </w:pPr>
    <w:rPr>
      <w:b/>
      <w:kern w:val="44"/>
      <w:sz w:val="36"/>
    </w:rPr>
  </w:style>
  <w:style w:type="paragraph" w:styleId="3">
    <w:name w:val="heading 2"/>
    <w:basedOn w:val="1"/>
    <w:next w:val="1"/>
    <w:link w:val="11"/>
    <w:unhideWhenUsed/>
    <w:qFormat/>
    <w:uiPriority w:val="9"/>
    <w:pPr>
      <w:keepNext/>
      <w:keepLines/>
      <w:spacing w:beforeLines="50"/>
      <w:ind w:firstLine="0" w:firstLineChars="0"/>
      <w:outlineLvl w:val="1"/>
    </w:pPr>
    <w:rPr>
      <w:b/>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link w:val="18"/>
    <w:qFormat/>
    <w:uiPriority w:val="99"/>
    <w:pPr>
      <w:spacing w:line="360" w:lineRule="auto"/>
      <w:ind w:firstLine="480"/>
    </w:pPr>
    <w:rPr>
      <w:rFonts w:ascii="仿宋_GB2312" w:eastAsia="宋体" w:cs="Times New Roman"/>
      <w:sz w:val="24"/>
      <w:szCs w:val="20"/>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rPr>
      <w:sz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1">
    <w:name w:val="标题 2 Char"/>
    <w:link w:val="3"/>
    <w:qFormat/>
    <w:uiPriority w:val="0"/>
    <w:rPr>
      <w:rFonts w:ascii="Times New Roman" w:hAnsi="Times New Roman" w:eastAsia="仿宋"/>
      <w:b/>
      <w:sz w:val="32"/>
    </w:rPr>
  </w:style>
  <w:style w:type="character" w:customStyle="1" w:styleId="12">
    <w:name w:val="标题 1 Char"/>
    <w:link w:val="2"/>
    <w:qFormat/>
    <w:uiPriority w:val="0"/>
    <w:rPr>
      <w:rFonts w:eastAsia="仿宋"/>
      <w:b/>
      <w:kern w:val="44"/>
      <w:sz w:val="36"/>
    </w:rPr>
  </w:style>
  <w:style w:type="paragraph" w:styleId="13">
    <w:name w:val="List Paragraph"/>
    <w:basedOn w:val="1"/>
    <w:qFormat/>
    <w:uiPriority w:val="34"/>
    <w:pPr>
      <w:ind w:firstLine="420"/>
    </w:pPr>
    <w:rPr>
      <w:rFonts w:ascii="仿宋_GB2312" w:eastAsia="仿宋_GB2312" w:cs="Times New Roman"/>
      <w:spacing w:val="-4"/>
      <w:szCs w:val="20"/>
    </w:rPr>
  </w:style>
  <w:style w:type="character" w:customStyle="1" w:styleId="14">
    <w:name w:val="纯文本 Char"/>
    <w:basedOn w:val="8"/>
    <w:link w:val="4"/>
    <w:qFormat/>
    <w:uiPriority w:val="0"/>
    <w:rPr>
      <w:rFonts w:ascii="仿宋_GB2312" w:hAnsi="Times New Roman" w:eastAsia="宋体" w:cs="Times New Roman"/>
      <w:sz w:val="24"/>
      <w:szCs w:val="20"/>
    </w:rPr>
  </w:style>
  <w:style w:type="paragraph" w:customStyle="1" w:styleId="15">
    <w:name w:val="_Style 8"/>
    <w:basedOn w:val="1"/>
    <w:next w:val="1"/>
    <w:qFormat/>
    <w:uiPriority w:val="0"/>
    <w:pPr>
      <w:spacing w:line="360" w:lineRule="auto"/>
      <w:ind w:firstLine="480"/>
    </w:pPr>
    <w:rPr>
      <w:rFonts w:ascii="仿宋_GB2312" w:eastAsia="宋体" w:cs="Times New Roman"/>
      <w:sz w:val="24"/>
      <w:szCs w:val="20"/>
    </w:rPr>
  </w:style>
  <w:style w:type="character" w:customStyle="1" w:styleId="16">
    <w:name w:val="页眉 Char"/>
    <w:basedOn w:val="8"/>
    <w:link w:val="6"/>
    <w:qFormat/>
    <w:uiPriority w:val="99"/>
    <w:rPr>
      <w:sz w:val="18"/>
      <w:szCs w:val="18"/>
    </w:rPr>
  </w:style>
  <w:style w:type="character" w:customStyle="1" w:styleId="17">
    <w:name w:val="页脚 Char"/>
    <w:basedOn w:val="8"/>
    <w:link w:val="5"/>
    <w:qFormat/>
    <w:uiPriority w:val="99"/>
    <w:rPr>
      <w:sz w:val="18"/>
      <w:szCs w:val="18"/>
    </w:rPr>
  </w:style>
  <w:style w:type="character" w:customStyle="1" w:styleId="18">
    <w:name w:val="纯文本 Char1"/>
    <w:basedOn w:val="8"/>
    <w:link w:val="4"/>
    <w:qFormat/>
    <w:uiPriority w:val="0"/>
    <w:rPr>
      <w:rFonts w:hint="eastAsia" w:ascii="仿宋_GB2312" w:eastAsia="宋体" w:cs="仿宋_GB2312"/>
      <w:kern w:val="2"/>
      <w:sz w:val="24"/>
      <w:lang w:val="en-US" w:eastAsia="zh-CN"/>
    </w:rPr>
  </w:style>
  <w:style w:type="character" w:customStyle="1" w:styleId="19">
    <w:name w:val="页脚 Char1"/>
    <w:basedOn w:val="8"/>
    <w:link w:val="5"/>
    <w:qFormat/>
    <w:uiPriority w:val="0"/>
    <w:rPr>
      <w:rFonts w:hint="eastAsia" w:ascii="仿宋" w:hAnsi="仿宋" w:eastAsia="仿宋" w:cs="仿宋"/>
      <w:kern w:val="2"/>
      <w:sz w:val="18"/>
      <w:szCs w:val="18"/>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1244</Words>
  <Characters>7097</Characters>
  <Lines>59</Lines>
  <Paragraphs>16</Paragraphs>
  <TotalTime>0</TotalTime>
  <ScaleCrop>false</ScaleCrop>
  <LinksUpToDate>false</LinksUpToDate>
  <CharactersWithSpaces>8325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2017-11-27T07:32:00Z</dcterms:created>
  <dc:creator>Tong Zanhua</dc:creator>
  <cp:lastModifiedBy>tgch</cp:lastModifiedBy>
  <cp:lastPrinted>2019-01-02T02:04:00Z</cp:lastPrinted>
  <dcterms:modified xsi:type="dcterms:W3CDTF">2019-01-02T06:11:30Z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