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专项整治行动情况统计表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省（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区、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市）（盖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章）</w:t>
      </w:r>
    </w:p>
    <w:tbl>
      <w:tblPr>
        <w:tblStyle w:val="3"/>
        <w:tblW w:w="93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033"/>
        <w:gridCol w:w="1133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事项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30"/>
                <w:szCs w:val="30"/>
                <w:u w:val="none"/>
                <w:vertAlign w:val="baseline"/>
                <w:lang w:eastAsia="zh-CN"/>
              </w:rPr>
              <w:t>蛙类</w:t>
            </w: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养殖生产单位数量（个）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其中：集约式养殖生产单位数量（个）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检查</w:t>
            </w:r>
            <w:r>
              <w:rPr>
                <w:rFonts w:hint="default" w:cs="Times New Roman"/>
                <w:sz w:val="30"/>
                <w:szCs w:val="30"/>
                <w:u w:val="none"/>
                <w:vertAlign w:val="baseline"/>
                <w:lang w:eastAsia="zh-CN"/>
              </w:rPr>
              <w:t>蛙类</w:t>
            </w: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养殖生产单位数量（个）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其中：药残抽检生产单位数量（个）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出动执法人员数量（人次）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行政处罚案件数量（宗）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无害化处理不合格产品数量（吨）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行政处罚的罚款金额（万元）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移交司法案件数量（宗）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举办普法宣传/培训（次）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印发普法宣传材料数量（份）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印发《水产养殖用药明白纸》数量（份）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其中：</w:t>
            </w:r>
            <w:r>
              <w:rPr>
                <w:rFonts w:hint="default" w:cs="Times New Roman"/>
                <w:sz w:val="30"/>
                <w:szCs w:val="30"/>
                <w:u w:val="none"/>
                <w:vertAlign w:val="baseline"/>
                <w:lang w:eastAsia="zh-CN"/>
              </w:rPr>
              <w:t>蛙类</w:t>
            </w:r>
            <w:r>
              <w:rPr>
                <w:rFonts w:hint="eastAsia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养殖生产单位张贴《水产养殖用药明白纸》海报数量（份）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textAlignment w:val="auto"/>
              <w:rPr>
                <w:rFonts w:hint="default" w:eastAsia="仿宋_GB2312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填表人：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sz w:val="30"/>
          <w:szCs w:val="30"/>
          <w:lang w:val="en-US" w:eastAsia="zh-CN"/>
        </w:rPr>
        <w:t>注：1.万元、吨保留小数点后2位。</w:t>
      </w:r>
    </w:p>
    <w:p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2.如出现行政处罚案件，请将案件相关信息附表后一同上报</w:t>
      </w:r>
      <w:r>
        <w:rPr>
          <w:rFonts w:hint="eastAsia" w:cs="Times New Roman"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2022-03-23T02:37:16Z</dcterms:created>
  <dc:creator>User</dc:creator>
  <cp:lastModifiedBy>cream</cp:lastModifiedBy>
  <dcterms:modified xsi:type="dcterms:W3CDTF">2022-03-23T02:37:23Z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