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1E" w:rsidRPr="00A45265" w:rsidRDefault="0058321E" w:rsidP="0058321E">
      <w:pPr>
        <w:widowControl/>
        <w:spacing w:line="560" w:lineRule="exact"/>
        <w:jc w:val="left"/>
        <w:rPr>
          <w:rFonts w:ascii="黑体" w:eastAsia="黑体" w:hAnsi="宋体"/>
          <w:sz w:val="32"/>
          <w:szCs w:val="32"/>
        </w:rPr>
      </w:pPr>
      <w:r w:rsidRPr="00A45265">
        <w:rPr>
          <w:rFonts w:ascii="黑体" w:eastAsia="黑体" w:hAnsi="宋体" w:hint="eastAsia"/>
          <w:sz w:val="32"/>
          <w:szCs w:val="32"/>
        </w:rPr>
        <w:t>附录</w:t>
      </w:r>
      <w:r w:rsidRPr="00A45265">
        <w:rPr>
          <w:rFonts w:ascii="黑体" w:eastAsia="黑体" w:hAnsi="宋体"/>
          <w:sz w:val="32"/>
          <w:szCs w:val="32"/>
        </w:rPr>
        <w:t>5</w:t>
      </w:r>
    </w:p>
    <w:p w:rsidR="0058321E" w:rsidRPr="00E76365" w:rsidRDefault="0058321E" w:rsidP="0058321E">
      <w:pPr>
        <w:widowControl/>
        <w:spacing w:line="560" w:lineRule="exact"/>
        <w:jc w:val="center"/>
        <w:rPr>
          <w:rFonts w:ascii="华文中宋" w:eastAsia="华文中宋" w:hAnsi="华文中宋"/>
          <w:b/>
          <w:bCs/>
          <w:sz w:val="32"/>
          <w:szCs w:val="32"/>
        </w:rPr>
      </w:pPr>
      <w:r w:rsidRPr="00E76365">
        <w:rPr>
          <w:rFonts w:ascii="华文中宋" w:eastAsia="华文中宋" w:hAnsi="华文中宋" w:hint="eastAsia"/>
          <w:b/>
          <w:bCs/>
          <w:sz w:val="32"/>
          <w:szCs w:val="32"/>
        </w:rPr>
        <w:t>中药制剂</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第一章</w:t>
      </w:r>
      <w:r w:rsidRPr="00A45265">
        <w:rPr>
          <w:rFonts w:ascii="黑体" w:eastAsia="黑体" w:hAnsi="宋体"/>
          <w:sz w:val="32"/>
          <w:szCs w:val="32"/>
        </w:rPr>
        <w:t xml:space="preserve">  </w:t>
      </w:r>
      <w:r w:rsidRPr="00A45265">
        <w:rPr>
          <w:rFonts w:ascii="黑体" w:eastAsia="黑体" w:hAnsi="宋体" w:hint="eastAsia"/>
          <w:sz w:val="32"/>
          <w:szCs w:val="32"/>
        </w:rPr>
        <w:t>范围</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第一条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本附录适用于中药材前处理、中药提取和中药制剂的生产、质量控制、贮存、发放和运输。</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第二章</w:t>
      </w:r>
      <w:r w:rsidRPr="00A45265">
        <w:rPr>
          <w:rFonts w:ascii="黑体" w:eastAsia="黑体" w:hAnsi="宋体"/>
          <w:sz w:val="32"/>
          <w:szCs w:val="32"/>
        </w:rPr>
        <w:t xml:space="preserve">  </w:t>
      </w:r>
      <w:r w:rsidRPr="00A45265">
        <w:rPr>
          <w:rFonts w:ascii="黑体" w:eastAsia="黑体" w:hAnsi="宋体" w:hint="eastAsia"/>
          <w:sz w:val="32"/>
          <w:szCs w:val="32"/>
        </w:rPr>
        <w:t>原则</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制剂的质量与中药材和中药饮片的质量、中药材前处理和中药提取工艺密切相关。应当对中药材和中药饮片的质量以及中药材前处理、中药提取工艺严格控制。在中药材前处理以及中药提取、贮存和运输过程中，应当采取措施控制微生物污染，防止变质。</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中药材来源应当相对稳定，尽可能采用规范化生产的中药材。</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第三章</w:t>
      </w:r>
      <w:r w:rsidRPr="00A45265">
        <w:rPr>
          <w:rFonts w:ascii="黑体" w:eastAsia="黑体" w:hAnsi="宋体"/>
          <w:sz w:val="32"/>
          <w:szCs w:val="32"/>
        </w:rPr>
        <w:t xml:space="preserve">  </w:t>
      </w:r>
      <w:r w:rsidRPr="00A45265">
        <w:rPr>
          <w:rFonts w:ascii="黑体" w:eastAsia="黑体" w:hAnsi="宋体" w:hint="eastAsia"/>
          <w:sz w:val="32"/>
          <w:szCs w:val="32"/>
        </w:rPr>
        <w:t>机构与人员</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第四条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企业的质量管理部门应当有专人负责中药材和中药饮片的质量管理。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第五条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专职负责中药材和中药饮片质量管理的人员应当至少具备以下条件：</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（一）具有中药学、生药学或相关专业大专以上学历，并至少有三年从事中药生产、质量管理的实际工作经验；或具有专职从事中药材和中药饮片鉴别工作八年以上的实际工作经验；</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（二）具备鉴别中药材和中药饮片真伪优劣的能力；</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lastRenderedPageBreak/>
        <w:t>（三）具备中药材和中药饮片质量控制的实际能力；</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（四）根据所生产品种的需要，熟悉相关毒性中药材和中药饮片的管理与处理要求。</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第六条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专职负责中药材和中药饮片质量管理的人员主要从事以下工作：</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（一）中药材和中药饮片的取样；</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（二）中药材和中药饮片的鉴别、质量评价与放行；</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（三）负责中药材、中药饮片（包括毒性中药材和中药饮片）专业知识的培训；</w:t>
      </w:r>
      <w:r w:rsidRPr="00A45265">
        <w:rPr>
          <w:rFonts w:ascii="仿宋_GB2312" w:eastAsia="仿宋_GB2312" w:hAnsi="宋体"/>
          <w:sz w:val="32"/>
          <w:szCs w:val="32"/>
        </w:rPr>
        <w:t xml:space="preserve"> </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（四）中药材和中药饮片标本的收集、制作和管理。</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第四章</w:t>
      </w:r>
      <w:r w:rsidRPr="00A45265">
        <w:rPr>
          <w:rFonts w:ascii="黑体" w:eastAsia="黑体" w:hAnsi="宋体"/>
          <w:sz w:val="32"/>
          <w:szCs w:val="32"/>
        </w:rPr>
        <w:t xml:space="preserve">  </w:t>
      </w:r>
      <w:r w:rsidRPr="00A45265">
        <w:rPr>
          <w:rFonts w:ascii="黑体" w:eastAsia="黑体" w:hAnsi="宋体" w:hint="eastAsia"/>
          <w:sz w:val="32"/>
          <w:szCs w:val="32"/>
        </w:rPr>
        <w:t>厂房与设施</w:t>
      </w:r>
    </w:p>
    <w:p w:rsidR="0058321E" w:rsidRPr="00A45265" w:rsidRDefault="0058321E" w:rsidP="00A45265">
      <w:pPr>
        <w:spacing w:line="560" w:lineRule="exact"/>
        <w:ind w:firstLineChars="200" w:firstLine="643"/>
        <w:jc w:val="left"/>
        <w:rPr>
          <w:rFonts w:ascii="仿宋_GB2312" w:eastAsia="仿宋_GB2312" w:hAnsi="宋体"/>
          <w:sz w:val="32"/>
          <w:szCs w:val="32"/>
        </w:rPr>
      </w:pPr>
      <w:r w:rsidRPr="00A45265">
        <w:rPr>
          <w:rFonts w:ascii="楷体_GB2312" w:eastAsia="楷体_GB2312" w:hAnsi="宋体" w:hint="eastAsia"/>
          <w:b/>
          <w:sz w:val="32"/>
          <w:szCs w:val="32"/>
        </w:rPr>
        <w:t>第七条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中药材和中药饮片的取样、筛选、称重等操作易产生粉尘的，应当采取有效措施，以控制粉尘扩散，避免污染和交叉污染，如安装捕尘设备、排风设施等。</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第八条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直接入药的中药材和中药饮片的粉碎，应设置专用厂房（车间），与中药制剂生产线完全分开，其门窗应能密闭，并有捕尘、除湿、排风、降温等设施。</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第九条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前处理的厂房内应当设拣选工作台，工作台表面应当平整、易清洁，不产生脱落物；根据生产品种所用中药材前处理工艺流程的需要，还应配备洗药池或洗药机、切药机、干燥机、粗碎机、粉碎机和独立的除尘系统等。</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中药提取、浓缩等厂房应当与其生产工艺要求相适应，有良好的排风、防止污染和交叉污染等设施；含有机溶剂提取工艺的，厂房应有防爆设施及有机溶剂监测报警</w:t>
      </w:r>
      <w:r w:rsidRPr="00A45265">
        <w:rPr>
          <w:rFonts w:ascii="仿宋_GB2312" w:eastAsia="仿宋_GB2312" w:hAnsi="宋体" w:hint="eastAsia"/>
          <w:sz w:val="32"/>
          <w:szCs w:val="32"/>
        </w:rPr>
        <w:lastRenderedPageBreak/>
        <w:t>系统。</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第十一条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中药提取、浓缩、收膏工序宜采用密闭系统进行操作，并在线进行清洁，以防止污染和交叉污染；对生产两种以上（含两种）剂型的中药制剂或生产有国家标准的中药提取物的，应在中药提取车间内设置独立的、功能完备的收膏间，其洁净度级别应不低于其制剂配制操作区的洁净度级别。</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第十二条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中药提取设备应与其产品生产工艺要求相适应，提取单体罐容积不得小于</w:t>
      </w:r>
      <w:smartTag w:uri="urn:schemas-microsoft-com:office:smarttags" w:element="chmetcnv">
        <w:smartTagPr>
          <w:attr w:name="UnitName" w:val="立方米"/>
          <w:attr w:name="SourceValue" w:val="3"/>
          <w:attr w:name="HasSpace" w:val="False"/>
          <w:attr w:name="Negative" w:val="False"/>
          <w:attr w:name="NumberType" w:val="1"/>
          <w:attr w:name="TCSC" w:val="0"/>
        </w:smartTagPr>
        <w:r w:rsidRPr="00A45265">
          <w:rPr>
            <w:rFonts w:ascii="仿宋_GB2312" w:eastAsia="仿宋_GB2312" w:hAnsi="宋体"/>
            <w:sz w:val="32"/>
            <w:szCs w:val="32"/>
          </w:rPr>
          <w:t>3</w:t>
        </w:r>
        <w:r w:rsidRPr="00A45265">
          <w:rPr>
            <w:rFonts w:ascii="仿宋_GB2312" w:eastAsia="仿宋_GB2312" w:hAnsi="宋体" w:hint="eastAsia"/>
            <w:sz w:val="32"/>
            <w:szCs w:val="32"/>
          </w:rPr>
          <w:t>立方米</w:t>
        </w:r>
      </w:smartTag>
      <w:r w:rsidRPr="00A45265">
        <w:rPr>
          <w:rFonts w:ascii="仿宋_GB2312" w:eastAsia="仿宋_GB2312" w:hAnsi="宋体" w:hint="eastAsia"/>
          <w:sz w:val="32"/>
          <w:szCs w:val="32"/>
        </w:rPr>
        <w:t>。</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第十三条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中药提取后的废渣如需暂存、处理时，应当有专用区域。</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第十四条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浸膏的配料、粉碎、过筛、混合等操作，其洁净度级别应当与其制剂配制操作区的洁净度级别一致。中药饮片经粉碎、过筛、混合后直接入药的，上述操作的厂房应当能够密闭，有良好的通风、除尘等设施，人员、物料进出及生产操作应当参照洁净区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第十五条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中药标本室应当与生产区分开。</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第五章</w:t>
      </w:r>
      <w:r w:rsidRPr="00A45265">
        <w:rPr>
          <w:rFonts w:ascii="黑体" w:eastAsia="黑体" w:hAnsi="宋体"/>
          <w:sz w:val="32"/>
          <w:szCs w:val="32"/>
        </w:rPr>
        <w:t xml:space="preserve">  </w:t>
      </w:r>
      <w:r w:rsidRPr="00A45265">
        <w:rPr>
          <w:rFonts w:ascii="黑体" w:eastAsia="黑体" w:hAnsi="宋体" w:hint="eastAsia"/>
          <w:sz w:val="32"/>
          <w:szCs w:val="32"/>
        </w:rPr>
        <w:t>物料</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第十六条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对每次接收的中药材均应当按产地、采收时间、采集部位、药材等级、药材外形（如全株或切断）、包装形式等进行分类，分别编制批号并管理。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第十七条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接收中药材、中药饮片和中药提取物时，应当核对外包装上的标识内容。中药材外包装上至少应当标明品名、规格、产地、采收（加工）时间、调出单位、质量合</w:t>
      </w:r>
      <w:r w:rsidRPr="00A45265">
        <w:rPr>
          <w:rFonts w:ascii="仿宋_GB2312" w:eastAsia="仿宋_GB2312" w:hAnsi="宋体" w:hint="eastAsia"/>
          <w:sz w:val="32"/>
          <w:szCs w:val="32"/>
        </w:rPr>
        <w:lastRenderedPageBreak/>
        <w:t>格标志；中药饮片外包装上至少应当标明品名、规格、产地、产品批号、生产日期、生产企业名称、质量合格标志；中药提取物外包装上至少应当标明品名、规格、批号、生产日期、贮存条件、生产企业名称、质量合格标志。</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第十八条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中药材、中药饮片和提取物应当贮存在单独设置的库房中；贮存鲜活中药材应当有适当的设施（如冷藏设施）。</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第十九条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毒性和易串味的中药材和中药饮片应当分别设置专库（柜）存放。</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仓库内应当配备适当的设施，并采取有效措施，保证中药材和中药饮片、中药提取物以及中药制剂按照法定标准的规定贮存，符合其温、湿度或照度的特殊要求，并进行监控。</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第二十一条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贮存的中药材和中药饮片应当定期养护管理，仓库应当保持空气流通，应当配备相应的设施或采取安全有效的养护方法，防止昆虫、鸟类或啮齿类动物等进入，防止任何动物随中药材和中药饮片带入仓储区而造成污染和交叉污染。</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第二十二条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在运输过程中，应当采取有效可靠的措施，防止中药材和中药饮片、中药提取物以及中药制剂发生变质。</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第六章</w:t>
      </w:r>
      <w:r w:rsidRPr="00A45265">
        <w:rPr>
          <w:rFonts w:ascii="黑体" w:eastAsia="黑体" w:hAnsi="宋体"/>
          <w:sz w:val="32"/>
          <w:szCs w:val="32"/>
        </w:rPr>
        <w:t xml:space="preserve">  </w:t>
      </w:r>
      <w:r w:rsidRPr="00A45265">
        <w:rPr>
          <w:rFonts w:ascii="黑体" w:eastAsia="黑体" w:hAnsi="宋体" w:hint="eastAsia"/>
          <w:sz w:val="32"/>
          <w:szCs w:val="32"/>
        </w:rPr>
        <w:t>文件管理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第二十三条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应当制定控制产品质量的生产工艺规程和其他标准文件：</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（一）制定中药材和中药饮片养护制度，并分类制定养</w:t>
      </w:r>
      <w:r w:rsidRPr="00A45265">
        <w:rPr>
          <w:rFonts w:ascii="仿宋_GB2312" w:eastAsia="仿宋_GB2312" w:hAnsi="宋体" w:hint="eastAsia"/>
          <w:sz w:val="32"/>
          <w:szCs w:val="32"/>
        </w:rPr>
        <w:lastRenderedPageBreak/>
        <w:t>护操作规程；</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制定每种中药材前处理、中药提取、中药制剂的生产工艺和工序操作规程，各关键工序的技术参数必须明确，如：标准投料量、提取、浓缩、精制、干燥、过筛、混合、贮存等要求，并明确相应的贮存条件及期限；</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（三）根据中药材和中药饮片质量、投料量等因素，制定每种中药提取物的收率限度范围；</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（四）制定每种经过前处理后的中药材、中药提取物、中间产品、中药制剂的质量标准和检验方法。</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第二十四条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应当对从中药材的前处理到中药提取物整个生产过程中的生产、卫生和质量管理情况进行记录，并符合下列要求：</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（一）当几个批号的中药材和中药饮片混合投料时，应当记录本次投料所用每批中药材和中药饮片的批号和数量。</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（二）中药提取各生产工序的操作至少应当有以下记录：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t>1.</w:t>
      </w:r>
      <w:r w:rsidRPr="00A45265">
        <w:rPr>
          <w:rFonts w:ascii="仿宋_GB2312" w:eastAsia="仿宋_GB2312" w:hAnsi="宋体" w:hint="eastAsia"/>
          <w:sz w:val="32"/>
          <w:szCs w:val="32"/>
        </w:rPr>
        <w:t>中药材和中药饮片名称、批号、投料量及监督投料记录；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t>2.</w:t>
      </w:r>
      <w:r w:rsidRPr="00A45265">
        <w:rPr>
          <w:rFonts w:ascii="仿宋_GB2312" w:eastAsia="仿宋_GB2312" w:hAnsi="宋体" w:hint="eastAsia"/>
          <w:sz w:val="32"/>
          <w:szCs w:val="32"/>
        </w:rPr>
        <w:t>提取工艺的设备编号、相关溶剂、浸泡时间、升温时间、提取时间、提取温度、提取次数、溶剂回收等记录；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t>3.</w:t>
      </w:r>
      <w:r w:rsidRPr="00A45265">
        <w:rPr>
          <w:rFonts w:ascii="仿宋_GB2312" w:eastAsia="仿宋_GB2312" w:hAnsi="宋体" w:hint="eastAsia"/>
          <w:sz w:val="32"/>
          <w:szCs w:val="32"/>
        </w:rPr>
        <w:t>浓缩和干燥工艺的设备编号、温度、浸膏干燥时间、浸膏数量记录；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t>4.</w:t>
      </w:r>
      <w:r w:rsidRPr="00A45265">
        <w:rPr>
          <w:rFonts w:ascii="仿宋_GB2312" w:eastAsia="仿宋_GB2312" w:hAnsi="宋体" w:hint="eastAsia"/>
          <w:sz w:val="32"/>
          <w:szCs w:val="32"/>
        </w:rPr>
        <w:t>精制工艺的设备编号、溶剂使用情况、精制条件、收率等记录；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t>5.</w:t>
      </w:r>
      <w:r w:rsidRPr="00A45265">
        <w:rPr>
          <w:rFonts w:ascii="仿宋_GB2312" w:eastAsia="仿宋_GB2312" w:hAnsi="宋体" w:hint="eastAsia"/>
          <w:sz w:val="32"/>
          <w:szCs w:val="32"/>
        </w:rPr>
        <w:t>其他工序的生产操作记录；</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sz w:val="32"/>
          <w:szCs w:val="32"/>
        </w:rPr>
        <w:lastRenderedPageBreak/>
        <w:t>6.</w:t>
      </w:r>
      <w:r w:rsidRPr="00A45265">
        <w:rPr>
          <w:rFonts w:ascii="仿宋_GB2312" w:eastAsia="仿宋_GB2312" w:hAnsi="宋体" w:hint="eastAsia"/>
          <w:sz w:val="32"/>
          <w:szCs w:val="32"/>
        </w:rPr>
        <w:t>中药材和中药饮片废渣处理的记录。</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第七章</w:t>
      </w:r>
      <w:r w:rsidRPr="00A45265">
        <w:rPr>
          <w:rFonts w:ascii="黑体" w:eastAsia="黑体" w:hAnsi="宋体"/>
          <w:sz w:val="32"/>
          <w:szCs w:val="32"/>
        </w:rPr>
        <w:t xml:space="preserve">  </w:t>
      </w:r>
      <w:r w:rsidRPr="00A45265">
        <w:rPr>
          <w:rFonts w:ascii="黑体" w:eastAsia="黑体" w:hAnsi="宋体" w:hint="eastAsia"/>
          <w:sz w:val="32"/>
          <w:szCs w:val="32"/>
        </w:rPr>
        <w:t>生产管理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第二十五条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中药材应当按照规定进行拣选、整理、剪切、洗涤、浸润或其他炮制加工。未经处理的中药材不得直接用于提取加工。</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第二十六条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鲜用中药材采收后应当在规定的期限内投料，可存放的鲜用中药材应当采取适当的措施贮存，贮存的条件和期限应当有规定并经验证，不得对产品质量和预定用途有不利影响。</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第二十七条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在生产过程中应当采取以下措施防止微生物污染：</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（一）处理后的中药材不得直接接触地面，不得露天干燥；</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（二）应当使用流动的工艺用水洗涤拣选后的中药材，用过的水不得用于洗涤其他药材，不同的中药材不得同时在同一容器中洗涤。</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第二十八条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毒性中药材和中药饮片的操作应当有防止污染和交叉污染的措施。</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第二十九条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中药材洗涤、浸润、提取用水的质量标准不得低于饮用水标准，无菌制剂的提取用水应当采用纯化水。</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中药提取用溶剂需回收使用的，应当制定回收操作规程。回收后溶剂的再使用不得对产品造成交叉污染，不得对产品的质量和安全性有不利影响。</w:t>
      </w:r>
    </w:p>
    <w:p w:rsidR="0058321E" w:rsidRPr="00A45265" w:rsidRDefault="0058321E" w:rsidP="00E76365">
      <w:pPr>
        <w:spacing w:beforeLines="50" w:afterLines="50" w:line="560" w:lineRule="exact"/>
        <w:jc w:val="center"/>
        <w:rPr>
          <w:rFonts w:ascii="黑体" w:eastAsia="黑体"/>
          <w:sz w:val="32"/>
          <w:szCs w:val="32"/>
        </w:rPr>
      </w:pPr>
      <w:r w:rsidRPr="00A45265">
        <w:rPr>
          <w:rFonts w:ascii="黑体" w:eastAsia="黑体" w:hAnsi="宋体" w:hint="eastAsia"/>
          <w:sz w:val="32"/>
          <w:szCs w:val="32"/>
        </w:rPr>
        <w:t>第八章</w:t>
      </w:r>
      <w:r w:rsidRPr="00A45265">
        <w:rPr>
          <w:rFonts w:ascii="黑体" w:eastAsia="黑体" w:hAnsi="宋体"/>
          <w:sz w:val="32"/>
          <w:szCs w:val="32"/>
        </w:rPr>
        <w:t xml:space="preserve">  </w:t>
      </w:r>
      <w:r w:rsidRPr="00A45265">
        <w:rPr>
          <w:rFonts w:ascii="黑体" w:eastAsia="黑体" w:hAnsi="宋体" w:hint="eastAsia"/>
          <w:sz w:val="32"/>
          <w:szCs w:val="32"/>
        </w:rPr>
        <w:t>质量管理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lastRenderedPageBreak/>
        <w:t>第三十一条</w:t>
      </w:r>
      <w:r w:rsidRPr="00A45265">
        <w:rPr>
          <w:rFonts w:ascii="楷体_GB2312" w:eastAsia="楷体_GB2312" w:hAnsi="宋体"/>
          <w:b/>
          <w:sz w:val="32"/>
          <w:szCs w:val="32"/>
        </w:rPr>
        <w:t xml:space="preserve">  </w:t>
      </w:r>
      <w:r w:rsidRPr="00A45265">
        <w:rPr>
          <w:rFonts w:ascii="仿宋_GB2312" w:eastAsia="仿宋_GB2312" w:hAnsi="宋体" w:hint="eastAsia"/>
          <w:sz w:val="32"/>
          <w:szCs w:val="32"/>
        </w:rPr>
        <w:t>中药材和中药饮片的质量应当符合国家兽药标准或药品标准及省（自治区、直辖市）中药材标准和中药炮制规范，并在现有技术条件下，根据对中药制剂质量的影响程度，在相关的质量标准中增加必要的质量控制项目。</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第三十二条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中药材和中药饮片的质量控制项目应当至少包括：</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（一）鉴别；</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（二）中药材和中药饮片中所含有关成分的定性或定量指标；</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（三）已粉碎生药的粒度检查；</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（四）外购的中药饮片可增加相应原药材的检验项目；</w:t>
      </w:r>
      <w:r w:rsidRPr="00A45265">
        <w:rPr>
          <w:rFonts w:ascii="仿宋_GB2312" w:eastAsia="仿宋_GB2312" w:hAnsi="宋体"/>
          <w:sz w:val="32"/>
          <w:szCs w:val="32"/>
        </w:rPr>
        <w:t xml:space="preserve"> </w:t>
      </w:r>
    </w:p>
    <w:p w:rsidR="0058321E" w:rsidRPr="00A45265" w:rsidRDefault="0058321E" w:rsidP="00A45265">
      <w:pPr>
        <w:spacing w:line="560" w:lineRule="exact"/>
        <w:ind w:firstLineChars="200" w:firstLine="640"/>
        <w:jc w:val="left"/>
        <w:rPr>
          <w:rFonts w:ascii="仿宋_GB2312" w:eastAsia="仿宋_GB2312"/>
          <w:sz w:val="32"/>
          <w:szCs w:val="32"/>
        </w:rPr>
      </w:pPr>
      <w:r w:rsidRPr="00A45265">
        <w:rPr>
          <w:rFonts w:ascii="仿宋_GB2312" w:eastAsia="仿宋_GB2312" w:hAnsi="宋体" w:hint="eastAsia"/>
          <w:sz w:val="32"/>
          <w:szCs w:val="32"/>
        </w:rPr>
        <w:t>（五）国家兽药标准或药品标准及省（自治区、直辖市）中药材标准和中药炮制规范中包含的其他检验项目。</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第三十三条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中药提取、精制过程中使用有机溶剂的，如溶剂对产品质量和安全性有不利影响时，应当在中药提取物和中药制剂的质量标准中增加残留溶剂限度。</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第三十四条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应当对回收溶剂制定与其预定用途相适应的质量标准。</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第三十五条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应当建立生产所用中药材和中药饮片的标本，如原植（动、矿）物、中药材使用部位、经批准的替代品、伪品等标本。</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第三十六条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对使用的每种中药材和中药饮片应当根据其特性和贮存条件，规定贮存期限和复验期。</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第三十七条</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应当根据中药材、中药饮片、中药提取物、</w:t>
      </w:r>
      <w:r w:rsidRPr="00A45265">
        <w:rPr>
          <w:rFonts w:ascii="仿宋_GB2312" w:eastAsia="仿宋_GB2312" w:hAnsi="宋体" w:hint="eastAsia"/>
          <w:sz w:val="32"/>
          <w:szCs w:val="32"/>
        </w:rPr>
        <w:lastRenderedPageBreak/>
        <w:t>中间产品的特性和包装方式以及稳定性考察结果，确定其贮存条件和贮存期限。</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第三十八条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每批中药材或中药饮片应当留样，留样量至少能满足鉴别的需要，留样时间应当有规定；用于中药注射剂的中药材或中药饮片的留样，应当保存至使用该批中药材或中药饮片生产的最后一批制剂产品放行后一年。</w:t>
      </w:r>
    </w:p>
    <w:p w:rsidR="0058321E" w:rsidRPr="00A45265" w:rsidRDefault="0058321E" w:rsidP="00A45265">
      <w:pPr>
        <w:spacing w:line="560" w:lineRule="exact"/>
        <w:ind w:firstLineChars="200" w:firstLine="643"/>
        <w:jc w:val="left"/>
        <w:rPr>
          <w:rFonts w:ascii="仿宋_GB2312" w:eastAsia="仿宋_GB2312"/>
          <w:sz w:val="32"/>
          <w:szCs w:val="32"/>
        </w:rPr>
      </w:pPr>
      <w:r w:rsidRPr="00A45265">
        <w:rPr>
          <w:rFonts w:ascii="楷体_GB2312" w:eastAsia="楷体_GB2312" w:hAnsi="宋体" w:hint="eastAsia"/>
          <w:b/>
          <w:sz w:val="32"/>
          <w:szCs w:val="32"/>
        </w:rPr>
        <w:t>第三十九条</w:t>
      </w:r>
      <w:r w:rsidRPr="00A45265">
        <w:rPr>
          <w:rFonts w:ascii="楷体_GB2312" w:eastAsia="楷体_GB2312" w:hAnsi="宋体"/>
          <w:b/>
          <w:sz w:val="32"/>
          <w:szCs w:val="32"/>
        </w:rPr>
        <w:t xml:space="preserve"> </w:t>
      </w:r>
      <w:r w:rsidRPr="00A45265">
        <w:rPr>
          <w:rFonts w:ascii="仿宋_GB2312" w:eastAsia="仿宋_GB2312" w:hAnsi="宋体"/>
          <w:sz w:val="32"/>
          <w:szCs w:val="32"/>
        </w:rPr>
        <w:t xml:space="preserve"> </w:t>
      </w:r>
      <w:r w:rsidRPr="00A45265">
        <w:rPr>
          <w:rFonts w:ascii="仿宋_GB2312" w:eastAsia="仿宋_GB2312" w:hAnsi="宋体" w:hint="eastAsia"/>
          <w:sz w:val="32"/>
          <w:szCs w:val="32"/>
        </w:rPr>
        <w:t>中药材和中药饮片贮存期间各种养护操作应当有记录。</w:t>
      </w:r>
    </w:p>
    <w:p w:rsidR="00AC696D" w:rsidRPr="00A45265" w:rsidRDefault="00AC696D" w:rsidP="0058321E">
      <w:pPr>
        <w:rPr>
          <w:sz w:val="32"/>
          <w:szCs w:val="32"/>
        </w:rPr>
      </w:pPr>
    </w:p>
    <w:sectPr w:rsidR="00AC696D" w:rsidRPr="00A45265" w:rsidSect="009544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5A" w:rsidRDefault="00C0705A" w:rsidP="0058321E">
      <w:r>
        <w:separator/>
      </w:r>
    </w:p>
  </w:endnote>
  <w:endnote w:type="continuationSeparator" w:id="1">
    <w:p w:rsidR="00C0705A" w:rsidRDefault="00C0705A" w:rsidP="00583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5A" w:rsidRDefault="00C0705A" w:rsidP="0058321E">
      <w:r>
        <w:separator/>
      </w:r>
    </w:p>
  </w:footnote>
  <w:footnote w:type="continuationSeparator" w:id="1">
    <w:p w:rsidR="00C0705A" w:rsidRDefault="00C0705A" w:rsidP="00583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21E"/>
    <w:rsid w:val="00241C05"/>
    <w:rsid w:val="0058321E"/>
    <w:rsid w:val="009544A2"/>
    <w:rsid w:val="00A45265"/>
    <w:rsid w:val="00AC696D"/>
    <w:rsid w:val="00B94107"/>
    <w:rsid w:val="00C0705A"/>
    <w:rsid w:val="00E76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32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321E"/>
    <w:rPr>
      <w:sz w:val="18"/>
      <w:szCs w:val="18"/>
    </w:rPr>
  </w:style>
  <w:style w:type="paragraph" w:styleId="a4">
    <w:name w:val="footer"/>
    <w:basedOn w:val="a"/>
    <w:link w:val="Char0"/>
    <w:uiPriority w:val="99"/>
    <w:semiHidden/>
    <w:unhideWhenUsed/>
    <w:rsid w:val="005832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32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许海晨</dc:creator>
  <cp:keywords/>
  <dc:description/>
  <cp:lastModifiedBy>衡爱珠</cp:lastModifiedBy>
  <cp:revision>6</cp:revision>
  <dcterms:created xsi:type="dcterms:W3CDTF">2019-06-05T03:16:00Z</dcterms:created>
  <dcterms:modified xsi:type="dcterms:W3CDTF">2019-06-12T01:09:00Z</dcterms:modified>
</cp:coreProperties>
</file>