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B3" w:rsidRPr="00235256" w:rsidRDefault="005758B3" w:rsidP="005758B3">
      <w:pPr>
        <w:rPr>
          <w:rFonts w:ascii="仿宋_GB2312" w:hAnsi="Calibri" w:hint="eastAsia"/>
          <w:kern w:val="2"/>
          <w:sz w:val="32"/>
          <w:szCs w:val="32"/>
        </w:rPr>
      </w:pPr>
      <w:r w:rsidRPr="00235256">
        <w:rPr>
          <w:rFonts w:ascii="仿宋_GB2312" w:hAnsi="Calibri" w:hint="eastAsia"/>
          <w:kern w:val="2"/>
          <w:sz w:val="32"/>
          <w:szCs w:val="32"/>
        </w:rPr>
        <w:t>附</w:t>
      </w:r>
      <w:r>
        <w:rPr>
          <w:rFonts w:ascii="仿宋_GB2312" w:hAnsi="Calibri" w:hint="eastAsia"/>
          <w:kern w:val="2"/>
          <w:sz w:val="32"/>
          <w:szCs w:val="32"/>
        </w:rPr>
        <w:t>表</w:t>
      </w:r>
      <w:r w:rsidRPr="00235256">
        <w:rPr>
          <w:rFonts w:ascii="仿宋_GB2312" w:hAnsi="Calibri" w:hint="eastAsia"/>
          <w:kern w:val="2"/>
          <w:sz w:val="32"/>
          <w:szCs w:val="32"/>
        </w:rPr>
        <w:t>2</w:t>
      </w:r>
    </w:p>
    <w:p w:rsidR="005758B3" w:rsidRPr="00235256" w:rsidRDefault="005758B3" w:rsidP="005758B3">
      <w:pPr>
        <w:spacing w:afterLines="50" w:after="156"/>
        <w:ind w:firstLineChars="200" w:firstLine="640"/>
        <w:jc w:val="center"/>
        <w:rPr>
          <w:rFonts w:ascii="华文中宋" w:eastAsia="华文中宋" w:hAnsi="华文中宋" w:cs="黑体" w:hint="eastAsia"/>
          <w:sz w:val="32"/>
          <w:szCs w:val="32"/>
        </w:rPr>
      </w:pPr>
      <w:bookmarkStart w:id="0" w:name="_GoBack"/>
      <w:r w:rsidRPr="00235256">
        <w:rPr>
          <w:rFonts w:ascii="华文中宋" w:eastAsia="华文中宋" w:hAnsi="华文中宋" w:cs="黑体" w:hint="eastAsia"/>
          <w:sz w:val="32"/>
          <w:szCs w:val="32"/>
        </w:rPr>
        <w:t>全国农作物病虫专业化统防统治与绿色防控融合示范基地情况表</w:t>
      </w:r>
      <w:bookmarkEnd w:id="0"/>
    </w:p>
    <w:tbl>
      <w:tblPr>
        <w:tblW w:w="13466" w:type="dxa"/>
        <w:jc w:val="center"/>
        <w:tblInd w:w="-68" w:type="dxa"/>
        <w:tblLayout w:type="fixed"/>
        <w:tblLook w:val="0000" w:firstRow="0" w:lastRow="0" w:firstColumn="0" w:lastColumn="0" w:noHBand="0" w:noVBand="0"/>
      </w:tblPr>
      <w:tblGrid>
        <w:gridCol w:w="845"/>
        <w:gridCol w:w="1403"/>
        <w:gridCol w:w="3748"/>
        <w:gridCol w:w="2790"/>
        <w:gridCol w:w="1588"/>
        <w:gridCol w:w="1620"/>
        <w:gridCol w:w="1472"/>
      </w:tblGrid>
      <w:tr w:rsidR="005758B3" w:rsidRPr="00235256" w:rsidTr="00FC6A46">
        <w:trPr>
          <w:trHeight w:val="1837"/>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省份</w:t>
            </w:r>
          </w:p>
        </w:tc>
        <w:tc>
          <w:tcPr>
            <w:tcW w:w="1403" w:type="dxa"/>
            <w:tcBorders>
              <w:top w:val="single" w:sz="4" w:space="0" w:color="auto"/>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县（市、区）名称</w:t>
            </w:r>
          </w:p>
        </w:tc>
        <w:tc>
          <w:tcPr>
            <w:tcW w:w="3748" w:type="dxa"/>
            <w:tcBorders>
              <w:top w:val="single" w:sz="4" w:space="0" w:color="auto"/>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牵头病虫防治专业化服务组织或新型农业经营主体名称</w:t>
            </w:r>
          </w:p>
        </w:tc>
        <w:tc>
          <w:tcPr>
            <w:tcW w:w="2790" w:type="dxa"/>
            <w:tcBorders>
              <w:top w:val="single" w:sz="4" w:space="0" w:color="auto"/>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参与共建牵头企业名称</w:t>
            </w:r>
          </w:p>
        </w:tc>
        <w:tc>
          <w:tcPr>
            <w:tcW w:w="1588" w:type="dxa"/>
            <w:tcBorders>
              <w:top w:val="single" w:sz="4" w:space="0" w:color="auto"/>
              <w:left w:val="nil"/>
              <w:bottom w:val="single" w:sz="4" w:space="0" w:color="auto"/>
              <w:right w:val="single" w:sz="4" w:space="0" w:color="auto"/>
            </w:tcBorders>
            <w:shd w:val="clear" w:color="auto" w:fill="FFFFFF"/>
            <w:vAlign w:val="center"/>
          </w:tcPr>
          <w:p w:rsidR="005758B3" w:rsidRDefault="005758B3" w:rsidP="00FC6A46">
            <w:pPr>
              <w:widowControl/>
              <w:adjustRightInd/>
              <w:spacing w:line="240" w:lineRule="auto"/>
              <w:jc w:val="center"/>
              <w:textAlignment w:val="auto"/>
              <w:rPr>
                <w:rFonts w:ascii="仿宋_GB2312" w:hAnsi="宋体" w:cs="宋体" w:hint="eastAsia"/>
                <w:b/>
                <w:bCs/>
                <w:sz w:val="24"/>
                <w:szCs w:val="24"/>
              </w:rPr>
            </w:pPr>
            <w:r>
              <w:rPr>
                <w:rFonts w:ascii="仿宋_GB2312" w:hAnsi="宋体" w:cs="宋体" w:hint="eastAsia"/>
                <w:b/>
                <w:bCs/>
                <w:sz w:val="24"/>
                <w:szCs w:val="24"/>
              </w:rPr>
              <w:t>融合示范</w:t>
            </w:r>
          </w:p>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Pr>
                <w:rFonts w:ascii="仿宋_GB2312" w:hAnsi="宋体" w:cs="宋体" w:hint="eastAsia"/>
                <w:b/>
                <w:bCs/>
                <w:sz w:val="24"/>
                <w:szCs w:val="24"/>
              </w:rPr>
              <w:t>的作物</w:t>
            </w:r>
          </w:p>
        </w:tc>
        <w:tc>
          <w:tcPr>
            <w:tcW w:w="1620" w:type="dxa"/>
            <w:tcBorders>
              <w:top w:val="single" w:sz="4" w:space="0" w:color="auto"/>
              <w:left w:val="nil"/>
              <w:bottom w:val="single" w:sz="4" w:space="0" w:color="auto"/>
              <w:right w:val="single" w:sz="4" w:space="0" w:color="auto"/>
            </w:tcBorders>
            <w:shd w:val="clear" w:color="auto" w:fill="FFFFFF"/>
            <w:vAlign w:val="center"/>
          </w:tcPr>
          <w:p w:rsidR="005758B3" w:rsidRDefault="005758B3" w:rsidP="00FC6A46">
            <w:pPr>
              <w:widowControl/>
              <w:adjustRightInd/>
              <w:spacing w:line="240" w:lineRule="auto"/>
              <w:jc w:val="center"/>
              <w:textAlignment w:val="auto"/>
              <w:rPr>
                <w:rFonts w:ascii="仿宋_GB2312" w:hAnsi="宋体" w:cs="宋体" w:hint="eastAsia"/>
                <w:b/>
                <w:bCs/>
                <w:sz w:val="24"/>
                <w:szCs w:val="24"/>
              </w:rPr>
            </w:pPr>
            <w:r>
              <w:rPr>
                <w:rFonts w:ascii="仿宋_GB2312" w:hAnsi="宋体" w:cs="宋体" w:hint="eastAsia"/>
                <w:b/>
                <w:bCs/>
                <w:sz w:val="24"/>
                <w:szCs w:val="24"/>
              </w:rPr>
              <w:t>融合</w:t>
            </w:r>
            <w:r w:rsidRPr="00235256">
              <w:rPr>
                <w:rFonts w:ascii="仿宋_GB2312" w:hAnsi="宋体" w:cs="宋体" w:hint="eastAsia"/>
                <w:b/>
                <w:bCs/>
                <w:sz w:val="24"/>
                <w:szCs w:val="24"/>
              </w:rPr>
              <w:t>示范</w:t>
            </w:r>
          </w:p>
          <w:p w:rsidR="005758B3"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面积</w:t>
            </w:r>
          </w:p>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（亩）</w:t>
            </w:r>
          </w:p>
        </w:tc>
        <w:tc>
          <w:tcPr>
            <w:tcW w:w="1472" w:type="dxa"/>
            <w:tcBorders>
              <w:top w:val="single" w:sz="4" w:space="0" w:color="auto"/>
              <w:left w:val="nil"/>
              <w:bottom w:val="single" w:sz="4" w:space="0" w:color="auto"/>
              <w:right w:val="single" w:sz="4" w:space="0" w:color="auto"/>
            </w:tcBorders>
            <w:shd w:val="clear" w:color="auto" w:fill="FFFFFF"/>
            <w:vAlign w:val="center"/>
          </w:tcPr>
          <w:p w:rsidR="005758B3"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辐射带动</w:t>
            </w:r>
          </w:p>
          <w:p w:rsidR="005758B3"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面积</w:t>
            </w:r>
          </w:p>
          <w:p w:rsidR="005758B3" w:rsidRPr="00235256" w:rsidRDefault="005758B3" w:rsidP="00FC6A46">
            <w:pPr>
              <w:widowControl/>
              <w:adjustRightInd/>
              <w:spacing w:line="240" w:lineRule="auto"/>
              <w:jc w:val="center"/>
              <w:textAlignment w:val="auto"/>
              <w:rPr>
                <w:rFonts w:ascii="仿宋_GB2312" w:hAnsi="宋体" w:cs="宋体" w:hint="eastAsia"/>
                <w:b/>
                <w:bCs/>
                <w:sz w:val="24"/>
                <w:szCs w:val="24"/>
              </w:rPr>
            </w:pPr>
            <w:r w:rsidRPr="00235256">
              <w:rPr>
                <w:rFonts w:ascii="仿宋_GB2312" w:hAnsi="宋体" w:cs="宋体" w:hint="eastAsia"/>
                <w:b/>
                <w:bCs/>
                <w:sz w:val="24"/>
                <w:szCs w:val="24"/>
              </w:rPr>
              <w:t>（亩）</w:t>
            </w:r>
          </w:p>
        </w:tc>
      </w:tr>
      <w:tr w:rsidR="005758B3" w:rsidRPr="00235256" w:rsidTr="00FC6A46">
        <w:trPr>
          <w:trHeight w:val="285"/>
          <w:jc w:val="center"/>
        </w:trPr>
        <w:tc>
          <w:tcPr>
            <w:tcW w:w="845" w:type="dxa"/>
            <w:vMerge w:val="restart"/>
            <w:tcBorders>
              <w:top w:val="nil"/>
              <w:left w:val="single" w:sz="4" w:space="0" w:color="auto"/>
              <w:bottom w:val="single" w:sz="4" w:space="0" w:color="000000"/>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1403"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374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279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58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62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72"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r>
      <w:tr w:rsidR="005758B3" w:rsidRPr="00235256" w:rsidTr="00FC6A46">
        <w:trPr>
          <w:trHeight w:val="285"/>
          <w:jc w:val="center"/>
        </w:trPr>
        <w:tc>
          <w:tcPr>
            <w:tcW w:w="845" w:type="dxa"/>
            <w:vMerge/>
            <w:tcBorders>
              <w:top w:val="nil"/>
              <w:left w:val="single" w:sz="4" w:space="0" w:color="auto"/>
              <w:bottom w:val="single" w:sz="4" w:space="0" w:color="000000"/>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1403"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374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279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58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62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72"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r>
      <w:tr w:rsidR="005758B3" w:rsidRPr="00235256" w:rsidTr="00FC6A46">
        <w:trPr>
          <w:trHeight w:val="285"/>
          <w:jc w:val="center"/>
        </w:trPr>
        <w:tc>
          <w:tcPr>
            <w:tcW w:w="845" w:type="dxa"/>
            <w:vMerge/>
            <w:tcBorders>
              <w:top w:val="nil"/>
              <w:left w:val="single" w:sz="4" w:space="0" w:color="auto"/>
              <w:bottom w:val="single" w:sz="4" w:space="0" w:color="000000"/>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1403"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374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279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58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62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72"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r>
      <w:tr w:rsidR="005758B3" w:rsidRPr="00235256" w:rsidTr="00FC6A46">
        <w:trPr>
          <w:trHeight w:val="285"/>
          <w:jc w:val="center"/>
        </w:trPr>
        <w:tc>
          <w:tcPr>
            <w:tcW w:w="845" w:type="dxa"/>
            <w:vMerge/>
            <w:tcBorders>
              <w:top w:val="nil"/>
              <w:left w:val="single" w:sz="4" w:space="0" w:color="auto"/>
              <w:bottom w:val="single" w:sz="4" w:space="0" w:color="000000"/>
              <w:right w:val="single" w:sz="4" w:space="0" w:color="auto"/>
            </w:tcBorders>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03"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p>
        </w:tc>
        <w:tc>
          <w:tcPr>
            <w:tcW w:w="374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279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58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62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72"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r>
      <w:tr w:rsidR="005758B3" w:rsidRPr="00235256" w:rsidTr="00FC6A46">
        <w:trPr>
          <w:trHeight w:val="285"/>
          <w:jc w:val="center"/>
        </w:trPr>
        <w:tc>
          <w:tcPr>
            <w:tcW w:w="845" w:type="dxa"/>
            <w:vMerge/>
            <w:tcBorders>
              <w:top w:val="nil"/>
              <w:left w:val="single" w:sz="4" w:space="0" w:color="auto"/>
              <w:bottom w:val="single" w:sz="4" w:space="0" w:color="000000"/>
              <w:right w:val="single" w:sz="4" w:space="0" w:color="auto"/>
            </w:tcBorders>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03"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center"/>
              <w:textAlignment w:val="auto"/>
              <w:rPr>
                <w:rFonts w:ascii="仿宋_GB2312" w:hAnsi="宋体" w:cs="宋体" w:hint="eastAsia"/>
                <w:sz w:val="24"/>
                <w:szCs w:val="24"/>
              </w:rPr>
            </w:pPr>
            <w:r w:rsidRPr="00235256">
              <w:rPr>
                <w:rFonts w:ascii="仿宋_GB2312" w:hAnsi="宋体" w:cs="宋体" w:hint="eastAsia"/>
                <w:sz w:val="24"/>
                <w:szCs w:val="24"/>
              </w:rPr>
              <w:t>……</w:t>
            </w:r>
          </w:p>
        </w:tc>
        <w:tc>
          <w:tcPr>
            <w:tcW w:w="374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279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588"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620"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c>
          <w:tcPr>
            <w:tcW w:w="1472" w:type="dxa"/>
            <w:tcBorders>
              <w:top w:val="nil"/>
              <w:left w:val="nil"/>
              <w:bottom w:val="single" w:sz="4" w:space="0" w:color="auto"/>
              <w:right w:val="single" w:sz="4" w:space="0" w:color="auto"/>
            </w:tcBorders>
            <w:shd w:val="clear" w:color="auto" w:fill="FFFFFF"/>
            <w:vAlign w:val="center"/>
          </w:tcPr>
          <w:p w:rsidR="005758B3" w:rsidRPr="00235256" w:rsidRDefault="005758B3" w:rsidP="00FC6A46">
            <w:pPr>
              <w:widowControl/>
              <w:adjustRightInd/>
              <w:spacing w:line="240" w:lineRule="auto"/>
              <w:jc w:val="left"/>
              <w:textAlignment w:val="auto"/>
              <w:rPr>
                <w:rFonts w:ascii="仿宋_GB2312" w:hAnsi="宋体" w:cs="宋体" w:hint="eastAsia"/>
                <w:sz w:val="24"/>
                <w:szCs w:val="24"/>
              </w:rPr>
            </w:pPr>
          </w:p>
        </w:tc>
      </w:tr>
    </w:tbl>
    <w:p w:rsidR="005758B3" w:rsidRPr="00235256" w:rsidRDefault="005758B3" w:rsidP="005758B3">
      <w:pPr>
        <w:spacing w:line="500" w:lineRule="exact"/>
        <w:rPr>
          <w:rFonts w:ascii="仿宋_GB2312" w:hAnsi="宋体" w:cs="黑体" w:hint="eastAsia"/>
          <w:b/>
          <w:sz w:val="24"/>
          <w:szCs w:val="24"/>
        </w:rPr>
      </w:pPr>
    </w:p>
    <w:p w:rsidR="005758B3" w:rsidRPr="00235256" w:rsidRDefault="005758B3" w:rsidP="005758B3">
      <w:pPr>
        <w:spacing w:line="500" w:lineRule="exact"/>
        <w:rPr>
          <w:rFonts w:ascii="仿宋_GB2312" w:hAnsi="宋体" w:cs="黑体" w:hint="eastAsia"/>
          <w:sz w:val="24"/>
          <w:szCs w:val="24"/>
        </w:rPr>
      </w:pPr>
      <w:r w:rsidRPr="00235256">
        <w:rPr>
          <w:rFonts w:ascii="仿宋_GB2312" w:hAnsi="宋体" w:cs="黑体" w:hint="eastAsia"/>
          <w:b/>
          <w:sz w:val="24"/>
          <w:szCs w:val="24"/>
        </w:rPr>
        <w:t>备注：</w:t>
      </w:r>
      <w:r w:rsidRPr="00235256">
        <w:rPr>
          <w:rFonts w:ascii="仿宋_GB2312" w:hAnsi="宋体" w:cs="黑体" w:hint="eastAsia"/>
          <w:sz w:val="24"/>
          <w:szCs w:val="24"/>
        </w:rPr>
        <w:t>1</w:t>
      </w:r>
      <w:r>
        <w:rPr>
          <w:rFonts w:ascii="仿宋_GB2312" w:hAnsi="宋体" w:cs="黑体" w:hint="eastAsia"/>
          <w:sz w:val="24"/>
          <w:szCs w:val="24"/>
        </w:rPr>
        <w:t>.</w:t>
      </w:r>
      <w:r w:rsidRPr="00235256">
        <w:rPr>
          <w:rFonts w:ascii="仿宋_GB2312" w:hAnsi="宋体" w:cs="黑体" w:hint="eastAsia"/>
          <w:sz w:val="24"/>
          <w:szCs w:val="24"/>
        </w:rPr>
        <w:t>“县（市、区）”必须填全，如北京市昌平区，应填写为“昌平区”，不应填写“昌平”</w:t>
      </w:r>
      <w:r>
        <w:rPr>
          <w:rFonts w:ascii="仿宋_GB2312" w:hAnsi="宋体" w:cs="黑体" w:hint="eastAsia"/>
          <w:sz w:val="24"/>
          <w:szCs w:val="24"/>
        </w:rPr>
        <w:t>；</w:t>
      </w:r>
    </w:p>
    <w:p w:rsidR="005758B3" w:rsidRPr="00235256" w:rsidRDefault="005758B3" w:rsidP="005758B3">
      <w:pPr>
        <w:spacing w:line="500" w:lineRule="exact"/>
        <w:ind w:firstLineChars="300" w:firstLine="720"/>
        <w:rPr>
          <w:rFonts w:ascii="仿宋_GB2312" w:hAnsi="宋体" w:cs="黑体" w:hint="eastAsia"/>
          <w:sz w:val="24"/>
          <w:szCs w:val="24"/>
        </w:rPr>
      </w:pPr>
      <w:r w:rsidRPr="00235256">
        <w:rPr>
          <w:rFonts w:ascii="仿宋_GB2312" w:hAnsi="宋体" w:cs="黑体" w:hint="eastAsia"/>
          <w:sz w:val="24"/>
          <w:szCs w:val="24"/>
        </w:rPr>
        <w:t>2</w:t>
      </w:r>
      <w:r>
        <w:rPr>
          <w:rFonts w:ascii="仿宋_GB2312" w:hAnsi="宋体" w:cs="黑体" w:hint="eastAsia"/>
          <w:sz w:val="24"/>
          <w:szCs w:val="24"/>
        </w:rPr>
        <w:t>.</w:t>
      </w:r>
      <w:r w:rsidRPr="00235256">
        <w:rPr>
          <w:rFonts w:ascii="仿宋_GB2312" w:hAnsi="宋体" w:cs="黑体" w:hint="eastAsia"/>
          <w:sz w:val="24"/>
          <w:szCs w:val="24"/>
        </w:rPr>
        <w:t>“牵头病虫防治专业化服务组织或新型农业经营主体”是指建设融合示范基地的具体落实者，为必填项，可填写多个；</w:t>
      </w:r>
    </w:p>
    <w:p w:rsidR="005758B3" w:rsidRPr="00235256" w:rsidRDefault="005758B3" w:rsidP="005758B3">
      <w:pPr>
        <w:spacing w:line="500" w:lineRule="exact"/>
        <w:ind w:leftChars="406" w:left="1211" w:hangingChars="200" w:hanging="480"/>
        <w:rPr>
          <w:rFonts w:ascii="仿宋_GB2312" w:hAnsi="宋体" w:cs="黑体" w:hint="eastAsia"/>
          <w:sz w:val="24"/>
          <w:szCs w:val="24"/>
        </w:rPr>
      </w:pPr>
      <w:r w:rsidRPr="00235256">
        <w:rPr>
          <w:rFonts w:ascii="仿宋_GB2312" w:hAnsi="宋体" w:cs="黑体" w:hint="eastAsia"/>
          <w:sz w:val="24"/>
          <w:szCs w:val="24"/>
        </w:rPr>
        <w:t>3</w:t>
      </w:r>
      <w:r>
        <w:rPr>
          <w:rFonts w:ascii="仿宋_GB2312" w:hAnsi="宋体" w:cs="黑体" w:hint="eastAsia"/>
          <w:sz w:val="24"/>
          <w:szCs w:val="24"/>
        </w:rPr>
        <w:t>.</w:t>
      </w:r>
      <w:r w:rsidRPr="00235256">
        <w:rPr>
          <w:rFonts w:ascii="仿宋_GB2312" w:hAnsi="宋体" w:cs="黑体" w:hint="eastAsia"/>
          <w:sz w:val="24"/>
          <w:szCs w:val="24"/>
        </w:rPr>
        <w:t>“参与共建牵头企业”是指与牵头病虫防治专业化服务组织或新型农业经营主体联合开展技术集成、产品直供、指导服务、示范推广活动的企业，不是仅仅提供产品的企业，如没有，可不填；</w:t>
      </w:r>
    </w:p>
    <w:p w:rsidR="005758B3" w:rsidRDefault="005758B3" w:rsidP="005758B3">
      <w:pPr>
        <w:spacing w:line="500" w:lineRule="exact"/>
        <w:ind w:firstLineChars="300" w:firstLine="720"/>
        <w:rPr>
          <w:rFonts w:ascii="仿宋_GB2312" w:hAnsi="宋体" w:cs="黑体" w:hint="eastAsia"/>
          <w:sz w:val="24"/>
          <w:szCs w:val="24"/>
        </w:rPr>
      </w:pPr>
      <w:r w:rsidRPr="00235256">
        <w:rPr>
          <w:rFonts w:ascii="仿宋_GB2312" w:hAnsi="宋体" w:cs="黑体" w:hint="eastAsia"/>
          <w:sz w:val="24"/>
          <w:szCs w:val="24"/>
        </w:rPr>
        <w:t>4</w:t>
      </w:r>
      <w:r>
        <w:rPr>
          <w:rFonts w:ascii="仿宋_GB2312" w:hAnsi="宋体" w:cs="黑体" w:hint="eastAsia"/>
          <w:sz w:val="24"/>
          <w:szCs w:val="24"/>
        </w:rPr>
        <w:t>.</w:t>
      </w:r>
      <w:r w:rsidRPr="00235256">
        <w:rPr>
          <w:rFonts w:ascii="仿宋_GB2312" w:hAnsi="宋体" w:cs="黑体" w:hint="eastAsia"/>
          <w:sz w:val="24"/>
          <w:szCs w:val="24"/>
        </w:rPr>
        <w:t>“</w:t>
      </w:r>
      <w:r>
        <w:rPr>
          <w:rFonts w:ascii="仿宋_GB2312" w:hAnsi="宋体" w:cs="黑体" w:hint="eastAsia"/>
          <w:sz w:val="24"/>
          <w:szCs w:val="24"/>
        </w:rPr>
        <w:t>融合示范的</w:t>
      </w:r>
      <w:r w:rsidRPr="00235256">
        <w:rPr>
          <w:rFonts w:ascii="仿宋_GB2312" w:hAnsi="宋体" w:cs="黑体" w:hint="eastAsia"/>
          <w:sz w:val="24"/>
          <w:szCs w:val="24"/>
        </w:rPr>
        <w:t>作物”</w:t>
      </w:r>
      <w:r>
        <w:rPr>
          <w:rFonts w:ascii="仿宋_GB2312" w:hAnsi="宋体" w:cs="黑体" w:hint="eastAsia"/>
          <w:sz w:val="24"/>
          <w:szCs w:val="24"/>
        </w:rPr>
        <w:t>是指</w:t>
      </w:r>
      <w:r w:rsidRPr="00235256">
        <w:rPr>
          <w:rFonts w:ascii="仿宋_GB2312" w:hAnsi="宋体" w:cs="黑体" w:hint="eastAsia"/>
          <w:sz w:val="24"/>
          <w:szCs w:val="24"/>
        </w:rPr>
        <w:t>示范基地</w:t>
      </w:r>
      <w:r>
        <w:rPr>
          <w:rFonts w:ascii="仿宋_GB2312" w:hAnsi="宋体" w:cs="黑体" w:hint="eastAsia"/>
          <w:sz w:val="24"/>
          <w:szCs w:val="24"/>
        </w:rPr>
        <w:t>实施病虫统防统治与绿色防控融合的各茬、各种作物，如上茬为油菜、小麦，下茬为水稻；</w:t>
      </w:r>
    </w:p>
    <w:p w:rsidR="005758B3" w:rsidRPr="00235256" w:rsidRDefault="005758B3" w:rsidP="005758B3">
      <w:pPr>
        <w:spacing w:line="500" w:lineRule="exact"/>
        <w:ind w:firstLineChars="300" w:firstLine="720"/>
        <w:rPr>
          <w:rFonts w:ascii="仿宋_GB2312" w:hAnsi="宋体" w:cs="黑体" w:hint="eastAsia"/>
          <w:sz w:val="24"/>
          <w:szCs w:val="24"/>
        </w:rPr>
      </w:pPr>
      <w:r>
        <w:rPr>
          <w:rFonts w:ascii="仿宋_GB2312" w:hAnsi="宋体" w:cs="黑体" w:hint="eastAsia"/>
          <w:sz w:val="24"/>
          <w:szCs w:val="24"/>
        </w:rPr>
        <w:t>5.</w:t>
      </w:r>
      <w:r w:rsidRPr="00235256">
        <w:rPr>
          <w:rFonts w:ascii="仿宋_GB2312" w:hAnsi="宋体" w:cs="黑体" w:hint="eastAsia"/>
          <w:sz w:val="24"/>
          <w:szCs w:val="24"/>
        </w:rPr>
        <w:t>“</w:t>
      </w:r>
      <w:r>
        <w:rPr>
          <w:rFonts w:ascii="仿宋_GB2312" w:hAnsi="宋体" w:cs="黑体" w:hint="eastAsia"/>
          <w:sz w:val="24"/>
          <w:szCs w:val="24"/>
        </w:rPr>
        <w:t>融合</w:t>
      </w:r>
      <w:r w:rsidRPr="00235256">
        <w:rPr>
          <w:rFonts w:ascii="仿宋_GB2312" w:hAnsi="宋体" w:cs="黑体" w:hint="eastAsia"/>
          <w:sz w:val="24"/>
          <w:szCs w:val="24"/>
        </w:rPr>
        <w:t>示范面积”是指示范基地</w:t>
      </w:r>
      <w:r>
        <w:rPr>
          <w:rFonts w:ascii="仿宋_GB2312" w:hAnsi="宋体" w:cs="黑体" w:hint="eastAsia"/>
          <w:sz w:val="24"/>
          <w:szCs w:val="24"/>
        </w:rPr>
        <w:t>实施病虫统防统治与绿色防控的各茬、各种作物面积之和</w:t>
      </w:r>
      <w:r w:rsidRPr="00235256">
        <w:rPr>
          <w:rFonts w:ascii="仿宋_GB2312" w:hAnsi="宋体" w:cs="黑体" w:hint="eastAsia"/>
          <w:sz w:val="24"/>
          <w:szCs w:val="24"/>
        </w:rPr>
        <w:t>；</w:t>
      </w:r>
    </w:p>
    <w:p w:rsidR="00F22C0D" w:rsidRDefault="005758B3" w:rsidP="005758B3">
      <w:pPr>
        <w:ind w:firstLineChars="300" w:firstLine="720"/>
      </w:pPr>
      <w:r w:rsidRPr="007E4A56">
        <w:rPr>
          <w:rFonts w:ascii="仿宋_GB2312" w:hAnsi="宋体" w:cs="黑体" w:hint="eastAsia"/>
          <w:sz w:val="24"/>
          <w:szCs w:val="24"/>
        </w:rPr>
        <w:t>6</w:t>
      </w:r>
      <w:r>
        <w:rPr>
          <w:rFonts w:ascii="仿宋_GB2312" w:hAnsi="宋体" w:cs="黑体" w:hint="eastAsia"/>
          <w:sz w:val="24"/>
          <w:szCs w:val="24"/>
        </w:rPr>
        <w:t>.</w:t>
      </w:r>
      <w:r w:rsidRPr="007E4A56">
        <w:rPr>
          <w:rFonts w:ascii="仿宋_GB2312" w:hAnsi="宋体" w:cs="黑体" w:hint="eastAsia"/>
          <w:sz w:val="24"/>
          <w:szCs w:val="24"/>
        </w:rPr>
        <w:t>“辐射带动面积”是指辐射带动区域各茬、各种作物面积之</w:t>
      </w:r>
      <w:proofErr w:type="gramStart"/>
      <w:r w:rsidRPr="007E4A56">
        <w:rPr>
          <w:rFonts w:ascii="仿宋_GB2312" w:hAnsi="宋体" w:cs="黑体" w:hint="eastAsia"/>
          <w:sz w:val="24"/>
          <w:szCs w:val="24"/>
        </w:rPr>
        <w:t>和</w:t>
      </w:r>
      <w:proofErr w:type="gramEnd"/>
      <w:r w:rsidRPr="007E4A56">
        <w:rPr>
          <w:rFonts w:ascii="仿宋_GB2312" w:hAnsi="宋体" w:cs="黑体" w:hint="eastAsia"/>
          <w:sz w:val="24"/>
          <w:szCs w:val="24"/>
        </w:rPr>
        <w:t>。</w:t>
      </w:r>
    </w:p>
    <w:sectPr w:rsidR="00F22C0D" w:rsidSect="005758B3">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B3"/>
    <w:rsid w:val="005758B3"/>
    <w:rsid w:val="00F2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B3"/>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B3"/>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lr</cp:lastModifiedBy>
  <cp:revision>1</cp:revision>
  <dcterms:created xsi:type="dcterms:W3CDTF">2016-04-12T01:19:00Z</dcterms:created>
  <dcterms:modified xsi:type="dcterms:W3CDTF">2016-04-12T01:20:00Z</dcterms:modified>
</cp:coreProperties>
</file>