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pacing w:val="-6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6"/>
          <w:sz w:val="32"/>
          <w:szCs w:val="32"/>
        </w:rPr>
        <w:t>“中国渔政亮剑20</w:t>
      </w:r>
      <w:r>
        <w:rPr>
          <w:rFonts w:hint="default" w:ascii="黑体" w:hAnsi="黑体" w:eastAsia="黑体" w:cs="黑体"/>
          <w:spacing w:val="-6"/>
          <w:sz w:val="32"/>
          <w:szCs w:val="32"/>
        </w:rPr>
        <w:t>20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”系列专项执法行动指挥部</w:t>
      </w:r>
      <w:r>
        <w:rPr>
          <w:rFonts w:hint="default" w:ascii="黑体" w:hAnsi="黑体" w:eastAsia="黑体" w:cs="黑体"/>
          <w:spacing w:val="-6"/>
          <w:sz w:val="32"/>
          <w:szCs w:val="32"/>
        </w:rPr>
        <w:t>副指挥长、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成员</w:t>
      </w:r>
      <w:r>
        <w:rPr>
          <w:rFonts w:hint="default" w:ascii="黑体" w:hAnsi="黑体" w:eastAsia="黑体" w:cs="黑体"/>
          <w:spacing w:val="-6"/>
          <w:sz w:val="32"/>
          <w:szCs w:val="32"/>
        </w:rPr>
        <w:t>及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联络员名单</w:t>
      </w:r>
    </w:p>
    <w:bookmarkEnd w:id="0"/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填报单位：</w:t>
      </w:r>
      <w:r>
        <w:rPr>
          <w:rFonts w:ascii="??_GB2312" w:hAnsi="??_GB2312" w:eastAsia="Times New Roman" w:cs="??_GB2312"/>
          <w:sz w:val="24"/>
        </w:rPr>
        <w:t>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91"/>
        <w:gridCol w:w="2085"/>
        <w:gridCol w:w="1335"/>
        <w:gridCol w:w="1710"/>
        <w:gridCol w:w="1635"/>
        <w:gridCol w:w="172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办公电话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真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</w:rPr>
              <w:t>副指挥长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  <w:r>
              <w:rPr>
                <w:rFonts w:hint="default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联络员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注：（1）此表由省级渔业渔政主管部门填报；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（2）行动指挥部</w:t>
      </w:r>
      <w:r>
        <w:rPr>
          <w:rFonts w:hint="default" w:ascii="仿宋_GB2312" w:hAnsi="仿宋_GB2312" w:eastAsia="仿宋_GB2312" w:cs="仿宋_GB2312"/>
          <w:sz w:val="24"/>
        </w:rPr>
        <w:t>副指挥长</w:t>
      </w:r>
      <w:r>
        <w:rPr>
          <w:rFonts w:hint="eastAsia" w:ascii="仿宋_GB2312" w:hAnsi="仿宋_GB2312" w:eastAsia="仿宋_GB2312" w:cs="仿宋_GB2312"/>
          <w:sz w:val="24"/>
        </w:rPr>
        <w:t>需为厅局级，</w:t>
      </w:r>
      <w:r>
        <w:rPr>
          <w:rFonts w:hint="default" w:ascii="仿宋_GB2312" w:hAnsi="仿宋_GB2312" w:eastAsia="仿宋_GB2312" w:cs="仿宋_GB2312"/>
          <w:sz w:val="24"/>
        </w:rPr>
        <w:t>成</w:t>
      </w:r>
      <w:r>
        <w:rPr>
          <w:rFonts w:hint="eastAsia" w:ascii="仿宋_GB2312" w:hAnsi="仿宋_GB2312" w:eastAsia="仿宋_GB2312" w:cs="仿宋_GB2312"/>
          <w:sz w:val="24"/>
        </w:rPr>
        <w:t>员需为处级；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（3）人员如有更换，请及时报送相关信息；</w:t>
      </w:r>
    </w:p>
    <w:p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（4）此表请于</w:t>
      </w:r>
      <w:r>
        <w:rPr>
          <w:rFonts w:hint="default" w:ascii="仿宋_GB2312" w:hAnsi="仿宋_GB2312" w:eastAsia="仿宋_GB2312" w:cs="仿宋_GB2312"/>
          <w:color w:val="auto"/>
          <w:sz w:val="24"/>
          <w:u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月</w:t>
      </w:r>
      <w:r>
        <w:rPr>
          <w:rFonts w:hint="default" w:ascii="仿宋_GB2312" w:hAnsi="仿宋_GB2312" w:eastAsia="仿宋_GB2312" w:cs="仿宋_GB2312"/>
          <w:color w:val="auto"/>
          <w:sz w:val="24"/>
          <w:u w:val="none"/>
        </w:rPr>
        <w:t>13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日前报送至</w:t>
      </w:r>
      <w:r>
        <w:rPr>
          <w:rFonts w:ascii="Times New Roman" w:hAnsi="Times New Roman" w:eastAsia="仿宋_GB2312"/>
          <w:color w:val="auto"/>
          <w:sz w:val="24"/>
          <w:u w:val="none"/>
        </w:rPr>
        <w:t>yuzhengchu</w:t>
      </w:r>
      <w:r>
        <w:rPr>
          <w:rFonts w:ascii="Times New Roman" w:hAnsi="Times New Roman" w:eastAsia="Arial Unicode MS"/>
          <w:color w:val="auto"/>
          <w:sz w:val="24"/>
          <w:u w:val="none"/>
        </w:rPr>
        <w:t>@</w:t>
      </w:r>
      <w:r>
        <w:rPr>
          <w:rFonts w:ascii="Times New Roman" w:hAnsi="Times New Roman" w:eastAsia="仿宋_GB2312"/>
          <w:color w:val="auto"/>
          <w:sz w:val="24"/>
          <w:u w:val="none"/>
        </w:rPr>
        <w:t>agri.gov.cn。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608D"/>
    <w:rsid w:val="766B6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2020-03-06T09:40:00Z</dcterms:created>
  <dc:creator>YZC</dc:creator>
  <cp:lastModifiedBy>YZC</cp:lastModifiedBy>
  <dcterms:modified xsi:type="dcterms:W3CDTF">2020-03-06T09:42:40Z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