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C" w:rsidRPr="0037798B" w:rsidRDefault="00D26E5C" w:rsidP="00D26E5C">
      <w:pPr>
        <w:rPr>
          <w:rFonts w:ascii="黑体" w:eastAsia="黑体" w:hint="eastAsia"/>
          <w:sz w:val="32"/>
          <w:szCs w:val="32"/>
        </w:rPr>
      </w:pPr>
      <w:r w:rsidRPr="0037798B">
        <w:rPr>
          <w:rFonts w:ascii="黑体" w:eastAsia="黑体" w:hint="eastAsia"/>
          <w:sz w:val="32"/>
          <w:szCs w:val="32"/>
        </w:rPr>
        <w:t>附件</w:t>
      </w:r>
    </w:p>
    <w:p w:rsidR="00D26E5C" w:rsidRDefault="00D26E5C" w:rsidP="00D26E5C">
      <w:pPr>
        <w:jc w:val="center"/>
        <w:rPr>
          <w:rFonts w:ascii="黑体" w:eastAsia="黑体" w:hint="eastAsia"/>
          <w:sz w:val="32"/>
          <w:szCs w:val="32"/>
        </w:rPr>
      </w:pPr>
      <w:r w:rsidRPr="0037798B">
        <w:rPr>
          <w:rFonts w:ascii="黑体" w:eastAsia="黑体" w:hint="eastAsia"/>
          <w:sz w:val="32"/>
          <w:szCs w:val="32"/>
        </w:rPr>
        <w:t>兽药比对试验目录（第二批）及</w:t>
      </w:r>
      <w:r>
        <w:rPr>
          <w:rFonts w:ascii="黑体" w:eastAsia="黑体" w:hint="eastAsia"/>
          <w:sz w:val="32"/>
          <w:szCs w:val="32"/>
        </w:rPr>
        <w:t>相关</w:t>
      </w:r>
      <w:r w:rsidRPr="0037798B">
        <w:rPr>
          <w:rFonts w:ascii="黑体" w:eastAsia="黑体" w:hint="eastAsia"/>
          <w:sz w:val="32"/>
          <w:szCs w:val="32"/>
        </w:rPr>
        <w:t>要求</w:t>
      </w:r>
    </w:p>
    <w:p w:rsidR="00D26E5C" w:rsidRPr="0037798B" w:rsidRDefault="00D26E5C" w:rsidP="00D26E5C">
      <w:pPr>
        <w:jc w:val="center"/>
        <w:rPr>
          <w:rFonts w:ascii="黑体" w:eastAsia="黑体" w:hint="eastAsia"/>
          <w:sz w:val="32"/>
          <w:szCs w:val="32"/>
        </w:rPr>
      </w:pPr>
      <w:r w:rsidRPr="0037798B">
        <w:rPr>
          <w:rFonts w:ascii="黑体" w:eastAsia="黑体" w:hAnsi="宋体" w:hint="eastAsia"/>
          <w:sz w:val="32"/>
          <w:szCs w:val="32"/>
        </w:rPr>
        <w:t>（征求意见稿）</w:t>
      </w:r>
    </w:p>
    <w:p w:rsidR="00D26E5C" w:rsidRDefault="00D26E5C" w:rsidP="00D26E5C">
      <w:pPr>
        <w:ind w:firstLineChars="200" w:firstLine="632"/>
        <w:rPr>
          <w:rFonts w:ascii="黑体" w:eastAsia="黑体" w:hint="eastAsia"/>
          <w:sz w:val="32"/>
          <w:szCs w:val="32"/>
        </w:rPr>
      </w:pPr>
    </w:p>
    <w:p w:rsidR="00D26E5C" w:rsidRPr="0037798B" w:rsidRDefault="00D26E5C" w:rsidP="00D26E5C">
      <w:pPr>
        <w:ind w:firstLineChars="200" w:firstLine="632"/>
        <w:rPr>
          <w:rFonts w:ascii="黑体" w:eastAsia="黑体" w:hint="eastAsia"/>
          <w:sz w:val="32"/>
          <w:szCs w:val="32"/>
        </w:rPr>
      </w:pPr>
      <w:r w:rsidRPr="0037798B">
        <w:rPr>
          <w:rFonts w:ascii="黑体" w:eastAsia="黑体" w:hint="eastAsia"/>
          <w:sz w:val="32"/>
          <w:szCs w:val="32"/>
        </w:rPr>
        <w:t>一、相关要求</w:t>
      </w:r>
    </w:p>
    <w:p w:rsidR="00D26E5C" w:rsidRPr="00A85B1F" w:rsidRDefault="00D26E5C" w:rsidP="00D26E5C">
      <w:pPr>
        <w:ind w:firstLineChars="200" w:firstLine="632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A85B1F">
        <w:rPr>
          <w:rFonts w:eastAsia="仿宋_GB2312" w:hint="eastAsia"/>
          <w:sz w:val="32"/>
          <w:szCs w:val="32"/>
        </w:rPr>
        <w:t>对</w:t>
      </w:r>
      <w:r w:rsidRPr="00A85B1F">
        <w:rPr>
          <w:rFonts w:eastAsia="仿宋_GB2312"/>
          <w:sz w:val="32"/>
          <w:szCs w:val="32"/>
        </w:rPr>
        <w:t>2012</w:t>
      </w:r>
      <w:r w:rsidRPr="00A85B1F">
        <w:rPr>
          <w:rFonts w:eastAsia="仿宋_GB2312" w:hint="eastAsia"/>
          <w:sz w:val="32"/>
          <w:szCs w:val="32"/>
        </w:rPr>
        <w:t>年至</w:t>
      </w:r>
      <w:r w:rsidRPr="00A85B1F">
        <w:rPr>
          <w:rFonts w:eastAsia="仿宋_GB2312"/>
          <w:sz w:val="32"/>
          <w:szCs w:val="32"/>
        </w:rPr>
        <w:t>2018</w:t>
      </w:r>
      <w:r w:rsidRPr="00A85B1F">
        <w:rPr>
          <w:rFonts w:eastAsia="仿宋_GB2312" w:hint="eastAsia"/>
          <w:sz w:val="32"/>
          <w:szCs w:val="32"/>
        </w:rPr>
        <w:t>年</w:t>
      </w:r>
      <w:r w:rsidRPr="00A85B1F">
        <w:rPr>
          <w:rFonts w:eastAsia="仿宋_GB2312"/>
          <w:sz w:val="32"/>
          <w:szCs w:val="32"/>
        </w:rPr>
        <w:t>4</w:t>
      </w:r>
      <w:r w:rsidRPr="00A85B1F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我</w:t>
      </w:r>
      <w:r w:rsidRPr="00A85B1F">
        <w:rPr>
          <w:rFonts w:eastAsia="仿宋_GB2312" w:hint="eastAsia"/>
          <w:sz w:val="32"/>
          <w:szCs w:val="32"/>
        </w:rPr>
        <w:t>部公告批准的新兽药（不含第一批目录中的产品）</w:t>
      </w:r>
      <w:r>
        <w:rPr>
          <w:rFonts w:eastAsia="仿宋_GB2312" w:hint="eastAsia"/>
          <w:sz w:val="32"/>
          <w:szCs w:val="32"/>
        </w:rPr>
        <w:t>，</w:t>
      </w:r>
      <w:r w:rsidRPr="00A85B1F">
        <w:rPr>
          <w:rFonts w:eastAsia="仿宋_GB2312" w:hint="eastAsia"/>
          <w:sz w:val="32"/>
          <w:szCs w:val="32"/>
        </w:rPr>
        <w:t>均统一</w:t>
      </w:r>
      <w:r>
        <w:rPr>
          <w:rFonts w:eastAsia="仿宋_GB2312" w:hint="eastAsia"/>
          <w:sz w:val="32"/>
          <w:szCs w:val="32"/>
        </w:rPr>
        <w:t>纳入《</w:t>
      </w:r>
      <w:r w:rsidRPr="00A85B1F">
        <w:rPr>
          <w:rFonts w:eastAsia="仿宋_GB2312" w:hint="eastAsia"/>
          <w:sz w:val="32"/>
          <w:szCs w:val="32"/>
        </w:rPr>
        <w:t>兽药比对试验目录（第二批）</w:t>
      </w:r>
      <w:r>
        <w:rPr>
          <w:rFonts w:eastAsia="仿宋_GB2312" w:hint="eastAsia"/>
          <w:sz w:val="32"/>
          <w:szCs w:val="32"/>
        </w:rPr>
        <w:t>》，并</w:t>
      </w:r>
      <w:r w:rsidRPr="00A85B1F">
        <w:rPr>
          <w:rFonts w:eastAsia="仿宋_GB2312" w:hint="eastAsia"/>
          <w:sz w:val="32"/>
          <w:szCs w:val="32"/>
        </w:rPr>
        <w:t>设定</w:t>
      </w:r>
      <w:r>
        <w:rPr>
          <w:rFonts w:eastAsia="仿宋_GB2312" w:hint="eastAsia"/>
          <w:sz w:val="32"/>
          <w:szCs w:val="32"/>
        </w:rPr>
        <w:t>了</w:t>
      </w:r>
      <w:r w:rsidRPr="00A85B1F">
        <w:rPr>
          <w:rFonts w:eastAsia="仿宋_GB2312" w:hint="eastAsia"/>
          <w:sz w:val="32"/>
          <w:szCs w:val="32"/>
        </w:rPr>
        <w:t>比对试验的技术要求</w:t>
      </w:r>
      <w:r>
        <w:rPr>
          <w:rFonts w:eastAsia="仿宋_GB2312" w:hint="eastAsia"/>
          <w:sz w:val="32"/>
          <w:szCs w:val="32"/>
        </w:rPr>
        <w:t>。</w:t>
      </w:r>
      <w:r w:rsidRPr="00A85B1F">
        <w:rPr>
          <w:rFonts w:eastAsia="仿宋_GB2312" w:hint="eastAsia"/>
          <w:sz w:val="32"/>
          <w:szCs w:val="32"/>
        </w:rPr>
        <w:t>但</w:t>
      </w:r>
      <w:r>
        <w:rPr>
          <w:rFonts w:eastAsia="仿宋_GB2312" w:hint="eastAsia"/>
          <w:sz w:val="32"/>
          <w:szCs w:val="32"/>
        </w:rPr>
        <w:t>对尚在监测期期内的新兽药，不得开展比对试验，</w:t>
      </w:r>
      <w:r w:rsidRPr="00A85B1F">
        <w:rPr>
          <w:rFonts w:eastAsia="仿宋_GB2312" w:hint="eastAsia"/>
          <w:sz w:val="32"/>
          <w:szCs w:val="32"/>
        </w:rPr>
        <w:t>监测期</w:t>
      </w:r>
      <w:r>
        <w:rPr>
          <w:rFonts w:eastAsia="仿宋_GB2312" w:hint="eastAsia"/>
          <w:sz w:val="32"/>
          <w:szCs w:val="32"/>
        </w:rPr>
        <w:t>期满</w:t>
      </w:r>
      <w:r w:rsidRPr="00A85B1F">
        <w:rPr>
          <w:rFonts w:eastAsia="仿宋_GB2312" w:hint="eastAsia"/>
          <w:sz w:val="32"/>
          <w:szCs w:val="32"/>
        </w:rPr>
        <w:t>后方可进行比对试验。</w:t>
      </w:r>
    </w:p>
    <w:p w:rsidR="00D26E5C" w:rsidRPr="00A85B1F" w:rsidRDefault="00D26E5C" w:rsidP="00D26E5C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Pr="00A85B1F">
        <w:rPr>
          <w:rFonts w:eastAsia="仿宋_GB2312" w:hint="eastAsia"/>
          <w:sz w:val="32"/>
          <w:szCs w:val="32"/>
        </w:rPr>
        <w:t>对于</w:t>
      </w:r>
      <w:r>
        <w:rPr>
          <w:rFonts w:eastAsia="仿宋_GB2312" w:hint="eastAsia"/>
          <w:sz w:val="32"/>
          <w:szCs w:val="32"/>
        </w:rPr>
        <w:t>多家单位</w:t>
      </w:r>
      <w:r w:rsidRPr="00A85B1F">
        <w:rPr>
          <w:rFonts w:eastAsia="仿宋_GB2312" w:hint="eastAsia"/>
          <w:sz w:val="32"/>
          <w:szCs w:val="32"/>
        </w:rPr>
        <w:t>联合</w:t>
      </w:r>
      <w:r>
        <w:rPr>
          <w:rFonts w:eastAsia="仿宋_GB2312" w:hint="eastAsia"/>
          <w:sz w:val="32"/>
          <w:szCs w:val="32"/>
        </w:rPr>
        <w:t>注册</w:t>
      </w:r>
      <w:r w:rsidRPr="00A85B1F">
        <w:rPr>
          <w:rFonts w:eastAsia="仿宋_GB2312" w:hint="eastAsia"/>
          <w:sz w:val="32"/>
          <w:szCs w:val="32"/>
        </w:rPr>
        <w:t>的新兽药，优先选择新兽药注册时提供临床试验</w:t>
      </w:r>
      <w:r>
        <w:rPr>
          <w:rFonts w:eastAsia="仿宋_GB2312" w:hint="eastAsia"/>
          <w:sz w:val="32"/>
          <w:szCs w:val="32"/>
        </w:rPr>
        <w:t>样</w:t>
      </w:r>
      <w:r w:rsidRPr="00A85B1F">
        <w:rPr>
          <w:rFonts w:eastAsia="仿宋_GB2312" w:hint="eastAsia"/>
          <w:sz w:val="32"/>
          <w:szCs w:val="32"/>
        </w:rPr>
        <w:t>品或者复核检验样品的</w:t>
      </w:r>
      <w:r>
        <w:rPr>
          <w:rFonts w:eastAsia="仿宋_GB2312" w:hint="eastAsia"/>
          <w:sz w:val="32"/>
          <w:szCs w:val="32"/>
        </w:rPr>
        <w:t>兽药</w:t>
      </w:r>
      <w:r w:rsidRPr="00A85B1F">
        <w:rPr>
          <w:rFonts w:eastAsia="仿宋_GB2312" w:hint="eastAsia"/>
          <w:sz w:val="32"/>
          <w:szCs w:val="32"/>
        </w:rPr>
        <w:t>生产企业</w:t>
      </w:r>
      <w:r>
        <w:rPr>
          <w:rFonts w:eastAsia="仿宋_GB2312" w:hint="eastAsia"/>
          <w:sz w:val="32"/>
          <w:szCs w:val="32"/>
        </w:rPr>
        <w:t>生产</w:t>
      </w:r>
      <w:r w:rsidRPr="00A85B1F">
        <w:rPr>
          <w:rFonts w:eastAsia="仿宋_GB2312" w:hint="eastAsia"/>
          <w:sz w:val="32"/>
          <w:szCs w:val="32"/>
        </w:rPr>
        <w:t>的产品作为参比品</w:t>
      </w:r>
      <w:r>
        <w:rPr>
          <w:rFonts w:eastAsia="仿宋_GB2312" w:hint="eastAsia"/>
          <w:sz w:val="32"/>
          <w:szCs w:val="32"/>
        </w:rPr>
        <w:t>；</w:t>
      </w:r>
      <w:r w:rsidRPr="00A85B1F">
        <w:rPr>
          <w:rFonts w:eastAsia="仿宋_GB2312" w:hint="eastAsia"/>
          <w:sz w:val="32"/>
          <w:szCs w:val="32"/>
        </w:rPr>
        <w:t>其次选择联合申报单位中首家取得产品批准文号的</w:t>
      </w:r>
      <w:r>
        <w:rPr>
          <w:rFonts w:eastAsia="仿宋_GB2312" w:hint="eastAsia"/>
          <w:sz w:val="32"/>
          <w:szCs w:val="32"/>
        </w:rPr>
        <w:t>兽药</w:t>
      </w:r>
      <w:r w:rsidRPr="00A85B1F">
        <w:rPr>
          <w:rFonts w:eastAsia="仿宋_GB2312" w:hint="eastAsia"/>
          <w:sz w:val="32"/>
          <w:szCs w:val="32"/>
        </w:rPr>
        <w:t>生产企业的产品作为参比品。</w:t>
      </w:r>
    </w:p>
    <w:p w:rsidR="00D26E5C" w:rsidRPr="00A85B1F" w:rsidRDefault="00D26E5C" w:rsidP="00D26E5C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（三）对</w:t>
      </w:r>
      <w:r w:rsidRPr="00A85B1F">
        <w:rPr>
          <w:rFonts w:eastAsia="仿宋_GB2312" w:hint="eastAsia"/>
          <w:sz w:val="32"/>
          <w:szCs w:val="32"/>
        </w:rPr>
        <w:t>不同单位</w:t>
      </w:r>
      <w:r>
        <w:rPr>
          <w:rFonts w:eastAsia="仿宋_GB2312" w:hint="eastAsia"/>
          <w:sz w:val="32"/>
          <w:szCs w:val="32"/>
        </w:rPr>
        <w:t>注册</w:t>
      </w:r>
      <w:r w:rsidRPr="00A85B1F">
        <w:rPr>
          <w:rFonts w:eastAsia="仿宋_GB2312" w:hint="eastAsia"/>
          <w:sz w:val="32"/>
          <w:szCs w:val="32"/>
        </w:rPr>
        <w:t>的同</w:t>
      </w:r>
      <w:r>
        <w:rPr>
          <w:rFonts w:eastAsia="仿宋_GB2312" w:hint="eastAsia"/>
          <w:sz w:val="32"/>
          <w:szCs w:val="32"/>
        </w:rPr>
        <w:t>品</w:t>
      </w:r>
      <w:r w:rsidRPr="00A85B1F">
        <w:rPr>
          <w:rFonts w:eastAsia="仿宋_GB2312" w:hint="eastAsia"/>
          <w:sz w:val="32"/>
          <w:szCs w:val="32"/>
        </w:rPr>
        <w:t>种产品，按</w:t>
      </w:r>
      <w:r>
        <w:rPr>
          <w:rFonts w:eastAsia="仿宋_GB2312" w:hint="eastAsia"/>
          <w:sz w:val="32"/>
          <w:szCs w:val="32"/>
        </w:rPr>
        <w:t>执行的兽药质量标准</w:t>
      </w:r>
      <w:r w:rsidRPr="00A85B1F">
        <w:rPr>
          <w:rFonts w:eastAsia="仿宋_GB2312" w:hint="eastAsia"/>
          <w:sz w:val="32"/>
          <w:szCs w:val="32"/>
        </w:rPr>
        <w:t>各自进行比对试验。</w:t>
      </w:r>
    </w:p>
    <w:p w:rsidR="00D26E5C" w:rsidRPr="00A85B1F" w:rsidRDefault="00D26E5C" w:rsidP="00D26E5C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Pr="00A85B1F"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有效期满</w:t>
      </w:r>
      <w:r w:rsidRPr="00A85B1F">
        <w:rPr>
          <w:rFonts w:eastAsia="仿宋_GB2312" w:hint="eastAsia"/>
          <w:sz w:val="32"/>
          <w:szCs w:val="32"/>
        </w:rPr>
        <w:t>未进行再注册的进口兽药产品，</w:t>
      </w:r>
      <w:r>
        <w:rPr>
          <w:rFonts w:eastAsia="仿宋_GB2312" w:hint="eastAsia"/>
          <w:sz w:val="32"/>
          <w:szCs w:val="32"/>
        </w:rPr>
        <w:t>《</w:t>
      </w:r>
      <w:r w:rsidRPr="00A85B1F">
        <w:rPr>
          <w:rFonts w:eastAsia="仿宋_GB2312" w:hint="eastAsia"/>
          <w:sz w:val="32"/>
          <w:szCs w:val="32"/>
        </w:rPr>
        <w:t>进口兽药</w:t>
      </w:r>
      <w:r>
        <w:rPr>
          <w:rFonts w:eastAsia="仿宋_GB2312" w:hint="eastAsia"/>
          <w:sz w:val="32"/>
          <w:szCs w:val="32"/>
        </w:rPr>
        <w:t>注册</w:t>
      </w:r>
      <w:r w:rsidRPr="00A85B1F">
        <w:rPr>
          <w:rFonts w:eastAsia="仿宋_GB2312" w:hint="eastAsia"/>
          <w:sz w:val="32"/>
          <w:szCs w:val="32"/>
        </w:rPr>
        <w:t>证书</w:t>
      </w:r>
      <w:r>
        <w:rPr>
          <w:rFonts w:eastAsia="仿宋_GB2312" w:hint="eastAsia"/>
          <w:sz w:val="32"/>
          <w:szCs w:val="32"/>
        </w:rPr>
        <w:t>》</w:t>
      </w:r>
      <w:r w:rsidRPr="00A85B1F">
        <w:rPr>
          <w:rFonts w:eastAsia="仿宋_GB2312" w:hint="eastAsia"/>
          <w:sz w:val="32"/>
          <w:szCs w:val="32"/>
        </w:rPr>
        <w:t>失效，</w:t>
      </w:r>
      <w:r>
        <w:rPr>
          <w:rFonts w:eastAsia="仿宋_GB2312" w:hint="eastAsia"/>
          <w:sz w:val="32"/>
          <w:szCs w:val="32"/>
        </w:rPr>
        <w:t>但兽药质量</w:t>
      </w:r>
      <w:r w:rsidRPr="00A85B1F">
        <w:rPr>
          <w:rFonts w:eastAsia="仿宋_GB2312" w:hint="eastAsia"/>
          <w:sz w:val="32"/>
          <w:szCs w:val="32"/>
        </w:rPr>
        <w:t>标准</w:t>
      </w:r>
      <w:r>
        <w:rPr>
          <w:rFonts w:eastAsia="仿宋_GB2312" w:hint="eastAsia"/>
          <w:sz w:val="32"/>
          <w:szCs w:val="32"/>
        </w:rPr>
        <w:t>继续有效；如相同品种有新的兽药国家标准</w:t>
      </w:r>
      <w:r w:rsidRPr="00A85B1F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则执行新的兽药质量标准。</w:t>
      </w:r>
      <w:r w:rsidRPr="00A85B1F">
        <w:rPr>
          <w:rFonts w:eastAsia="仿宋_GB2312" w:hint="eastAsia"/>
          <w:sz w:val="32"/>
          <w:szCs w:val="32"/>
        </w:rPr>
        <w:t>对无法取得参比品的，可参照新兽药进行申报（原料参照三类、制剂参照五类要求申报），</w:t>
      </w:r>
      <w:r>
        <w:rPr>
          <w:rFonts w:eastAsia="仿宋_GB2312" w:hint="eastAsia"/>
          <w:sz w:val="32"/>
          <w:szCs w:val="32"/>
        </w:rPr>
        <w:t>核发兽药产品批准文号，</w:t>
      </w:r>
      <w:r w:rsidRPr="00A85B1F">
        <w:rPr>
          <w:rFonts w:eastAsia="仿宋_GB2312" w:hint="eastAsia"/>
          <w:sz w:val="32"/>
          <w:szCs w:val="32"/>
        </w:rPr>
        <w:t>不核发新兽药证书，不设监测期。</w:t>
      </w:r>
    </w:p>
    <w:p w:rsidR="00D26E5C" w:rsidRPr="00A85B1F" w:rsidRDefault="00D26E5C" w:rsidP="00D26E5C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（五）比对试验</w:t>
      </w:r>
      <w:r w:rsidRPr="00A85B1F">
        <w:rPr>
          <w:rFonts w:eastAsia="仿宋_GB2312" w:hint="eastAsia"/>
          <w:sz w:val="32"/>
          <w:szCs w:val="32"/>
        </w:rPr>
        <w:t>目录发布后</w:t>
      </w:r>
      <w:r>
        <w:rPr>
          <w:rFonts w:eastAsia="仿宋_GB2312" w:hint="eastAsia"/>
          <w:sz w:val="32"/>
          <w:szCs w:val="32"/>
        </w:rPr>
        <w:t>，如</w:t>
      </w:r>
      <w:r w:rsidRPr="00A85B1F">
        <w:rPr>
          <w:rFonts w:eastAsia="仿宋_GB2312" w:hint="eastAsia"/>
          <w:sz w:val="32"/>
          <w:szCs w:val="32"/>
        </w:rPr>
        <w:t>产品发生</w:t>
      </w:r>
      <w:r>
        <w:rPr>
          <w:rFonts w:eastAsia="仿宋_GB2312" w:hint="eastAsia"/>
          <w:sz w:val="32"/>
          <w:szCs w:val="32"/>
        </w:rPr>
        <w:t>质量标准</w:t>
      </w:r>
      <w:r w:rsidRPr="00A85B1F">
        <w:rPr>
          <w:rFonts w:eastAsia="仿宋_GB2312" w:hint="eastAsia"/>
          <w:sz w:val="32"/>
          <w:szCs w:val="32"/>
        </w:rPr>
        <w:t>变更，</w:t>
      </w:r>
      <w:r w:rsidRPr="00A85B1F">
        <w:rPr>
          <w:rFonts w:eastAsia="仿宋_GB2312" w:hint="eastAsia"/>
          <w:sz w:val="32"/>
          <w:szCs w:val="32"/>
        </w:rPr>
        <w:lastRenderedPageBreak/>
        <w:t>应执行最新标准。</w:t>
      </w:r>
    </w:p>
    <w:p w:rsidR="00D26E5C" w:rsidRPr="00A85B1F" w:rsidRDefault="00D26E5C" w:rsidP="00D26E5C">
      <w:pPr>
        <w:ind w:firstLineChars="200" w:firstLine="63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（六）对</w:t>
      </w:r>
      <w:r w:rsidRPr="00A85B1F">
        <w:rPr>
          <w:rFonts w:eastAsia="仿宋_GB2312" w:hint="eastAsia"/>
          <w:sz w:val="32"/>
          <w:szCs w:val="32"/>
        </w:rPr>
        <w:t>取得</w:t>
      </w:r>
      <w:r>
        <w:rPr>
          <w:rFonts w:eastAsia="仿宋_GB2312" w:hint="eastAsia"/>
          <w:sz w:val="32"/>
          <w:szCs w:val="32"/>
        </w:rPr>
        <w:t>《</w:t>
      </w:r>
      <w:r w:rsidRPr="00A85B1F">
        <w:rPr>
          <w:rFonts w:eastAsia="仿宋_GB2312" w:hint="eastAsia"/>
          <w:sz w:val="32"/>
          <w:szCs w:val="32"/>
        </w:rPr>
        <w:t>进口兽药注册证书</w:t>
      </w:r>
      <w:r>
        <w:rPr>
          <w:rFonts w:eastAsia="仿宋_GB2312" w:hint="eastAsia"/>
          <w:sz w:val="32"/>
          <w:szCs w:val="32"/>
        </w:rPr>
        <w:t>》</w:t>
      </w:r>
      <w:r w:rsidRPr="00A85B1F">
        <w:rPr>
          <w:rFonts w:eastAsia="仿宋_GB2312" w:hint="eastAsia"/>
          <w:sz w:val="32"/>
          <w:szCs w:val="32"/>
        </w:rPr>
        <w:t>后</w:t>
      </w:r>
      <w:r w:rsidRPr="00A85B1F">
        <w:rPr>
          <w:rFonts w:eastAsia="仿宋_GB2312"/>
          <w:sz w:val="32"/>
          <w:szCs w:val="32"/>
        </w:rPr>
        <w:t>1</w:t>
      </w:r>
      <w:r w:rsidRPr="00A85B1F">
        <w:rPr>
          <w:rFonts w:eastAsia="仿宋_GB2312" w:hint="eastAsia"/>
          <w:sz w:val="32"/>
          <w:szCs w:val="32"/>
        </w:rPr>
        <w:t>年内未进口</w:t>
      </w:r>
      <w:r>
        <w:rPr>
          <w:rFonts w:eastAsia="仿宋_GB2312" w:hint="eastAsia"/>
          <w:sz w:val="32"/>
          <w:szCs w:val="32"/>
        </w:rPr>
        <w:t>的</w:t>
      </w:r>
      <w:r w:rsidRPr="00A85B1F">
        <w:rPr>
          <w:rFonts w:eastAsia="仿宋_GB2312" w:hint="eastAsia"/>
          <w:sz w:val="32"/>
          <w:szCs w:val="32"/>
        </w:rPr>
        <w:t>品种</w:t>
      </w:r>
      <w:r>
        <w:rPr>
          <w:rFonts w:eastAsia="仿宋_GB2312" w:hint="eastAsia"/>
          <w:sz w:val="32"/>
          <w:szCs w:val="32"/>
        </w:rPr>
        <w:t>以及</w:t>
      </w:r>
      <w:r w:rsidRPr="00A85B1F">
        <w:rPr>
          <w:rFonts w:eastAsia="仿宋_GB2312" w:hint="eastAsia"/>
          <w:sz w:val="32"/>
          <w:szCs w:val="32"/>
        </w:rPr>
        <w:t>取得兽药产品批准文号后</w:t>
      </w:r>
      <w:r w:rsidRPr="00A85B1F">
        <w:rPr>
          <w:rFonts w:eastAsia="仿宋_GB2312"/>
          <w:sz w:val="32"/>
          <w:szCs w:val="32"/>
        </w:rPr>
        <w:t>1</w:t>
      </w:r>
      <w:r w:rsidRPr="00A85B1F">
        <w:rPr>
          <w:rFonts w:eastAsia="仿宋_GB2312" w:hint="eastAsia"/>
          <w:sz w:val="32"/>
          <w:szCs w:val="32"/>
        </w:rPr>
        <w:t>年内未生产的品种，其他单位可参照新兽药（原则上按原类别）进行申报，</w:t>
      </w:r>
      <w:r>
        <w:rPr>
          <w:rFonts w:eastAsia="仿宋_GB2312" w:hint="eastAsia"/>
          <w:sz w:val="32"/>
          <w:szCs w:val="32"/>
        </w:rPr>
        <w:t>核发兽药产品批准文号，但</w:t>
      </w:r>
      <w:r w:rsidRPr="00A85B1F">
        <w:rPr>
          <w:rFonts w:eastAsia="仿宋_GB2312" w:hint="eastAsia"/>
          <w:sz w:val="32"/>
          <w:szCs w:val="32"/>
        </w:rPr>
        <w:t>不核发新兽药</w:t>
      </w:r>
      <w:r>
        <w:rPr>
          <w:rFonts w:eastAsia="仿宋_GB2312" w:hint="eastAsia"/>
          <w:sz w:val="32"/>
          <w:szCs w:val="32"/>
        </w:rPr>
        <w:t>注册</w:t>
      </w:r>
      <w:r w:rsidRPr="00A85B1F">
        <w:rPr>
          <w:rFonts w:eastAsia="仿宋_GB2312" w:hint="eastAsia"/>
          <w:sz w:val="32"/>
          <w:szCs w:val="32"/>
        </w:rPr>
        <w:t>证书，不设监测期。</w:t>
      </w:r>
    </w:p>
    <w:p w:rsidR="00D26E5C" w:rsidRDefault="00D26E5C" w:rsidP="00D26E5C">
      <w:pPr>
        <w:widowControl/>
        <w:jc w:val="left"/>
        <w:rPr>
          <w:rFonts w:ascii="仿宋" w:eastAsia="仿宋" w:hAnsi="仿宋" w:hint="eastAsia"/>
          <w:kern w:val="0"/>
        </w:rPr>
      </w:pPr>
    </w:p>
    <w:p w:rsidR="00D26E5C" w:rsidRDefault="00D26E5C" w:rsidP="00D26E5C">
      <w:pPr>
        <w:widowControl/>
        <w:jc w:val="left"/>
        <w:rPr>
          <w:rFonts w:ascii="仿宋" w:eastAsia="仿宋" w:hAnsi="仿宋" w:hint="eastAsia"/>
          <w:kern w:val="0"/>
        </w:rPr>
      </w:pPr>
    </w:p>
    <w:p w:rsidR="00D26E5C" w:rsidRDefault="00D26E5C" w:rsidP="00D26E5C">
      <w:pPr>
        <w:widowControl/>
        <w:jc w:val="left"/>
        <w:rPr>
          <w:rFonts w:ascii="仿宋" w:eastAsia="仿宋" w:hAnsi="仿宋" w:hint="eastAsia"/>
          <w:kern w:val="0"/>
        </w:rPr>
      </w:pPr>
    </w:p>
    <w:p w:rsidR="00D26E5C" w:rsidRDefault="00D26E5C" w:rsidP="00D26E5C">
      <w:pPr>
        <w:widowControl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</w:rPr>
        <w:t xml:space="preserve">                                            </w:t>
      </w:r>
      <w:r w:rsidRPr="00E565BB">
        <w:rPr>
          <w:rFonts w:ascii="仿宋" w:eastAsia="仿宋" w:hAnsi="仿宋" w:hint="eastAsia"/>
          <w:kern w:val="0"/>
          <w:sz w:val="32"/>
          <w:szCs w:val="32"/>
        </w:rPr>
        <w:t xml:space="preserve">       </w:t>
      </w:r>
    </w:p>
    <w:p w:rsidR="00D26E5C" w:rsidRPr="00E565BB" w:rsidRDefault="00D26E5C" w:rsidP="00D26E5C">
      <w:pPr>
        <w:widowControl/>
        <w:jc w:val="left"/>
        <w:rPr>
          <w:rFonts w:ascii="仿宋_GB2312" w:eastAsia="仿宋_GB2312" w:hAnsi="宋体" w:hint="eastAsia"/>
          <w:kern w:val="0"/>
          <w:sz w:val="32"/>
          <w:szCs w:val="32"/>
        </w:rPr>
        <w:sectPr w:rsidR="00D26E5C" w:rsidRPr="00E565BB">
          <w:pgSz w:w="11907" w:h="16840"/>
          <w:pgMar w:top="2098" w:right="1474" w:bottom="1474" w:left="1588" w:header="720" w:footer="851" w:gutter="0"/>
          <w:cols w:space="720"/>
          <w:docGrid w:type="linesAndChars" w:linePitch="579" w:charSpace="-842"/>
        </w:sect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D26E5C" w:rsidRPr="00E565BB" w:rsidRDefault="00D26E5C" w:rsidP="00D26E5C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 w:rsidRPr="00E565BB">
        <w:rPr>
          <w:rFonts w:ascii="黑体" w:eastAsia="黑体" w:hint="eastAsia"/>
          <w:sz w:val="32"/>
          <w:szCs w:val="32"/>
        </w:rPr>
        <w:t>兽药比对试验目录（第二批）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Cs w:val="32"/>
        </w:rPr>
        <w:t>（一）进口兽药产品</w:t>
      </w:r>
    </w:p>
    <w:tbl>
      <w:tblPr>
        <w:tblW w:w="0" w:type="auto"/>
        <w:tblLook w:val="04A0"/>
      </w:tblPr>
      <w:tblGrid>
        <w:gridCol w:w="577"/>
        <w:gridCol w:w="2372"/>
        <w:gridCol w:w="4270"/>
        <w:gridCol w:w="1055"/>
        <w:gridCol w:w="458"/>
        <w:gridCol w:w="818"/>
        <w:gridCol w:w="938"/>
        <w:gridCol w:w="3688"/>
      </w:tblGrid>
      <w:tr w:rsidR="00D26E5C" w:rsidTr="00EF0203">
        <w:trPr>
          <w:trHeight w:val="98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兽药名称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生产厂名称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公告号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临床验证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休药期验证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26E5C" w:rsidTr="00EF0203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D-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氯前列醇钠注射液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西班牙海博莱生物大药厂</w:t>
            </w:r>
            <w:r>
              <w:rPr>
                <w:color w:val="000000"/>
                <w:kern w:val="0"/>
                <w:sz w:val="24"/>
              </w:rPr>
              <w:t>Laboratorios HIPRA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阿福拉纳咀嚼片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梅里亚有限公司法国吐鲁兹生产厂</w:t>
            </w:r>
            <w:r>
              <w:rPr>
                <w:kern w:val="0"/>
                <w:sz w:val="24"/>
              </w:rPr>
              <w:t>MerialToulouse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醋酸曲普瑞林凝胶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DPT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实验室有限公司</w:t>
            </w:r>
            <w:r>
              <w:rPr>
                <w:color w:val="000000"/>
                <w:kern w:val="0"/>
                <w:sz w:val="24"/>
              </w:rPr>
              <w:t>DPT Laboratories, Ltd.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多杀霉素咀嚼片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美国艾伯维公司</w:t>
            </w:r>
            <w:r>
              <w:rPr>
                <w:rFonts w:ascii="仿宋_GB2312" w:eastAsia="仿宋_GB2312" w:hint="eastAsia"/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AbbVie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已在第一批目录中。变更注册：增加靶动物猫。无合法原料。</w:t>
            </w:r>
          </w:p>
        </w:tc>
      </w:tr>
      <w:tr w:rsidR="00D26E5C" w:rsidTr="00EF0203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恩诺沙星注射液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KVP Kiel</w:t>
            </w:r>
            <w:r>
              <w:rPr>
                <w:rFonts w:ascii="仿宋_GB2312" w:eastAsia="仿宋_GB2312" w:hint="eastAsia"/>
                <w:kern w:val="0"/>
                <w:sz w:val="24"/>
              </w:rPr>
              <w:t>有限责任公司</w:t>
            </w:r>
            <w:r>
              <w:rPr>
                <w:kern w:val="0"/>
                <w:sz w:val="24"/>
              </w:rPr>
              <w:t>KVP Pharma + Veterinär Produkte GmbH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Pr="00B618EA" w:rsidRDefault="00D26E5C" w:rsidP="00EF0203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复方非泼罗尼吡喹酮滴剂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梅里亚有限公司法国吐鲁兹生产厂</w:t>
            </w:r>
            <w:r>
              <w:rPr>
                <w:kern w:val="0"/>
                <w:sz w:val="24"/>
              </w:rPr>
              <w:t>MerialToulouse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枸橼酸马罗匹坦片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法瑞瓦公司法国生产厂</w:t>
            </w:r>
            <w:r>
              <w:rPr>
                <w:rFonts w:ascii="仿宋_GB2312" w:eastAsia="仿宋_GB2312" w:hint="eastAsia"/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 xml:space="preserve"> Fareva Amboise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枸橼酸马罗匹坦注射液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法瑞瓦公司法国生产厂</w:t>
            </w:r>
            <w:r>
              <w:rPr>
                <w:rFonts w:ascii="仿宋_GB2312" w:eastAsia="仿宋_GB2312" w:hint="eastAsia"/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 xml:space="preserve"> Fareva Amboise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spacing w:line="30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加米霉素注射液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梅里亚有限公司法国吐鲁兹生产厂</w:t>
            </w:r>
            <w:r>
              <w:rPr>
                <w:kern w:val="0"/>
                <w:sz w:val="24"/>
              </w:rPr>
              <w:t>MerialToulouse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马波沙星注射液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法国诗华动物保健公司</w:t>
            </w:r>
            <w:r>
              <w:rPr>
                <w:color w:val="000000"/>
                <w:kern w:val="0"/>
                <w:sz w:val="24"/>
              </w:rPr>
              <w:t>CEVA SANTE ANIMALE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美洛昔康内服混悬液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德国勃林格殷格翰动物保健有限公司墨西哥生产厂</w:t>
            </w:r>
            <w:r>
              <w:rPr>
                <w:rFonts w:ascii="仿宋_GB2312" w:eastAsia="仿宋_GB2312" w:hint="eastAsia"/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Boehringer Ingelheim Promeco, S.A. de C.V.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葡萄糖酸氯己定溶液（泌乳期）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世德来有限公司</w:t>
            </w:r>
            <w:r>
              <w:rPr>
                <w:color w:val="000000"/>
                <w:kern w:val="0"/>
                <w:sz w:val="24"/>
              </w:rPr>
              <w:t>CID LINES 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戊二醛癸甲氯铵溶液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英国</w:t>
            </w:r>
            <w:r>
              <w:rPr>
                <w:kern w:val="0"/>
                <w:sz w:val="24"/>
              </w:rPr>
              <w:t>EVANS</w:t>
            </w:r>
            <w:r>
              <w:rPr>
                <w:rFonts w:ascii="仿宋_GB2312" w:eastAsia="仿宋_GB2312" w:hint="eastAsia"/>
                <w:kern w:val="0"/>
                <w:sz w:val="24"/>
              </w:rPr>
              <w:t>生产厂</w:t>
            </w:r>
            <w:r>
              <w:rPr>
                <w:kern w:val="0"/>
                <w:sz w:val="24"/>
              </w:rPr>
              <w:t>Evans Vanodine International PLC,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西米考昔片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法国威隆制药股份有限公司</w:t>
            </w:r>
            <w:r>
              <w:rPr>
                <w:kern w:val="0"/>
                <w:sz w:val="24"/>
              </w:rPr>
              <w:t>Vetoquinol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无合法原料</w:t>
            </w:r>
          </w:p>
        </w:tc>
      </w:tr>
      <w:tr w:rsidR="00D26E5C" w:rsidTr="00EF0203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延胡索酸泰妙菌素可溶性粉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奥地利</w:t>
            </w:r>
            <w:r>
              <w:rPr>
                <w:kern w:val="0"/>
                <w:sz w:val="24"/>
              </w:rPr>
              <w:t>Sandoz</w:t>
            </w:r>
            <w:r>
              <w:rPr>
                <w:rFonts w:ascii="仿宋_GB2312" w:eastAsia="仿宋_GB2312" w:hint="eastAsia"/>
                <w:kern w:val="0"/>
                <w:sz w:val="24"/>
              </w:rPr>
              <w:t>生产厂</w:t>
            </w:r>
            <w:r>
              <w:rPr>
                <w:kern w:val="0"/>
                <w:sz w:val="24"/>
              </w:rPr>
              <w:t>Sandoz GmbH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8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盐酸头孢噻呋乳房注入剂（干乳期）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硕腾公司美国卡拉玛祖生产厂</w:t>
            </w:r>
            <w:r>
              <w:rPr>
                <w:kern w:val="0"/>
                <w:sz w:val="24"/>
              </w:rPr>
              <w:t>Zoetis LLC, Kalamazoo, 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lastRenderedPageBreak/>
        <w:t>（二）新兽药产品</w:t>
      </w:r>
    </w:p>
    <w:tbl>
      <w:tblPr>
        <w:tblW w:w="14176" w:type="dxa"/>
        <w:tblLayout w:type="fixed"/>
        <w:tblLook w:val="04A0"/>
      </w:tblPr>
      <w:tblGrid>
        <w:gridCol w:w="779"/>
        <w:gridCol w:w="2001"/>
        <w:gridCol w:w="5551"/>
        <w:gridCol w:w="1060"/>
        <w:gridCol w:w="499"/>
        <w:gridCol w:w="850"/>
        <w:gridCol w:w="1417"/>
        <w:gridCol w:w="2019"/>
      </w:tblGrid>
      <w:tr w:rsidR="00D26E5C" w:rsidTr="00EF0203">
        <w:trPr>
          <w:trHeight w:val="75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兽药名称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研制单位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公告号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BE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临床验证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休药期</w:t>
            </w:r>
          </w:p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验证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26E5C" w:rsidTr="00EF020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D-</w:t>
            </w:r>
            <w:r>
              <w:rPr>
                <w:rFonts w:eastAsia="仿宋_GB2312" w:hint="eastAsia"/>
                <w:kern w:val="0"/>
                <w:sz w:val="24"/>
              </w:rPr>
              <w:t>氯前列醇钠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宁波第二激素厂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D-</w:t>
            </w:r>
            <w:r>
              <w:rPr>
                <w:rFonts w:eastAsia="仿宋_GB2312" w:hint="eastAsia"/>
                <w:kern w:val="0"/>
                <w:sz w:val="24"/>
              </w:rPr>
              <w:t>氯前列醇钠注射液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宁波第二激素厂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阿莫西林克拉维酸钾片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阿莫西林钠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齐鲁晟华制药有限公司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阿莫西林钠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河北远征禾木药业有限公司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7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氨基丁三醇前列腺素</w:t>
            </w:r>
            <w:r>
              <w:rPr>
                <w:rFonts w:eastAsia="仿宋_GB2312"/>
                <w:kern w:val="0"/>
                <w:sz w:val="24"/>
              </w:rPr>
              <w:t>F</w:t>
            </w:r>
            <w:r>
              <w:rPr>
                <w:rFonts w:eastAsia="仿宋_GB2312"/>
                <w:kern w:val="0"/>
                <w:sz w:val="24"/>
                <w:vertAlign w:val="subscript"/>
              </w:rPr>
              <w:t>2α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宁波市三生药业有限公司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氨基丁三醇前列腺素</w:t>
            </w:r>
            <w:r>
              <w:rPr>
                <w:rFonts w:eastAsia="仿宋_GB2312"/>
                <w:kern w:val="0"/>
                <w:sz w:val="24"/>
              </w:rPr>
              <w:t>F2α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宁波第二激素厂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2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氨基丁三醇前列腺素</w:t>
            </w:r>
            <w:r>
              <w:rPr>
                <w:rFonts w:eastAsia="仿宋_GB2312"/>
                <w:kern w:val="0"/>
                <w:sz w:val="24"/>
              </w:rPr>
              <w:t>F</w:t>
            </w:r>
            <w:r>
              <w:rPr>
                <w:rFonts w:eastAsia="仿宋_GB2312"/>
                <w:kern w:val="0"/>
                <w:sz w:val="24"/>
                <w:vertAlign w:val="subscript"/>
              </w:rPr>
              <w:t>2α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宁波市三生药业有限公司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氨基丁三醇前列腺素</w:t>
            </w:r>
            <w:r>
              <w:rPr>
                <w:rFonts w:eastAsia="仿宋_GB2312"/>
                <w:kern w:val="0"/>
                <w:sz w:val="24"/>
              </w:rPr>
              <w:t>F2α</w:t>
            </w:r>
            <w:r>
              <w:rPr>
                <w:rFonts w:eastAsia="仿宋_GB2312" w:hint="eastAsia"/>
                <w:kern w:val="0"/>
                <w:sz w:val="24"/>
              </w:rPr>
              <w:t>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宁波第二激素厂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吡喹酮咀嚼片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新疆畜牧科学院兽医研究所（新疆畜牧科学院动物临床医学研究中心）、北京中农华威制药股份有限公司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对乙酰氨基酚双氯芬酸钠注射液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烟台绿叶动物保健品有限公司、山东省农业科学院畜牧兽医研究所、天津市中升挑战生物科技有限公司、河南牧翔动物药业有限公司、山东农业大学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恩诺沙星注射液（</w:t>
            </w:r>
            <w:r>
              <w:rPr>
                <w:rFonts w:eastAsia="仿宋_GB2312"/>
                <w:kern w:val="0"/>
                <w:sz w:val="24"/>
              </w:rPr>
              <w:t>20%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天津市中升挑战生物科技有限公司、广东温氏大华农生物科技有限公司动物保健品厂、广州惠元生化科技有限公司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金坛市凌云动物保健品有限公司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浙江海正药业股份有限公司、上海汉维生物医药科技有限公司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湖北美天生物科技有限公司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非泼罗尼滴剂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金坛市凌云动物保健品有限公司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非泼罗尼滴剂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浙江海正药业股份有限公司、上海汉维生物医药科技有限公司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非泼罗尼滴剂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湖北美天生物科技有限公司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非泼罗尼喷雾剂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氟苯尼考胶囊（蚕用）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中国农业科学院蚕业研究所附属蚕药厂、东台市头灶蚕药厂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复方甲霜灵粉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长沙拜特生物科技研究所有限公司、上海海洋大学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复合亚氯酸钠粉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新乡市康大消毒剂有限公司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癸氧喹酯干混悬剂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广州华农大实验兽药有限公司、成都乾坤动物药业有限公司、广东大华农动物保健品股份有限公司动物保健品厂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聚维酮碘口服液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深圳市安多福动物药业有限公司、深圳市安多福消毒高科技股份有限公司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利福昔明乳房注入剂（干乳期）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徽中升药业有限公司、广东温氏大华农生物科技有限公司动物保健品厂、华秦源（北京）动物药业有限公司、天津瑞普生物技术股份有限公司、天津市中升挑战生物科技有限公司、青岛蔚蓝生物股份有限公司、青岛康地恩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湖北龙翔药业有限公司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青岛蔚蓝生物股份有限公司、广东温氏大华农生物科技有限公司动物保健品厂、山东久隆恒信药业有限公司、山东胜利生物工程有限公司、潍坊康地恩生物制药有限公司、青岛康地恩动物药业有限公司、河北维尔利动物药业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河北天象生物药业有限公司、山东鲁抗舍里乐药业有限公司、山东方明邦嘉制药有限公司、保定冀中药业有限公司、山东鲁抗舍里乐药业有限公司高新区分公司、内蒙古金河动物药业有限公司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宁夏泰瑞制药股份有限公司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湖北龙翔药业有限公司、瑞普（天津）生物药业有限公司、江西省特邦动物药业有限公司、北京中农华威制药有限公司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8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青岛蔚蓝生物股份有限公司、广东温氏大华农生物科技有限公司动物保健品厂、江西傲新生物科技有限公司、河北维尔利动物药业集团有限公司、青岛康地恩动物药业有限公司、菏泽普恩药业有限公司、潍坊诺达药业有限公司、山东胜利生物工程有限公司、江苏南农高科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保定冀中药业有限公司、山东鲁抗舍里乐药业有限公司高新区分公司、内蒙古金河动物药业有限公司、河北天象生物药业有限公司、山东鲁抗舍里乐药业有限公司、山东方明邦嘉制药有限公司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磷酸替米考星可溶性粉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宁夏泰瑞制药股份有限公司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中国农业科学院饲料研究所、北京市畜牧总站、广东大华农动物保健品股份有限公司动物保健品厂、北京康牧生物科技有限公司、中牧实业股份有限公司、华秦源（北京）动物药业有限公司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瑞普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天津</w:t>
            </w:r>
            <w:r>
              <w:rPr>
                <w:rFonts w:eastAsia="仿宋_GB2312"/>
                <w:kern w:val="0"/>
                <w:sz w:val="24"/>
              </w:rPr>
              <w:t>)</w:t>
            </w:r>
            <w:r>
              <w:rPr>
                <w:rFonts w:eastAsia="仿宋_GB2312" w:hint="eastAsia"/>
                <w:kern w:val="0"/>
                <w:sz w:val="24"/>
              </w:rPr>
              <w:t>生物药业有限公司、佛山市南海东方澳龙制药有限公司、内蒙古瑞普大地生物药业有限责任公司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81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浙江海正药业股份有限公司、浙江海正动物保健品有限公司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8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硫酸头孢喹肟子宫注入剂（干乳期）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83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硫酸头孢喹肟乳房注入剂（泌乳期）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瑞普（天津）生物药业有限公司、内蒙古瑞普大地生物药业有限公司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6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泌乳期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10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硫酸头孢喹肟乳房注入剂（泌乳期）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中国农业科学院饲料研究所、北京市畜牧总站、中牧实业股份有限公司、广东大华农动物保健品股份有限公司、北京立时达药业有限公司、华秦源（北京）动物药业有限公司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硫酸头孢喹肟乳房注入剂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硫酸头孢喹肟子宫注入剂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中国农业科学院饲料研究所、北京市畜牧总站、广东大华农动物保健品股份有限公司动物保健品厂、北京康牧生物科技有限公司、中牧实业股份有限公司、华秦源（北京）动物药业有限公司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浙江国邦药业有限公司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0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武汉回盛生物科技有限公司、广东海纳川药业股份有限公司、湖北启达药业有限公司、湖北泱盛生物科技有限公司、长沙施比龙动物药业有限公司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 w:hint="eastAsia"/>
                <w:spacing w:val="-8"/>
                <w:kern w:val="0"/>
                <w:sz w:val="24"/>
              </w:rPr>
              <w:t>河北远征药业有限公司、浙江凯胜生物药业有限公司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河北天象生物药业有限公司、湖北龙翔药业有限公司、潍坊康地恩生物制药有限公司、保定阳光本草药业有限公司、保定冀中药业有限公司、天津万象药业有限公司、河北安然动物药业有限公司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海门慧聚药业有限公司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2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湖北泱盛生物科技有限公司、天津生机集团股份有限公司、广东海纳川药业股份有限公司、武汉回盛生物科技有限公司、长沙施比龙动物药业有限公司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河北远征药业有限公司、浙江凯胜生物药业有限公司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5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马波沙星注射液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保定阳光本草药业有限公司、瑞普（天津）生物药业有限公司、江西傲新生物科技有限公司、河北天象生物药业有限公司、保定冀中药业有限公司、天津万象药业有限公司、河北安然动物药业有限公司、青岛康地恩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青岛蔚蓝生物股份有限公司、山东鲁抗舍里乐药业有限公司、河北天象生物药业有限公司、青岛农业大学、潍坊康地恩生物制药有限公司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美洛昔康内服混悬液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9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美洛昔康内服混悬液（猫用）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瑞普（天津）生物药业有限公司、江西省特邦动物药业有限公司、浙江海正动物保健品有限公司、保定冀中药业有限公司、天津瑞普生物技术股份有限公司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南京仕必得生物技术有限公司、来安县仕必得生物技术有限公司、来安县仕必得新兽药研发有限公司、天津市保灵动物保健品有限公司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齐鲁晟华制药有限公司、佛山市南海东方澳龙制药有限公司、江苏恒丰强生物技术有限公司、齐鲁动物保健品有限公司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5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齐鲁动物保健品有限公司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1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美洛昔康注射液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青岛蔚蓝生物股份有限公司、保定阳光本草药业有限公司、山东鲁抗舍里乐药业有限公司高新区分公司、青岛农业大学、青岛康地恩动物药业有限公司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米尔贝肟吡喹酮片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浙江海正动物保健品有限公司、浙江海正药业股份有限公司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米尔贝肟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莫昔克丁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浙江海正药业股份有限公司、东北农业大学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莫昔克丁浇泼溶液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浙江海正动物保健品有限公司、浙江海正药业股份有限公司、东北农业大学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2168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葡萄糖酸氯己定碘溶液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上海利康生物高科有限公司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乳酸钠林格注射液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江苏恒丰强生物技术有限公司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赛拉菌素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浙江海正药业有限公司、东北农业大学、中国农业科学院兰州畜牧与兽药研究所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赛拉菌素滴剂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浙江海正药业有限公司、浙江海正动物保健品有限公司、东北农业大学、中国农业科学院兰州畜牧与兽药研究所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双氯芬酸钠注射液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烟台绿叶动物保健品有限公司、扬州大学、山东省健牧生物药业有限公司、天津市中升挑战生物科技有限公司、山东省农业科学院畜牧兽医研究所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替米考星肠溶颗粒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瑞普（天津）生物药业有限公司、湖北龙翔药业科技股份有限公司、江西省特邦动物药业有限公司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头孢氨苄片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2083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F304A1">
              <w:rPr>
                <w:rFonts w:eastAsia="仿宋_GB2312" w:hint="eastAsia"/>
                <w:kern w:val="0"/>
                <w:sz w:val="24"/>
                <w:highlight w:val="yellow"/>
              </w:rPr>
              <w:t>伊曲康唑内服溶液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rPr>
                <w:rFonts w:eastAsia="仿宋_GB2312"/>
                <w:kern w:val="0"/>
                <w:sz w:val="24"/>
              </w:rPr>
            </w:pPr>
            <w:r w:rsidRPr="00D77B73">
              <w:rPr>
                <w:rFonts w:eastAsia="仿宋_GB2312" w:hint="eastAsia"/>
                <w:kern w:val="0"/>
                <w:sz w:val="24"/>
              </w:rPr>
              <w:t>上海汉维生物医药科技有限公司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2527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维他昔布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北京欧博方医药科技有限公司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维他昔布咀嚼片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北京欧博方医药科技有限公司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烯丙孕素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宁波三生生物科技有限公司、中国农业大学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119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烯丙孕素内服溶液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宁波三生生物科技有限公司、中国农业大学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亚甲基水杨酸杆菌肽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绿康生化股份有限公司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亚甲基水杨酸杆菌肽可溶性粉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绿康生化股份有限公司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盐酸氨丙啉乙氧酰胺苯甲酯磺胺喹</w:t>
            </w:r>
            <w:r>
              <w:rPr>
                <w:rFonts w:hint="eastAsia"/>
                <w:kern w:val="0"/>
                <w:sz w:val="24"/>
              </w:rPr>
              <w:t>噁</w:t>
            </w:r>
            <w:r>
              <w:rPr>
                <w:rFonts w:eastAsia="仿宋_GB2312" w:hint="eastAsia"/>
                <w:kern w:val="0"/>
                <w:sz w:val="24"/>
              </w:rPr>
              <w:t>啉可溶性粉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洛阳惠中兽药有限公司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普莱柯生物工程股份有限公司、河南新正好生物工程有限公司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1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盐酸贝那普利咀嚼片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中国农业大学动物医学院、瑞普（天津）生物药业有限公司、齐鲁晟华制药有限公司、佛山市南海东方澳龙制药有限公司、北京中农大动物保健品集团湘潭兽药厂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盐酸多西环素颗粒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河北远征禾木药业有限公司、河北远征药业有限公司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80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盐酸恩诺沙星可溶性粉（蚕用）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湖北农科生物化学有限公司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盐酸头孢噻呋乳房注入剂（干乳期）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中国农业科学院饲料研究所、北京市畜牧总站、中牧实业股份有限公司、华秦源（北京）动物药业有限公司、北京中农劲腾生物技术有限公司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本品为仿制药，需用原研品进行比对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伊维菌素浇泼溶液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内蒙古金河动物药业有限公司、金河生物科技股份有限公司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伊维菌素咀嚼片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中国农业大学动物医学院、佛山市南海东方澳龙制药有限公司、瑞普（天津）生物药业有限公司、齐鲁晟华制药有限公司、北京中农大动物保健品集团湘潭兽药厂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乙酰氨基阿维菌素浇泼剂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浙江海正动物保健品有限公司、浙江海正药业股份有限公司、中国农业大学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4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重组溶葡萄球菌酶阴道泡腾片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上海高科联合生物技术研发有限公司、昆山博青生物科技有限公司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注射用多潘立酮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宁波市三生药业有限公司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注射用马波沙星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浙江国邦药业有限公司、浙江华尔成生物药业股份有限公司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注射用尿促性素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宁波第二激素厂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2591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rPr>
                <w:rFonts w:eastAsia="仿宋_GB2312" w:hint="eastAsia"/>
                <w:kern w:val="0"/>
                <w:sz w:val="24"/>
              </w:rPr>
            </w:pPr>
            <w:r w:rsidRPr="00E24FD9">
              <w:rPr>
                <w:rFonts w:eastAsia="仿宋_GB2312" w:hint="eastAsia"/>
                <w:kern w:val="0"/>
                <w:sz w:val="24"/>
              </w:rPr>
              <w:t>米尔贝肟片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浙江海正药业股份有限公司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spacing w:line="3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</w:tbl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 w:hint="eastAsia"/>
          <w:bCs/>
          <w:szCs w:val="32"/>
        </w:rPr>
      </w:pPr>
    </w:p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Cs w:val="32"/>
        </w:rPr>
        <w:lastRenderedPageBreak/>
        <w:t>（三）其他化药产品</w:t>
      </w:r>
    </w:p>
    <w:tbl>
      <w:tblPr>
        <w:tblW w:w="5000" w:type="pct"/>
        <w:tblLook w:val="04A0"/>
      </w:tblPr>
      <w:tblGrid>
        <w:gridCol w:w="632"/>
        <w:gridCol w:w="4154"/>
        <w:gridCol w:w="4820"/>
        <w:gridCol w:w="1508"/>
        <w:gridCol w:w="499"/>
        <w:gridCol w:w="899"/>
        <w:gridCol w:w="1032"/>
        <w:gridCol w:w="632"/>
      </w:tblGrid>
      <w:tr w:rsidR="00D26E5C" w:rsidTr="00EF0203">
        <w:trPr>
          <w:trHeight w:val="57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兽药名称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生产厂名称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公告号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BE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临床验证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休药期验证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26E5C" w:rsidTr="00EF0203">
        <w:trPr>
          <w:trHeight w:val="7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硫酸新霉素预混剂</w:t>
            </w:r>
            <w:r>
              <w:rPr>
                <w:rFonts w:eastAsia="仿宋_GB2312"/>
                <w:kern w:val="0"/>
                <w:sz w:val="24"/>
              </w:rPr>
              <w:t>Neomycin Sulfate Premix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70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硫酸新霉素可溶性粉</w:t>
            </w:r>
            <w:r>
              <w:rPr>
                <w:rFonts w:eastAsia="仿宋_GB2312"/>
                <w:kern w:val="0"/>
                <w:sz w:val="24"/>
              </w:rPr>
              <w:t>Neomycin Sulfate Soluble Powder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4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盐酸林可霉素预混剂</w:t>
            </w:r>
            <w:r>
              <w:rPr>
                <w:rFonts w:eastAsia="仿宋_GB2312"/>
                <w:kern w:val="0"/>
                <w:sz w:val="24"/>
              </w:rPr>
              <w:t>Lincomycin Hydrochloride Premix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2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盐酸林可霉素可溶性粉</w:t>
            </w:r>
            <w:r>
              <w:rPr>
                <w:rFonts w:eastAsia="仿宋_GB2312"/>
                <w:kern w:val="0"/>
                <w:sz w:val="24"/>
              </w:rPr>
              <w:t>Lincomycin Hydrochloride Soluble Powder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8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盐酸林可霉素硫酸大观霉素预混剂</w:t>
            </w:r>
            <w:r>
              <w:rPr>
                <w:rFonts w:eastAsia="仿宋_GB2312"/>
                <w:kern w:val="0"/>
                <w:sz w:val="24"/>
              </w:rPr>
              <w:t>Lincomycin Hydrochloride and Spectinomycin Sulfate Premix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26E5C" w:rsidTr="00EF0203">
        <w:trPr>
          <w:trHeight w:val="94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盐酸林可霉素硫酸大观霉素可溶性粉</w:t>
            </w:r>
            <w:r>
              <w:rPr>
                <w:rFonts w:eastAsia="仿宋_GB2312"/>
                <w:kern w:val="0"/>
                <w:sz w:val="24"/>
              </w:rPr>
              <w:t>Lincomycin Hydrochloride and Spectinomycin Sulfate Soluble Powder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硕腾（苏州）动物保健品有限公司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5C" w:rsidRDefault="00D26E5C" w:rsidP="00EF0203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D26E5C" w:rsidRDefault="00D26E5C" w:rsidP="00D26E5C">
      <w:pPr>
        <w:autoSpaceDE w:val="0"/>
        <w:autoSpaceDN w:val="0"/>
        <w:adjustRightInd w:val="0"/>
        <w:snapToGrid w:val="0"/>
        <w:spacing w:line="6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Cs w:val="32"/>
        </w:rPr>
        <w:t>（四）中兽药产品</w:t>
      </w:r>
    </w:p>
    <w:p w:rsidR="00D26E5C" w:rsidRDefault="00D26E5C" w:rsidP="00D26E5C">
      <w:pPr>
        <w:adjustRightInd w:val="0"/>
        <w:snapToGrid w:val="0"/>
        <w:spacing w:line="360" w:lineRule="auto"/>
        <w:ind w:firstLineChars="250" w:firstLine="525"/>
        <w:rPr>
          <w:rFonts w:eastAsia="仿宋" w:hint="eastAsia"/>
        </w:rPr>
      </w:pPr>
      <w:smartTag w:uri="urn:schemas-microsoft-com:office:smarttags" w:element="chsdate">
        <w:smartTagPr>
          <w:attr w:name="Year" w:val="2016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eastAsia="仿宋"/>
          </w:rPr>
          <w:t>2016</w:t>
        </w:r>
        <w:r>
          <w:rPr>
            <w:rFonts w:eastAsia="仿宋" w:hint="eastAsia"/>
          </w:rPr>
          <w:t>年</w:t>
        </w:r>
        <w:r>
          <w:rPr>
            <w:rFonts w:eastAsia="仿宋"/>
          </w:rPr>
          <w:t>5</w:t>
        </w:r>
        <w:r>
          <w:rPr>
            <w:rFonts w:eastAsia="仿宋" w:hint="eastAsia"/>
          </w:rPr>
          <w:t>月</w:t>
        </w:r>
        <w:r>
          <w:rPr>
            <w:rFonts w:eastAsia="仿宋"/>
          </w:rPr>
          <w:t>1</w:t>
        </w:r>
        <w:r>
          <w:rPr>
            <w:rFonts w:eastAsia="仿宋" w:hint="eastAsia"/>
          </w:rPr>
          <w:t>日</w:t>
        </w:r>
      </w:smartTag>
      <w:r>
        <w:rPr>
          <w:rFonts w:eastAsia="仿宋" w:hint="eastAsia"/>
        </w:rPr>
        <w:t>起监测期满的所有中兽药品种实施比对试验，不需要提供</w:t>
      </w:r>
      <w:r>
        <w:rPr>
          <w:rFonts w:eastAsia="仿宋"/>
        </w:rPr>
        <w:t>BE</w:t>
      </w:r>
      <w:r>
        <w:rPr>
          <w:rFonts w:eastAsia="仿宋" w:hint="eastAsia"/>
        </w:rPr>
        <w:t>、临床验证及休药期验证试验报告，但需要提供药学研究资料。</w:t>
      </w:r>
    </w:p>
    <w:p w:rsidR="00D26E5C" w:rsidRDefault="00D26E5C" w:rsidP="00D26E5C">
      <w:pPr>
        <w:adjustRightInd w:val="0"/>
        <w:snapToGrid w:val="0"/>
        <w:spacing w:line="360" w:lineRule="auto"/>
        <w:ind w:firstLineChars="250" w:firstLine="525"/>
        <w:rPr>
          <w:rFonts w:eastAsia="仿宋"/>
        </w:rPr>
      </w:pPr>
      <w:r>
        <w:rPr>
          <w:rFonts w:eastAsia="仿宋" w:hint="eastAsia"/>
        </w:rPr>
        <w:t>药学研究资料应参照农业部公告第</w:t>
      </w:r>
      <w:r>
        <w:rPr>
          <w:rFonts w:eastAsia="仿宋"/>
        </w:rPr>
        <w:t>442</w:t>
      </w:r>
      <w:r>
        <w:rPr>
          <w:rFonts w:eastAsia="仿宋" w:hint="eastAsia"/>
        </w:rPr>
        <w:t>号“中兽药、天然药物注册分类及注册资料要求”中“药学研究资料”第</w:t>
      </w:r>
      <w:r>
        <w:rPr>
          <w:rFonts w:eastAsia="仿宋"/>
        </w:rPr>
        <w:t>7</w:t>
      </w:r>
      <w:r>
        <w:rPr>
          <w:rFonts w:eastAsia="仿宋" w:hint="eastAsia"/>
        </w:rPr>
        <w:t>、</w:t>
      </w:r>
      <w:r>
        <w:rPr>
          <w:rFonts w:eastAsia="仿宋"/>
        </w:rPr>
        <w:t>8</w:t>
      </w:r>
      <w:r>
        <w:rPr>
          <w:rFonts w:eastAsia="仿宋" w:hint="eastAsia"/>
        </w:rPr>
        <w:t>、</w:t>
      </w:r>
      <w:r>
        <w:rPr>
          <w:rFonts w:eastAsia="仿宋"/>
        </w:rPr>
        <w:t>12</w:t>
      </w:r>
      <w:r>
        <w:rPr>
          <w:rFonts w:eastAsia="仿宋" w:hint="eastAsia"/>
        </w:rPr>
        <w:t>、</w:t>
      </w:r>
      <w:r>
        <w:rPr>
          <w:rFonts w:eastAsia="仿宋"/>
        </w:rPr>
        <w:t>15</w:t>
      </w:r>
      <w:r>
        <w:rPr>
          <w:rFonts w:eastAsia="仿宋" w:hint="eastAsia"/>
        </w:rPr>
        <w:t>、</w:t>
      </w:r>
      <w:r>
        <w:rPr>
          <w:rFonts w:eastAsia="仿宋"/>
        </w:rPr>
        <w:t>16</w:t>
      </w:r>
      <w:r>
        <w:rPr>
          <w:rFonts w:eastAsia="仿宋" w:hint="eastAsia"/>
        </w:rPr>
        <w:t>、</w:t>
      </w:r>
      <w:r>
        <w:rPr>
          <w:rFonts w:eastAsia="仿宋"/>
        </w:rPr>
        <w:t>17</w:t>
      </w:r>
      <w:r>
        <w:rPr>
          <w:rFonts w:eastAsia="仿宋" w:hint="eastAsia"/>
        </w:rPr>
        <w:t>、</w:t>
      </w:r>
      <w:r>
        <w:rPr>
          <w:rFonts w:eastAsia="仿宋"/>
        </w:rPr>
        <w:t>18</w:t>
      </w:r>
      <w:r>
        <w:rPr>
          <w:rFonts w:eastAsia="仿宋" w:hint="eastAsia"/>
        </w:rPr>
        <w:t>项提供研究资料。拟生产的产品应与被仿制产品的处方组成、药材基原、生产工艺（包括药材前处理、提取、分离、纯化等）及工艺参数、制剂处方保持一致，质量可控性不得低于被仿制药品。如不能确定具体工艺参数、制剂处方等与被仿制药品一致的，应进行对比研究，以保证与被仿制产品质量的一致</w:t>
      </w:r>
      <w:r>
        <w:rPr>
          <w:rFonts w:eastAsia="仿宋" w:hint="eastAsia"/>
        </w:rPr>
        <w:lastRenderedPageBreak/>
        <w:t>性。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360" w:lineRule="auto"/>
        <w:ind w:firstLine="640"/>
        <w:jc w:val="left"/>
        <w:rPr>
          <w:rFonts w:eastAsia="仿宋"/>
        </w:rPr>
      </w:pPr>
      <w:r>
        <w:rPr>
          <w:rFonts w:eastAsia="仿宋" w:hint="eastAsia"/>
        </w:rPr>
        <w:t>注：</w:t>
      </w:r>
      <w:r>
        <w:rPr>
          <w:rFonts w:eastAsia="仿宋"/>
        </w:rPr>
        <w:t>1.</w:t>
      </w:r>
      <w:r>
        <w:rPr>
          <w:rFonts w:eastAsia="仿宋" w:hint="eastAsia"/>
        </w:rPr>
        <w:t>备注栏中标注某公司产品为仿制药的，采用该公司同品种产品开展比对试验的，试验结果无效。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</w:rPr>
      </w:pPr>
      <w:r>
        <w:rPr>
          <w:rFonts w:eastAsia="仿宋"/>
        </w:rPr>
        <w:t xml:space="preserve">       </w:t>
      </w:r>
      <w:r>
        <w:rPr>
          <w:rFonts w:eastAsia="仿宋" w:hint="eastAsia"/>
        </w:rPr>
        <w:t xml:space="preserve">  </w:t>
      </w:r>
      <w:r>
        <w:rPr>
          <w:rFonts w:eastAsia="仿宋"/>
        </w:rPr>
        <w:t xml:space="preserve"> 2.</w:t>
      </w:r>
      <w:r>
        <w:rPr>
          <w:rFonts w:eastAsia="仿宋" w:hint="eastAsia"/>
        </w:rPr>
        <w:t>列入目录中的进口兽药注册产品，若其同品种新兽药尚处在监测期内的，需待同品种过监测期后方可开展比对试验。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360" w:lineRule="auto"/>
        <w:ind w:firstLineChars="500" w:firstLine="1050"/>
        <w:jc w:val="left"/>
        <w:rPr>
          <w:rFonts w:eastAsia="仿宋"/>
        </w:rPr>
      </w:pPr>
      <w:r>
        <w:rPr>
          <w:rFonts w:eastAsia="仿宋"/>
        </w:rPr>
        <w:t>3.</w:t>
      </w:r>
      <w:r>
        <w:rPr>
          <w:rFonts w:eastAsia="仿宋" w:hint="eastAsia"/>
        </w:rPr>
        <w:t>进口兽药产品再注册后，执行农业农村部颁布的最新进口兽药质量标准。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</w:rPr>
      </w:pPr>
      <w:r>
        <w:rPr>
          <w:rFonts w:eastAsia="仿宋"/>
        </w:rPr>
        <w:t xml:space="preserve">        </w:t>
      </w:r>
      <w:r>
        <w:rPr>
          <w:rFonts w:eastAsia="仿宋" w:hint="eastAsia"/>
        </w:rPr>
        <w:t xml:space="preserve">  </w:t>
      </w:r>
      <w:r>
        <w:rPr>
          <w:rFonts w:eastAsia="仿宋"/>
        </w:rPr>
        <w:t>4.</w:t>
      </w:r>
      <w:r>
        <w:rPr>
          <w:rFonts w:eastAsia="仿宋" w:hint="eastAsia"/>
        </w:rPr>
        <w:t>新兽药和进口兽药产品发生变更后，执行农业农村部颁布的变更后的兽药质量标准。</w:t>
      </w:r>
    </w:p>
    <w:p w:rsidR="00D26E5C" w:rsidRDefault="00D26E5C" w:rsidP="00D26E5C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 w:hint="eastAsia"/>
        </w:rPr>
      </w:pPr>
      <w:r>
        <w:rPr>
          <w:rFonts w:eastAsia="仿宋"/>
        </w:rPr>
        <w:t xml:space="preserve">       </w:t>
      </w:r>
      <w:r>
        <w:rPr>
          <w:rFonts w:eastAsia="仿宋" w:hint="eastAsia"/>
        </w:rPr>
        <w:t xml:space="preserve">  </w:t>
      </w:r>
      <w:r>
        <w:rPr>
          <w:rFonts w:eastAsia="仿宋"/>
        </w:rPr>
        <w:t xml:space="preserve"> 5.</w:t>
      </w:r>
      <w:r>
        <w:rPr>
          <w:rFonts w:eastAsia="仿宋" w:hint="eastAsia"/>
        </w:rPr>
        <w:t>相应栏中</w:t>
      </w:r>
      <w:r>
        <w:rPr>
          <w:rFonts w:eastAsia="仿宋"/>
        </w:rPr>
        <w:t>“</w:t>
      </w:r>
      <w:r>
        <w:rPr>
          <w:rFonts w:eastAsia="黑体"/>
        </w:rPr>
        <w:t>√</w:t>
      </w:r>
      <w:r>
        <w:rPr>
          <w:rFonts w:eastAsia="仿宋"/>
        </w:rPr>
        <w:t>”</w:t>
      </w:r>
      <w:r>
        <w:rPr>
          <w:rFonts w:eastAsia="仿宋" w:hint="eastAsia"/>
        </w:rPr>
        <w:t>的，表示开展相应的试验；相应栏中打</w:t>
      </w:r>
      <w:r>
        <w:rPr>
          <w:rFonts w:eastAsia="仿宋"/>
        </w:rPr>
        <w:t>“/”</w:t>
      </w:r>
      <w:r>
        <w:rPr>
          <w:rFonts w:eastAsia="仿宋" w:hint="eastAsia"/>
        </w:rPr>
        <w:t>的，表示不需要开展比对试验。无合法原料的，表示无原料质量标准，不能开展比对试验，按新兽药注册。</w:t>
      </w:r>
    </w:p>
    <w:p w:rsidR="00F65094" w:rsidRPr="00D26E5C" w:rsidRDefault="00F65094"/>
    <w:sectPr w:rsidR="00F65094" w:rsidRPr="00D26E5C" w:rsidSect="00FC7284">
      <w:pgSz w:w="16840" w:h="11907" w:orient="landscape"/>
      <w:pgMar w:top="1797" w:right="1440" w:bottom="1797" w:left="1440" w:header="720" w:footer="1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E5C"/>
    <w:rsid w:val="00D26E5C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26E5C"/>
    <w:rPr>
      <w:sz w:val="18"/>
      <w:szCs w:val="18"/>
    </w:rPr>
  </w:style>
  <w:style w:type="character" w:customStyle="1" w:styleId="Char">
    <w:name w:val="批注框文本 Char"/>
    <w:basedOn w:val="a0"/>
    <w:link w:val="a3"/>
    <w:rsid w:val="00D26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E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E5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D26E5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rsid w:val="00D2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D26E5C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rsid w:val="00D26E5C"/>
    <w:rPr>
      <w:sz w:val="21"/>
      <w:szCs w:val="21"/>
    </w:rPr>
  </w:style>
  <w:style w:type="paragraph" w:styleId="a8">
    <w:name w:val="annotation text"/>
    <w:basedOn w:val="a"/>
    <w:link w:val="Char2"/>
    <w:rsid w:val="00D26E5C"/>
    <w:pPr>
      <w:jc w:val="left"/>
    </w:pPr>
  </w:style>
  <w:style w:type="character" w:customStyle="1" w:styleId="Char2">
    <w:name w:val="批注文字 Char"/>
    <w:basedOn w:val="a0"/>
    <w:link w:val="a8"/>
    <w:rsid w:val="00D26E5C"/>
    <w:rPr>
      <w:rFonts w:ascii="Times New Roman" w:eastAsia="宋体" w:hAnsi="Times New Roman" w:cs="Times New Roman"/>
      <w:szCs w:val="24"/>
    </w:rPr>
  </w:style>
  <w:style w:type="paragraph" w:customStyle="1" w:styleId="Char3">
    <w:name w:val=" Char"/>
    <w:basedOn w:val="a"/>
    <w:rsid w:val="00D26E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1285</Words>
  <Characters>7326</Characters>
  <Application>Microsoft Office Word</Application>
  <DocSecurity>0</DocSecurity>
  <Lines>61</Lines>
  <Paragraphs>17</Paragraphs>
  <ScaleCrop>false</ScaleCrop>
  <Company>Lenovo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2019-01-30T08:56:00Z</dcterms:created>
  <dcterms:modified xsi:type="dcterms:W3CDTF">2019-01-30T08:56:00Z</dcterms:modified>
</cp:coreProperties>
</file>