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附件2-1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“中国渔政亮剑2020”系列专项执法行动数据调度统计表（执法投入）  </w:t>
      </w:r>
    </w:p>
    <w:p>
      <w:pPr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调度范围：</w:t>
      </w:r>
      <w:r>
        <w:rPr>
          <w:rFonts w:hint="default" w:ascii="Times New Roman" w:hAnsi="Times New Roman" w:cs="Times New Roman"/>
          <w:sz w:val="24"/>
        </w:rPr>
        <w:t>各省（区、市）及新疆生产建设兵团</w:t>
      </w:r>
      <w:r>
        <w:rPr>
          <w:rFonts w:hint="default" w:ascii="Times New Roman" w:hAnsi="Times New Roman" w:eastAsia="黑体" w:cs="Times New Roman"/>
          <w:sz w:val="24"/>
        </w:rPr>
        <w:tab/>
      </w:r>
      <w:r>
        <w:rPr>
          <w:rFonts w:hint="default" w:ascii="Times New Roman" w:hAnsi="Times New Roman" w:eastAsia="黑体" w:cs="Times New Roman"/>
          <w:sz w:val="24"/>
        </w:rPr>
        <w:t xml:space="preserve">  调度时段</w:t>
      </w:r>
      <w:r>
        <w:rPr>
          <w:rFonts w:hint="default" w:ascii="Times New Roman" w:hAnsi="Times New Roman" w:cs="Times New Roman"/>
          <w:sz w:val="24"/>
        </w:rPr>
        <w:t>：随工作总结一并报送</w:t>
      </w:r>
      <w:r>
        <w:rPr>
          <w:rFonts w:hint="default" w:ascii="Times New Roman" w:hAnsi="Times New Roman" w:eastAsia="Times New Roman" w:cs="Times New Roman"/>
          <w:sz w:val="24"/>
        </w:rPr>
        <w:t xml:space="preserve"> 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_____________    </w:t>
      </w:r>
      <w:r>
        <w:rPr>
          <w:rFonts w:hint="default" w:ascii="Times New Roman" w:hAnsi="Times New Roman" w:eastAsia="黑体" w:cs="Times New Roman"/>
          <w:sz w:val="24"/>
        </w:rPr>
        <w:t>填报时间：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  </w:t>
      </w:r>
      <w:r>
        <w:rPr>
          <w:rFonts w:hint="default" w:ascii="Times New Roman" w:hAnsi="Times New Roman" w:eastAsia="黑体" w:cs="Times New Roman"/>
          <w:sz w:val="24"/>
        </w:rPr>
        <w:t>填 报 人：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</w:t>
      </w:r>
      <w:r>
        <w:rPr>
          <w:rFonts w:hint="default" w:ascii="Times New Roman" w:hAnsi="Times New Roman" w:eastAsia="黑体" w:cs="Times New Roman"/>
          <w:sz w:val="24"/>
        </w:rPr>
        <w:t xml:space="preserve">   联系方式（手机）：</w:t>
      </w:r>
      <w:r>
        <w:rPr>
          <w:rFonts w:hint="default" w:ascii="Times New Roman" w:hAnsi="Times New Roman" w:eastAsia="Times New Roman" w:cs="Times New Roman"/>
          <w:sz w:val="24"/>
        </w:rPr>
        <w:t>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5826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调度项目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执法宣传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印发宣传材料（份）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水生野生动物保护专项执法行动（份）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清理取缔涉渔“三无”船舶和“绝户网”专项执法行动（份）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打击电鱼活动专项执法行动（份）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组织开展集中公开拆解销毁活动（场次）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违规渔具渔法清理整治（场次）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*新媒体宣传（次）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</w:rPr>
              <w:t>执法力量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出动执法人员（人次）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水生野生动物保护专项执法行动（人次）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出动执法车辆（辆次）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水生野生动物保护专项执法行动（辆次）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出动执法船艇（艘次）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水生野生动物保护专项执法行动（艘次）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 此表由省级渔业渔政主管部门牵头负责，通过“中国渔政管理指挥系统”填报；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标注“</w:t>
      </w:r>
      <w:r>
        <w:rPr>
          <w:rFonts w:hint="default" w:ascii="Times New Roman" w:hAnsi="Times New Roman" w:eastAsia="仿宋" w:cs="Times New Roman"/>
        </w:rPr>
        <w:t>*</w:t>
      </w:r>
      <w:r>
        <w:rPr>
          <w:rFonts w:hint="default" w:ascii="Times New Roman" w:hAnsi="Times New Roman" w:eastAsia="仿宋_GB2312" w:cs="Times New Roman"/>
          <w:sz w:val="24"/>
        </w:rPr>
        <w:t>”项数据为“中国渔政亮剑2020”系列专项执法行动各项行动数据总和，下设子项为部分重点行动单项数据；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3. 系统相关技术问题可咨询中国水产科学研究院渔业工程研究所。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附件2-2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“中国渔政亮剑2020”系列专项执法行动数据调度统计表（执法内容）</w:t>
      </w:r>
    </w:p>
    <w:p>
      <w:pPr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调度范围：</w:t>
      </w:r>
      <w:r>
        <w:rPr>
          <w:rFonts w:hint="default" w:ascii="Times New Roman" w:hAnsi="Times New Roman" w:cs="Times New Roman"/>
          <w:sz w:val="24"/>
        </w:rPr>
        <w:t>各省（区、市）及新疆生产建设兵团</w:t>
      </w:r>
      <w:r>
        <w:rPr>
          <w:rFonts w:hint="default" w:ascii="Times New Roman" w:hAnsi="Times New Roman" w:eastAsia="黑体" w:cs="Times New Roman"/>
          <w:sz w:val="24"/>
        </w:rPr>
        <w:tab/>
      </w:r>
      <w:r>
        <w:rPr>
          <w:rFonts w:hint="default" w:ascii="Times New Roman" w:hAnsi="Times New Roman" w:eastAsia="黑体" w:cs="Times New Roman"/>
          <w:sz w:val="24"/>
        </w:rPr>
        <w:t>调度时段</w:t>
      </w:r>
      <w:r>
        <w:rPr>
          <w:rFonts w:hint="default" w:ascii="Times New Roman" w:hAnsi="Times New Roman" w:cs="Times New Roman"/>
          <w:sz w:val="24"/>
        </w:rPr>
        <w:t>：随工作总结一并报送</w:t>
      </w:r>
      <w:r>
        <w:rPr>
          <w:rFonts w:hint="default" w:ascii="Times New Roman" w:hAnsi="Times New Roman" w:eastAsia="Times New Roman" w:cs="Times New Roman"/>
          <w:sz w:val="24"/>
        </w:rPr>
        <w:t xml:space="preserve">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_____________    </w:t>
      </w:r>
      <w:r>
        <w:rPr>
          <w:rFonts w:hint="default" w:ascii="Times New Roman" w:hAnsi="Times New Roman" w:eastAsia="黑体" w:cs="Times New Roman"/>
          <w:sz w:val="24"/>
        </w:rPr>
        <w:t>填报时间：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  </w:t>
      </w:r>
      <w:r>
        <w:rPr>
          <w:rFonts w:hint="default" w:ascii="Times New Roman" w:hAnsi="Times New Roman" w:eastAsia="黑体" w:cs="Times New Roman"/>
          <w:sz w:val="24"/>
        </w:rPr>
        <w:t>填 报 人：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</w:t>
      </w:r>
      <w:r>
        <w:rPr>
          <w:rFonts w:hint="default" w:ascii="Times New Roman" w:hAnsi="Times New Roman" w:eastAsia="黑体" w:cs="Times New Roman"/>
          <w:sz w:val="24"/>
        </w:rPr>
        <w:t xml:space="preserve">   联系方式（手机）：</w:t>
      </w:r>
      <w:r>
        <w:rPr>
          <w:rFonts w:hint="default" w:ascii="Times New Roman" w:hAnsi="Times New Roman" w:eastAsia="Times New Roman" w:cs="Times New Roman"/>
          <w:sz w:val="24"/>
        </w:rPr>
        <w:t>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2065"/>
        <w:gridCol w:w="468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调度项目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岸上执法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检查渔港码头及渔船自然停靠点（个次）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清理取缔涉渔“三无”船舶和“绝户网”专项执法行动检查数量（个次）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渤海综合治理专项执法行动检查数量（个次）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跨区作业渔船清理整治专项执法行动检查数量（个次）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检查船舶网具修造厂点（个次）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清理取缔涉渔“三无”船舶和“绝户网”专项执法行动检查数量（个次）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检查市场（个次）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清理取缔涉渔“三无”船舶和“绝户网”专项执法行动检查数量（个次）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渤海综合治理专项执法行动检查养殖场点（个次）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*水生野生动物保护专项执法行动检查饲养繁育/展演展示/经营利用场所</w:t>
            </w:r>
            <w:r>
              <w:rPr>
                <w:rFonts w:hint="default" w:ascii="Times New Roman" w:hAnsi="Times New Roman" w:eastAsia="仿宋_GB2312" w:cs="Times New Roman"/>
              </w:rPr>
              <w:t>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水上执法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检查渔船（艘次）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清理取缔涉渔“三无”船舶和“绝户网”专项执法行动检查数量（艘次）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渤海综合治理专项执法行动检查数量（艘次）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涉外渔业专项执法行动检查数量（艘次）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水上巡查里程（海里）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涉外渔业专项执法行动（海里）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*</w:t>
            </w:r>
            <w:r>
              <w:rPr>
                <w:rFonts w:hint="default" w:ascii="Times New Roman" w:hAnsi="Times New Roman" w:eastAsia="仿宋_GB2312" w:cs="Times New Roman"/>
              </w:rPr>
              <w:t>陆上巡查里程（公里）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长江流域水生生物保护区禁捕专项执法行动（公里）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海洋伏季休渔专项执法行动（公里）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内陆重点水域禁渔专项执法行动（公里）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涉外渔业专项执法行动（公里）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清理整治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清理取缔涉渔“三无”船舶（艘）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清理取缔的涉渔“三无”船舶中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船长12米以上的（艘）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钢质的（艘）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清理整治违规网具数量（张顶）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渤海综合治理专项执法行动中清理非法养殖场点（个次）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渤海综合治理专项执法行动中清理整治冲滩拆解厂点（个次）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清理整治跨区作业渔船数量（艘次）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 此表由省级渔业渔政主管部门牵头负责，通过“中国渔政管理指挥系统”填报；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2. 标注“</w:t>
      </w:r>
      <w:r>
        <w:rPr>
          <w:rFonts w:hint="default" w:ascii="Times New Roman" w:hAnsi="Times New Roman" w:eastAsia="仿宋" w:cs="Times New Roman"/>
        </w:rPr>
        <w:t>*</w:t>
      </w:r>
      <w:r>
        <w:rPr>
          <w:rFonts w:hint="default" w:ascii="Times New Roman" w:hAnsi="Times New Roman" w:eastAsia="仿宋_GB2312" w:cs="Times New Roman"/>
          <w:sz w:val="24"/>
        </w:rPr>
        <w:t>”项数据为“中国渔政亮剑2020”系列专项执法行动各项行动数据总和，下设子项为部分重点行动单项数据；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3. 系统相关技术问题可咨询中国水产科学研究院渔业工程研究所。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附件2-3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“中国渔政亮剑2020”系列专项执法行动数据调度统计表（查办案件） </w:t>
      </w:r>
      <w:bookmarkStart w:id="0" w:name="_GoBack"/>
      <w:bookmarkEnd w:id="0"/>
    </w:p>
    <w:p>
      <w:pPr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调度范围：</w:t>
      </w:r>
      <w:r>
        <w:rPr>
          <w:rFonts w:hint="default" w:ascii="Times New Roman" w:hAnsi="Times New Roman" w:cs="Times New Roman"/>
          <w:sz w:val="24"/>
        </w:rPr>
        <w:t>各省（区、市）及新疆生产建设兵团</w:t>
      </w:r>
      <w:r>
        <w:rPr>
          <w:rFonts w:hint="default" w:ascii="Times New Roman" w:hAnsi="Times New Roman" w:eastAsia="黑体" w:cs="Times New Roman"/>
          <w:sz w:val="24"/>
        </w:rPr>
        <w:tab/>
      </w:r>
      <w:r>
        <w:rPr>
          <w:rFonts w:hint="default" w:ascii="Times New Roman" w:hAnsi="Times New Roman" w:eastAsia="黑体" w:cs="Times New Roman"/>
          <w:sz w:val="24"/>
        </w:rPr>
        <w:t xml:space="preserve"> 调度时段</w:t>
      </w:r>
      <w:r>
        <w:rPr>
          <w:rFonts w:hint="default" w:ascii="Times New Roman" w:hAnsi="Times New Roman" w:cs="Times New Roman"/>
          <w:sz w:val="24"/>
        </w:rPr>
        <w:t>：随工作总结一并报送</w:t>
      </w:r>
      <w:r>
        <w:rPr>
          <w:rFonts w:hint="default" w:ascii="Times New Roman" w:hAnsi="Times New Roman" w:eastAsia="Times New Roman" w:cs="Times New Roman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行动名称：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</w:t>
      </w:r>
      <w:r>
        <w:rPr>
          <w:rFonts w:hint="default" w:ascii="Times New Roman" w:hAnsi="Times New Roman" w:eastAsia="黑体" w:cs="Times New Roman"/>
          <w:sz w:val="24"/>
        </w:rPr>
        <w:t xml:space="preserve">填报单位： </w:t>
      </w:r>
      <w:r>
        <w:rPr>
          <w:rFonts w:hint="default" w:ascii="Times New Roman" w:hAnsi="Times New Roman" w:eastAsia="Times New Roman" w:cs="Times New Roman"/>
          <w:sz w:val="24"/>
        </w:rPr>
        <w:t xml:space="preserve">________    </w:t>
      </w:r>
      <w:r>
        <w:rPr>
          <w:rFonts w:hint="default" w:ascii="Times New Roman" w:hAnsi="Times New Roman" w:eastAsia="黑体" w:cs="Times New Roman"/>
          <w:sz w:val="24"/>
        </w:rPr>
        <w:t>填报时间：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  </w:t>
      </w:r>
      <w:r>
        <w:rPr>
          <w:rFonts w:hint="default" w:ascii="Times New Roman" w:hAnsi="Times New Roman" w:eastAsia="黑体" w:cs="Times New Roman"/>
          <w:sz w:val="24"/>
        </w:rPr>
        <w:t>填 报 人：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 </w:t>
      </w:r>
      <w:r>
        <w:rPr>
          <w:rFonts w:hint="default" w:ascii="Times New Roman" w:hAnsi="Times New Roman" w:eastAsia="黑体" w:cs="Times New Roman"/>
          <w:sz w:val="24"/>
        </w:rPr>
        <w:t xml:space="preserve">   联系方式（手机）：</w:t>
      </w:r>
      <w:r>
        <w:rPr>
          <w:rFonts w:hint="default" w:ascii="Times New Roman" w:hAnsi="Times New Roman" w:eastAsia="Times New Roman" w:cs="Times New Roman"/>
          <w:sz w:val="24"/>
        </w:rPr>
        <w:t>_________</w:t>
      </w:r>
    </w:p>
    <w:p>
      <w:pPr>
        <w:rPr>
          <w:rFonts w:hint="default" w:ascii="Times New Roman" w:hAnsi="Times New Roman" w:eastAsia="Times New Roman" w:cs="Times New Roman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5893"/>
        <w:gridCol w:w="4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调度项目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查办违规案件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查办违规违法案件（件）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查获涉案人员（人）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移送司法案件（件）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移送司法人员（人）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涉案渔获物重量（公斤）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涉案渔获物价值（万元） 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行政处罚金额（万元）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 此表由省级渔业渔政主管部门牵头负责，按照各省（区、市）所涉及的专项行动，分别通过“中国渔政管理指挥系统”填报；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rPr>
          <w:rFonts w:hint="default" w:ascii="Times New Roman" w:hAnsi="Times New Roman" w:eastAsia="仿宋_GB2312" w:cs="Times New Roman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sz w:val="24"/>
        </w:rPr>
        <w:t>系统相关技术问题可咨询中国水产科学研究院渔业工程研究所。</w:t>
      </w:r>
    </w:p>
    <w:p/>
    <w:sectPr>
      <w:headerReference r:id="rId5" w:type="default"/>
      <w:footerReference r:id="rId6" w:type="default"/>
      <w:pgSz w:w="11906" w:h="16838"/>
      <w:pgMar w:top="1871" w:right="1134" w:bottom="1701" w:left="1304" w:header="851" w:footer="1247" w:gutter="0"/>
      <w:pgNumType w:fmt="decimal"/>
      <w:cols w:space="720" w:num="1"/>
      <w:rtlGutter w:val="0"/>
      <w:docGrid w:type="linesAndChars" w:linePitch="6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2594610</wp:posOffset>
              </wp:positionH>
              <wp:positionV relativeFrom="paragraph">
                <wp:posOffset>2969895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pt;margin-top:233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2o4l1gAA&#10;AAsBAAAPAAAAAAAAAAEAIAAAACIAAABkcnMvZG93bnJldi54bWxQSwECFAAUAAAACACHTuJAIVfg&#10;Y64BAABLAwAADgAAAAAAAAABACAAAAAl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- 26 -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/Sqt6rcBAABUAwAADgAAAAAAAAABACAAAAAfAQAAZHJzL2Uyb0RvYy54bWxQSwUGAAAAAAYABgBZ&#10;AQAAS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- 26 -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2594610</wp:posOffset>
              </wp:positionH>
              <wp:positionV relativeFrom="paragraph">
                <wp:posOffset>2969895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pt;margin-top:233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2o4l1gAA&#10;AAsBAAAPAAAAAAAAAAEAIAAAACIAAABkcnMvZG93bnJldi54bWxQSwECFAAUAAAACACHTuJA4cw9&#10;va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- 26 -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- 26 -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7F009D"/>
    <w:multiLevelType w:val="singleLevel"/>
    <w:tmpl w:val="FA7F009D"/>
    <w:lvl w:ilvl="0" w:tentative="0">
      <w:start w:val="2"/>
      <w:numFmt w:val="decimal"/>
      <w:suff w:val="space"/>
      <w:lvlText w:val="%1."/>
      <w:lvlJc w:val="left"/>
      <w:pPr>
        <w:ind w:left="480" w:firstLine="0"/>
      </w:pPr>
    </w:lvl>
  </w:abstractNum>
  <w:abstractNum w:abstractNumId="1">
    <w:nsid w:val="15E9D400"/>
    <w:multiLevelType w:val="singleLevel"/>
    <w:tmpl w:val="15E9D400"/>
    <w:lvl w:ilvl="0" w:tentative="0">
      <w:start w:val="2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1671"/>
    <w:rsid w:val="246C1671"/>
    <w:rsid w:val="25417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2020-03-06T09:43:00Z</dcterms:created>
  <dc:creator>YZC</dc:creator>
  <cp:lastModifiedBy>YZC</cp:lastModifiedBy>
  <dcterms:modified xsi:type="dcterms:W3CDTF">2020-04-16T00:45:53Z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