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18" w:rsidRDefault="00275D18">
      <w:pPr>
        <w:rPr>
          <w:rFonts w:ascii="仿宋_GB2312" w:eastAsia="仿宋_GB2312" w:hAnsi="仿宋_GB2312" w:cs="Times New Roman"/>
          <w:sz w:val="32"/>
          <w:szCs w:val="32"/>
        </w:rPr>
      </w:pPr>
    </w:p>
    <w:p w:rsidR="00275D18" w:rsidRDefault="00275D18">
      <w:pPr>
        <w:jc w:val="left"/>
        <w:rPr>
          <w:rFonts w:ascii="黑体" w:eastAsia="黑体" w:hAnsi="黑体" w:cs="Times New Roman"/>
          <w:sz w:val="32"/>
          <w:szCs w:val="32"/>
        </w:rPr>
      </w:pPr>
      <w:r>
        <w:rPr>
          <w:rFonts w:ascii="黑体" w:eastAsia="黑体" w:hAnsi="黑体" w:cs="黑体" w:hint="eastAsia"/>
          <w:sz w:val="32"/>
          <w:szCs w:val="32"/>
        </w:rPr>
        <w:t>附件</w:t>
      </w:r>
    </w:p>
    <w:p w:rsidR="00275D18" w:rsidRDefault="00275D18">
      <w:pPr>
        <w:jc w:val="center"/>
        <w:rPr>
          <w:rFonts w:ascii="黑体" w:eastAsia="黑体" w:hAnsi="黑体" w:cs="Times New Roman"/>
          <w:sz w:val="32"/>
          <w:szCs w:val="32"/>
        </w:rPr>
      </w:pPr>
      <w:r>
        <w:rPr>
          <w:rFonts w:ascii="黑体" w:eastAsia="黑体" w:hAnsi="黑体" w:cs="黑体" w:hint="eastAsia"/>
          <w:sz w:val="32"/>
          <w:szCs w:val="32"/>
        </w:rPr>
        <w:t>宠物用化学药品注册临床资料要求</w:t>
      </w:r>
    </w:p>
    <w:p w:rsidR="00275D18" w:rsidRDefault="00275D18">
      <w:pPr>
        <w:jc w:val="center"/>
        <w:rPr>
          <w:rFonts w:ascii="黑体" w:eastAsia="黑体" w:hAnsi="黑体" w:cs="Times New Roman"/>
          <w:sz w:val="32"/>
          <w:szCs w:val="32"/>
        </w:rPr>
      </w:pPr>
    </w:p>
    <w:p w:rsidR="00275D18" w:rsidRDefault="00275D18" w:rsidP="00665531">
      <w:pPr>
        <w:ind w:firstLineChars="221" w:firstLine="707"/>
        <w:rPr>
          <w:rFonts w:ascii="黑体" w:eastAsia="黑体" w:hAnsi="黑体" w:cs="Times New Roman"/>
          <w:sz w:val="32"/>
          <w:szCs w:val="32"/>
        </w:rPr>
      </w:pPr>
      <w:r>
        <w:rPr>
          <w:rFonts w:ascii="黑体" w:eastAsia="黑体" w:hAnsi="黑体" w:cs="黑体" w:hint="eastAsia"/>
          <w:sz w:val="32"/>
          <w:szCs w:val="32"/>
        </w:rPr>
        <w:t>一、注册分类第二类</w:t>
      </w:r>
    </w:p>
    <w:p w:rsidR="00275D18" w:rsidRDefault="00275D18" w:rsidP="00665531">
      <w:pPr>
        <w:ind w:firstLineChars="200" w:firstLine="640"/>
        <w:rPr>
          <w:rFonts w:eastAsia="仿宋_GB2312" w:cs="Times New Roman"/>
          <w:color w:val="000000"/>
          <w:sz w:val="32"/>
          <w:szCs w:val="32"/>
        </w:rPr>
      </w:pPr>
      <w:r>
        <w:rPr>
          <w:rFonts w:eastAsia="仿宋_GB2312" w:cs="仿宋_GB2312" w:hint="eastAsia"/>
          <w:color w:val="000000"/>
          <w:sz w:val="32"/>
          <w:szCs w:val="32"/>
        </w:rPr>
        <w:t>国外已上市销售但在国内未上市销售的兽用原料及其制剂。</w:t>
      </w:r>
    </w:p>
    <w:p w:rsidR="00275D18" w:rsidRDefault="00275D18" w:rsidP="00665531">
      <w:pPr>
        <w:ind w:firstLineChars="200" w:firstLine="643"/>
        <w:rPr>
          <w:rFonts w:eastAsia="仿宋_GB2312" w:cs="Times New Roman"/>
          <w:color w:val="000000"/>
          <w:sz w:val="32"/>
          <w:szCs w:val="32"/>
        </w:rPr>
      </w:pPr>
      <w:r>
        <w:rPr>
          <w:rFonts w:ascii="楷体_GB2312" w:eastAsia="楷体_GB2312" w:cs="楷体_GB2312" w:hint="eastAsia"/>
          <w:b/>
          <w:bCs/>
          <w:color w:val="000000"/>
          <w:sz w:val="32"/>
          <w:szCs w:val="32"/>
        </w:rPr>
        <w:t>（一）兽用原料药及其宠物用制剂均未在境内上市的。</w:t>
      </w:r>
      <w:r>
        <w:rPr>
          <w:rFonts w:eastAsia="仿宋_GB2312" w:cs="仿宋_GB2312" w:hint="eastAsia"/>
          <w:color w:val="000000"/>
          <w:sz w:val="32"/>
          <w:szCs w:val="32"/>
        </w:rPr>
        <w:t>临床试验研究资料应提供该制剂与原研兽药比较的药代动力学研究资料和与原研兽药对照的</w:t>
      </w:r>
      <w:r>
        <w:rPr>
          <w:rFonts w:ascii="仿宋_GB2312" w:eastAsia="仿宋_GB2312" w:hAnsi="仿宋_GB2312" w:cs="仿宋_GB2312" w:hint="eastAsia"/>
          <w:color w:val="000000"/>
          <w:sz w:val="32"/>
          <w:szCs w:val="32"/>
        </w:rPr>
        <w:t>Ⅲ</w:t>
      </w:r>
      <w:r>
        <w:rPr>
          <w:rFonts w:eastAsia="仿宋_GB2312" w:cs="仿宋_GB2312" w:hint="eastAsia"/>
          <w:color w:val="000000"/>
          <w:sz w:val="32"/>
          <w:szCs w:val="32"/>
        </w:rPr>
        <w:t>期临床试验</w:t>
      </w:r>
      <w:bookmarkStart w:id="0" w:name="_GoBack"/>
      <w:bookmarkEnd w:id="0"/>
      <w:r>
        <w:rPr>
          <w:rFonts w:eastAsia="仿宋_GB2312" w:cs="仿宋_GB2312" w:hint="eastAsia"/>
          <w:color w:val="000000"/>
          <w:sz w:val="32"/>
          <w:szCs w:val="32"/>
        </w:rPr>
        <w:t>研究资料。</w:t>
      </w:r>
    </w:p>
    <w:p w:rsidR="00275D18" w:rsidRDefault="00275D18" w:rsidP="00665531">
      <w:pPr>
        <w:ind w:firstLineChars="200" w:firstLine="640"/>
        <w:rPr>
          <w:rFonts w:eastAsia="仿宋_GB2312" w:cs="Times New Roman"/>
          <w:color w:val="000000"/>
          <w:sz w:val="32"/>
          <w:szCs w:val="32"/>
        </w:rPr>
      </w:pPr>
      <w:r>
        <w:rPr>
          <w:rFonts w:eastAsia="仿宋_GB2312" w:cs="仿宋_GB2312" w:hint="eastAsia"/>
          <w:color w:val="000000"/>
          <w:sz w:val="32"/>
          <w:szCs w:val="32"/>
        </w:rPr>
        <w:t>不需要提供</w:t>
      </w:r>
      <w:proofErr w:type="gramStart"/>
      <w:r>
        <w:rPr>
          <w:rFonts w:eastAsia="仿宋_GB2312" w:cs="仿宋_GB2312" w:hint="eastAsia"/>
          <w:color w:val="000000"/>
          <w:sz w:val="32"/>
          <w:szCs w:val="32"/>
        </w:rPr>
        <w:t>靶动物</w:t>
      </w:r>
      <w:proofErr w:type="gramEnd"/>
      <w:r>
        <w:rPr>
          <w:rFonts w:eastAsia="仿宋_GB2312" w:cs="仿宋_GB2312" w:hint="eastAsia"/>
          <w:color w:val="000000"/>
          <w:sz w:val="32"/>
          <w:szCs w:val="32"/>
        </w:rPr>
        <w:t>安全性试验资料（在临床使用中观察不良反应情况，并按规定上报）。</w:t>
      </w:r>
    </w:p>
    <w:p w:rsidR="00275D18" w:rsidRDefault="00275D18" w:rsidP="00665531">
      <w:pPr>
        <w:ind w:firstLineChars="200" w:firstLine="643"/>
        <w:rPr>
          <w:rFonts w:eastAsia="仿宋_GB2312" w:cs="Times New Roman"/>
          <w:color w:val="000000"/>
          <w:sz w:val="32"/>
          <w:szCs w:val="32"/>
        </w:rPr>
      </w:pPr>
      <w:r>
        <w:rPr>
          <w:rFonts w:ascii="楷体_GB2312" w:eastAsia="楷体_GB2312" w:cs="楷体_GB2312" w:hint="eastAsia"/>
          <w:b/>
          <w:bCs/>
          <w:color w:val="000000"/>
          <w:sz w:val="32"/>
          <w:szCs w:val="32"/>
        </w:rPr>
        <w:t>（二）兽用原料药未在境内上市，但其宠物用制剂已在境内上市的。</w:t>
      </w:r>
      <w:r>
        <w:rPr>
          <w:rFonts w:eastAsia="仿宋_GB2312" w:cs="仿宋_GB2312" w:hint="eastAsia"/>
          <w:color w:val="000000"/>
          <w:sz w:val="32"/>
          <w:szCs w:val="32"/>
        </w:rPr>
        <w:t>临床试验研究资料应提供该制剂与原研兽药进行的生物等效性研究资料；不能进行生物等效性研究的，应提供与原研兽药对照的</w:t>
      </w:r>
      <w:r>
        <w:rPr>
          <w:rFonts w:ascii="仿宋_GB2312" w:eastAsia="仿宋_GB2312" w:hAnsi="仿宋_GB2312" w:cs="仿宋_GB2312" w:hint="eastAsia"/>
          <w:color w:val="000000"/>
          <w:sz w:val="32"/>
          <w:szCs w:val="32"/>
        </w:rPr>
        <w:t>Ⅲ</w:t>
      </w:r>
      <w:r>
        <w:rPr>
          <w:rFonts w:eastAsia="仿宋_GB2312" w:cs="仿宋_GB2312" w:hint="eastAsia"/>
          <w:color w:val="000000"/>
          <w:sz w:val="32"/>
          <w:szCs w:val="32"/>
        </w:rPr>
        <w:t>期临床试验研究资料。如果符合生物等效性豁免的产品，制剂可不提交临床试验资料。</w:t>
      </w:r>
    </w:p>
    <w:p w:rsidR="00275D18" w:rsidRDefault="00275D18" w:rsidP="00665531">
      <w:pPr>
        <w:ind w:firstLineChars="200" w:firstLine="640"/>
        <w:rPr>
          <w:rFonts w:eastAsia="仿宋_GB2312" w:cs="Times New Roman"/>
          <w:color w:val="000000"/>
          <w:sz w:val="32"/>
          <w:szCs w:val="32"/>
        </w:rPr>
      </w:pPr>
      <w:r>
        <w:rPr>
          <w:rFonts w:eastAsia="仿宋_GB2312" w:cs="仿宋_GB2312" w:hint="eastAsia"/>
          <w:color w:val="000000"/>
          <w:sz w:val="32"/>
          <w:szCs w:val="32"/>
        </w:rPr>
        <w:t>不需要提供</w:t>
      </w:r>
      <w:proofErr w:type="gramStart"/>
      <w:r>
        <w:rPr>
          <w:rFonts w:eastAsia="仿宋_GB2312" w:cs="仿宋_GB2312" w:hint="eastAsia"/>
          <w:color w:val="000000"/>
          <w:sz w:val="32"/>
          <w:szCs w:val="32"/>
        </w:rPr>
        <w:t>靶动物</w:t>
      </w:r>
      <w:proofErr w:type="gramEnd"/>
      <w:r>
        <w:rPr>
          <w:rFonts w:eastAsia="仿宋_GB2312" w:cs="仿宋_GB2312" w:hint="eastAsia"/>
          <w:color w:val="000000"/>
          <w:sz w:val="32"/>
          <w:szCs w:val="32"/>
        </w:rPr>
        <w:t>安全性试验资料（在临床使用中观察不良反应情况，并按规定上报）。</w:t>
      </w:r>
    </w:p>
    <w:p w:rsidR="00275D18" w:rsidRDefault="00275D18" w:rsidP="00665531">
      <w:pPr>
        <w:ind w:firstLineChars="221" w:firstLine="707"/>
        <w:rPr>
          <w:rFonts w:ascii="黑体" w:eastAsia="黑体" w:hAnsi="黑体" w:cs="Times New Roman"/>
          <w:sz w:val="32"/>
          <w:szCs w:val="32"/>
        </w:rPr>
      </w:pPr>
      <w:r>
        <w:rPr>
          <w:rFonts w:ascii="黑体" w:eastAsia="黑体" w:hAnsi="黑体" w:cs="黑体" w:hint="eastAsia"/>
          <w:sz w:val="32"/>
          <w:szCs w:val="32"/>
        </w:rPr>
        <w:t>二、注册分类第五类</w:t>
      </w:r>
    </w:p>
    <w:p w:rsidR="00275D18" w:rsidRDefault="00275D18" w:rsidP="00665531">
      <w:pPr>
        <w:ind w:firstLineChars="200" w:firstLine="640"/>
        <w:rPr>
          <w:rFonts w:eastAsia="仿宋_GB2312" w:cs="Times New Roman"/>
          <w:color w:val="000000"/>
          <w:sz w:val="32"/>
          <w:szCs w:val="32"/>
        </w:rPr>
      </w:pPr>
      <w:r>
        <w:rPr>
          <w:rFonts w:eastAsia="仿宋_GB2312" w:cs="仿宋_GB2312" w:hint="eastAsia"/>
          <w:color w:val="000000"/>
          <w:sz w:val="32"/>
          <w:szCs w:val="32"/>
        </w:rPr>
        <w:t>国外已上市销售但在国内未上市销售的制剂。临床试验研究资料应提供该制剂与原研兽药进行的生物等效性研究</w:t>
      </w:r>
      <w:r>
        <w:rPr>
          <w:rFonts w:eastAsia="仿宋_GB2312" w:cs="仿宋_GB2312" w:hint="eastAsia"/>
          <w:color w:val="000000"/>
          <w:sz w:val="32"/>
          <w:szCs w:val="32"/>
        </w:rPr>
        <w:lastRenderedPageBreak/>
        <w:t>资料；不能进行生物等效性研究的或符合生物等效性豁免的产品，应提供与原研兽药对照的</w:t>
      </w:r>
      <w:r>
        <w:rPr>
          <w:rFonts w:ascii="仿宋_GB2312" w:eastAsia="仿宋_GB2312" w:hAnsi="仿宋_GB2312" w:cs="仿宋_GB2312" w:hint="eastAsia"/>
          <w:color w:val="000000"/>
          <w:sz w:val="32"/>
          <w:szCs w:val="32"/>
        </w:rPr>
        <w:t>Ⅲ</w:t>
      </w:r>
      <w:r>
        <w:rPr>
          <w:rFonts w:eastAsia="仿宋_GB2312" w:cs="仿宋_GB2312" w:hint="eastAsia"/>
          <w:color w:val="000000"/>
          <w:sz w:val="32"/>
          <w:szCs w:val="32"/>
        </w:rPr>
        <w:t>期临床试验研究资料。</w:t>
      </w:r>
    </w:p>
    <w:p w:rsidR="00275D18" w:rsidRDefault="00275D18" w:rsidP="00665531">
      <w:pPr>
        <w:ind w:firstLineChars="200" w:firstLine="640"/>
        <w:rPr>
          <w:rFonts w:eastAsia="仿宋_GB2312" w:cs="Times New Roman"/>
          <w:color w:val="000000"/>
          <w:sz w:val="32"/>
          <w:szCs w:val="32"/>
        </w:rPr>
      </w:pPr>
      <w:r>
        <w:rPr>
          <w:rFonts w:eastAsia="仿宋_GB2312" w:cs="仿宋_GB2312" w:hint="eastAsia"/>
          <w:color w:val="000000"/>
          <w:sz w:val="32"/>
          <w:szCs w:val="32"/>
        </w:rPr>
        <w:t>不需要提供</w:t>
      </w:r>
      <w:proofErr w:type="gramStart"/>
      <w:r>
        <w:rPr>
          <w:rFonts w:eastAsia="仿宋_GB2312" w:cs="仿宋_GB2312" w:hint="eastAsia"/>
          <w:color w:val="000000"/>
          <w:sz w:val="32"/>
          <w:szCs w:val="32"/>
        </w:rPr>
        <w:t>靶动物</w:t>
      </w:r>
      <w:proofErr w:type="gramEnd"/>
      <w:r>
        <w:rPr>
          <w:rFonts w:eastAsia="仿宋_GB2312" w:cs="仿宋_GB2312" w:hint="eastAsia"/>
          <w:color w:val="000000"/>
          <w:sz w:val="32"/>
          <w:szCs w:val="32"/>
        </w:rPr>
        <w:t>安全性试验资料（在临床使用中观察不良反应情况，并按规定上报）。</w:t>
      </w:r>
    </w:p>
    <w:p w:rsidR="00275D18" w:rsidRDefault="00275D18" w:rsidP="00665531">
      <w:pPr>
        <w:ind w:firstLineChars="221" w:firstLine="707"/>
        <w:rPr>
          <w:rFonts w:ascii="黑体" w:eastAsia="黑体" w:hAnsi="黑体" w:cs="Times New Roman"/>
          <w:sz w:val="32"/>
          <w:szCs w:val="32"/>
        </w:rPr>
      </w:pPr>
      <w:r>
        <w:rPr>
          <w:rFonts w:ascii="黑体" w:eastAsia="黑体" w:hAnsi="黑体" w:cs="黑体" w:hint="eastAsia"/>
          <w:sz w:val="32"/>
          <w:szCs w:val="32"/>
        </w:rPr>
        <w:t>三、其他注册类别用于宠物的新兽药</w:t>
      </w:r>
    </w:p>
    <w:p w:rsidR="00275D18" w:rsidRDefault="00275D18" w:rsidP="00B67A28">
      <w:pPr>
        <w:ind w:firstLineChars="200" w:firstLine="640"/>
        <w:rPr>
          <w:rFonts w:eastAsia="仿宋_GB2312" w:cs="Times New Roman"/>
          <w:color w:val="000000"/>
          <w:sz w:val="32"/>
          <w:szCs w:val="32"/>
        </w:rPr>
      </w:pPr>
      <w:r>
        <w:rPr>
          <w:rFonts w:eastAsia="仿宋_GB2312" w:cs="仿宋_GB2312" w:hint="eastAsia"/>
          <w:color w:val="000000"/>
          <w:sz w:val="32"/>
          <w:szCs w:val="32"/>
        </w:rPr>
        <w:t>均应按照农业部公告第</w:t>
      </w:r>
      <w:r>
        <w:rPr>
          <w:rFonts w:eastAsia="仿宋_GB2312"/>
          <w:color w:val="000000"/>
          <w:sz w:val="32"/>
          <w:szCs w:val="32"/>
        </w:rPr>
        <w:t>442</w:t>
      </w:r>
      <w:r>
        <w:rPr>
          <w:rFonts w:eastAsia="仿宋_GB2312" w:cs="仿宋_GB2312" w:hint="eastAsia"/>
          <w:color w:val="000000"/>
          <w:sz w:val="32"/>
          <w:szCs w:val="32"/>
        </w:rPr>
        <w:t>号的要求提交临床试验资料。</w:t>
      </w:r>
    </w:p>
    <w:sectPr w:rsidR="00275D18" w:rsidSect="00856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69" w:rsidRDefault="00550F69" w:rsidP="00665531">
      <w:r>
        <w:separator/>
      </w:r>
    </w:p>
  </w:endnote>
  <w:endnote w:type="continuationSeparator" w:id="0">
    <w:p w:rsidR="00550F69" w:rsidRDefault="00550F69" w:rsidP="00665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69" w:rsidRDefault="00550F69" w:rsidP="00665531">
      <w:r>
        <w:separator/>
      </w:r>
    </w:p>
  </w:footnote>
  <w:footnote w:type="continuationSeparator" w:id="0">
    <w:p w:rsidR="00550F69" w:rsidRDefault="00550F69" w:rsidP="006655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A13"/>
    <w:rsid w:val="00044B45"/>
    <w:rsid w:val="000568B8"/>
    <w:rsid w:val="00060FD5"/>
    <w:rsid w:val="00082070"/>
    <w:rsid w:val="000839CE"/>
    <w:rsid w:val="000849E8"/>
    <w:rsid w:val="000879C6"/>
    <w:rsid w:val="00094A09"/>
    <w:rsid w:val="000A200C"/>
    <w:rsid w:val="000B7A13"/>
    <w:rsid w:val="000E1B3D"/>
    <w:rsid w:val="00104A62"/>
    <w:rsid w:val="00105D2B"/>
    <w:rsid w:val="00106D8F"/>
    <w:rsid w:val="00124EF3"/>
    <w:rsid w:val="00141CF9"/>
    <w:rsid w:val="0017706B"/>
    <w:rsid w:val="001871EE"/>
    <w:rsid w:val="00187C0B"/>
    <w:rsid w:val="00192B53"/>
    <w:rsid w:val="001950F0"/>
    <w:rsid w:val="001B4B76"/>
    <w:rsid w:val="001D50C1"/>
    <w:rsid w:val="001E02E2"/>
    <w:rsid w:val="001E5866"/>
    <w:rsid w:val="00200A86"/>
    <w:rsid w:val="00217EB5"/>
    <w:rsid w:val="00225AD2"/>
    <w:rsid w:val="00260BDC"/>
    <w:rsid w:val="00263D76"/>
    <w:rsid w:val="00265427"/>
    <w:rsid w:val="00267EF5"/>
    <w:rsid w:val="00275D18"/>
    <w:rsid w:val="0029689A"/>
    <w:rsid w:val="00297A2D"/>
    <w:rsid w:val="002A2972"/>
    <w:rsid w:val="002B1E76"/>
    <w:rsid w:val="002B56EB"/>
    <w:rsid w:val="002D0DA9"/>
    <w:rsid w:val="002D7D87"/>
    <w:rsid w:val="002E5697"/>
    <w:rsid w:val="002E67E0"/>
    <w:rsid w:val="003063A8"/>
    <w:rsid w:val="00313740"/>
    <w:rsid w:val="003321F7"/>
    <w:rsid w:val="0033272D"/>
    <w:rsid w:val="00335C9E"/>
    <w:rsid w:val="00337060"/>
    <w:rsid w:val="00356E64"/>
    <w:rsid w:val="00370F3B"/>
    <w:rsid w:val="003737A3"/>
    <w:rsid w:val="0039693E"/>
    <w:rsid w:val="003B573E"/>
    <w:rsid w:val="003D345B"/>
    <w:rsid w:val="003E69C7"/>
    <w:rsid w:val="003F3889"/>
    <w:rsid w:val="00400B99"/>
    <w:rsid w:val="00413A38"/>
    <w:rsid w:val="0042120A"/>
    <w:rsid w:val="004264AF"/>
    <w:rsid w:val="00460FD4"/>
    <w:rsid w:val="004618C1"/>
    <w:rsid w:val="00464C64"/>
    <w:rsid w:val="0048779B"/>
    <w:rsid w:val="00492ED1"/>
    <w:rsid w:val="00493637"/>
    <w:rsid w:val="004B1346"/>
    <w:rsid w:val="004C0101"/>
    <w:rsid w:val="004C086E"/>
    <w:rsid w:val="004F15D0"/>
    <w:rsid w:val="004F42EC"/>
    <w:rsid w:val="004F6456"/>
    <w:rsid w:val="004F71A3"/>
    <w:rsid w:val="00517D2F"/>
    <w:rsid w:val="00545663"/>
    <w:rsid w:val="00547DEC"/>
    <w:rsid w:val="00550F69"/>
    <w:rsid w:val="005775EE"/>
    <w:rsid w:val="00586867"/>
    <w:rsid w:val="0061537B"/>
    <w:rsid w:val="006175F0"/>
    <w:rsid w:val="00637504"/>
    <w:rsid w:val="00642434"/>
    <w:rsid w:val="00647174"/>
    <w:rsid w:val="00654176"/>
    <w:rsid w:val="00654EA2"/>
    <w:rsid w:val="00657B2E"/>
    <w:rsid w:val="0066137D"/>
    <w:rsid w:val="00665531"/>
    <w:rsid w:val="006664C1"/>
    <w:rsid w:val="006A5281"/>
    <w:rsid w:val="006A6A44"/>
    <w:rsid w:val="006B1E31"/>
    <w:rsid w:val="006C548E"/>
    <w:rsid w:val="006D04E6"/>
    <w:rsid w:val="006F0C53"/>
    <w:rsid w:val="00731397"/>
    <w:rsid w:val="00750ED6"/>
    <w:rsid w:val="00752A20"/>
    <w:rsid w:val="00781F38"/>
    <w:rsid w:val="007A173B"/>
    <w:rsid w:val="007A19B6"/>
    <w:rsid w:val="007C0F72"/>
    <w:rsid w:val="007C1A07"/>
    <w:rsid w:val="007D298D"/>
    <w:rsid w:val="007E3E7B"/>
    <w:rsid w:val="0080078A"/>
    <w:rsid w:val="00824FA4"/>
    <w:rsid w:val="00856208"/>
    <w:rsid w:val="00877195"/>
    <w:rsid w:val="00881F0B"/>
    <w:rsid w:val="00893EF9"/>
    <w:rsid w:val="008955F2"/>
    <w:rsid w:val="00895A81"/>
    <w:rsid w:val="008C7776"/>
    <w:rsid w:val="009032C9"/>
    <w:rsid w:val="00923627"/>
    <w:rsid w:val="00934F71"/>
    <w:rsid w:val="00937476"/>
    <w:rsid w:val="009654C9"/>
    <w:rsid w:val="00967B49"/>
    <w:rsid w:val="009900A2"/>
    <w:rsid w:val="00994741"/>
    <w:rsid w:val="009A1032"/>
    <w:rsid w:val="009B0485"/>
    <w:rsid w:val="009B4C90"/>
    <w:rsid w:val="009B66E5"/>
    <w:rsid w:val="009C62E1"/>
    <w:rsid w:val="009D038F"/>
    <w:rsid w:val="009F56F2"/>
    <w:rsid w:val="009F6106"/>
    <w:rsid w:val="009F7075"/>
    <w:rsid w:val="00A01811"/>
    <w:rsid w:val="00A045CF"/>
    <w:rsid w:val="00A16DF6"/>
    <w:rsid w:val="00A2245C"/>
    <w:rsid w:val="00A23A84"/>
    <w:rsid w:val="00A27500"/>
    <w:rsid w:val="00A53824"/>
    <w:rsid w:val="00A860CC"/>
    <w:rsid w:val="00A8794B"/>
    <w:rsid w:val="00A87F0F"/>
    <w:rsid w:val="00A930B8"/>
    <w:rsid w:val="00AB11E7"/>
    <w:rsid w:val="00AB7268"/>
    <w:rsid w:val="00AB793C"/>
    <w:rsid w:val="00AC0DCA"/>
    <w:rsid w:val="00AE235C"/>
    <w:rsid w:val="00B04324"/>
    <w:rsid w:val="00B05182"/>
    <w:rsid w:val="00B245B9"/>
    <w:rsid w:val="00B321C1"/>
    <w:rsid w:val="00B45FAE"/>
    <w:rsid w:val="00B4663D"/>
    <w:rsid w:val="00B660A2"/>
    <w:rsid w:val="00B67A28"/>
    <w:rsid w:val="00B70AA8"/>
    <w:rsid w:val="00B81E39"/>
    <w:rsid w:val="00B94CC5"/>
    <w:rsid w:val="00B950CE"/>
    <w:rsid w:val="00BC3F4E"/>
    <w:rsid w:val="00BD2222"/>
    <w:rsid w:val="00BD7306"/>
    <w:rsid w:val="00BE356A"/>
    <w:rsid w:val="00BE72E7"/>
    <w:rsid w:val="00C01EBF"/>
    <w:rsid w:val="00C02657"/>
    <w:rsid w:val="00C07CC1"/>
    <w:rsid w:val="00C17362"/>
    <w:rsid w:val="00C85F70"/>
    <w:rsid w:val="00C872B9"/>
    <w:rsid w:val="00CB5560"/>
    <w:rsid w:val="00CB59F2"/>
    <w:rsid w:val="00CC0242"/>
    <w:rsid w:val="00CC033B"/>
    <w:rsid w:val="00CC5FAE"/>
    <w:rsid w:val="00D04792"/>
    <w:rsid w:val="00D05EE6"/>
    <w:rsid w:val="00D11F18"/>
    <w:rsid w:val="00D756AA"/>
    <w:rsid w:val="00D8265A"/>
    <w:rsid w:val="00DA0853"/>
    <w:rsid w:val="00DA777B"/>
    <w:rsid w:val="00DB123C"/>
    <w:rsid w:val="00DB1AC0"/>
    <w:rsid w:val="00DC0AE9"/>
    <w:rsid w:val="00DE06AE"/>
    <w:rsid w:val="00DE1A5F"/>
    <w:rsid w:val="00DF1F32"/>
    <w:rsid w:val="00DF4435"/>
    <w:rsid w:val="00E01420"/>
    <w:rsid w:val="00E44C23"/>
    <w:rsid w:val="00E4767B"/>
    <w:rsid w:val="00E62441"/>
    <w:rsid w:val="00E71024"/>
    <w:rsid w:val="00E812D1"/>
    <w:rsid w:val="00E860B6"/>
    <w:rsid w:val="00E9368C"/>
    <w:rsid w:val="00E94C39"/>
    <w:rsid w:val="00E95935"/>
    <w:rsid w:val="00EB0EA2"/>
    <w:rsid w:val="00EC5220"/>
    <w:rsid w:val="00ED2655"/>
    <w:rsid w:val="00EE0EFC"/>
    <w:rsid w:val="00F01898"/>
    <w:rsid w:val="00F07285"/>
    <w:rsid w:val="00F07D30"/>
    <w:rsid w:val="00F103A7"/>
    <w:rsid w:val="00F26254"/>
    <w:rsid w:val="00F36172"/>
    <w:rsid w:val="00F37089"/>
    <w:rsid w:val="00F4108E"/>
    <w:rsid w:val="00F63CFA"/>
    <w:rsid w:val="00F96D9F"/>
    <w:rsid w:val="00FA1D07"/>
    <w:rsid w:val="00FB4FE2"/>
    <w:rsid w:val="00FC4F81"/>
    <w:rsid w:val="00FC7438"/>
    <w:rsid w:val="00FE1496"/>
    <w:rsid w:val="00FF355B"/>
    <w:rsid w:val="03CA10AB"/>
    <w:rsid w:val="095F1D6A"/>
    <w:rsid w:val="0A383639"/>
    <w:rsid w:val="0C6D41D2"/>
    <w:rsid w:val="2CAE2421"/>
    <w:rsid w:val="31D54834"/>
    <w:rsid w:val="333A43D9"/>
    <w:rsid w:val="34CE320A"/>
    <w:rsid w:val="395A6FD9"/>
    <w:rsid w:val="3BE11EE7"/>
    <w:rsid w:val="51381123"/>
    <w:rsid w:val="53BA2CEF"/>
    <w:rsid w:val="55D86443"/>
    <w:rsid w:val="5E897A2E"/>
    <w:rsid w:val="60FF3E95"/>
    <w:rsid w:val="61BF04C6"/>
    <w:rsid w:val="63432439"/>
    <w:rsid w:val="63BA2B73"/>
    <w:rsid w:val="64D812EE"/>
    <w:rsid w:val="68666E31"/>
    <w:rsid w:val="69011F7E"/>
    <w:rsid w:val="700E1F53"/>
    <w:rsid w:val="7D2E4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08"/>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5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5531"/>
    <w:rPr>
      <w:rFonts w:ascii="Calibri" w:hAnsi="Calibri" w:cs="Calibri"/>
      <w:sz w:val="18"/>
      <w:szCs w:val="18"/>
    </w:rPr>
  </w:style>
  <w:style w:type="paragraph" w:styleId="a4">
    <w:name w:val="footer"/>
    <w:basedOn w:val="a"/>
    <w:link w:val="Char0"/>
    <w:uiPriority w:val="99"/>
    <w:semiHidden/>
    <w:unhideWhenUsed/>
    <w:rsid w:val="006655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5531"/>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Words>
  <Characters>456</Characters>
  <Application>Microsoft Office Word</Application>
  <DocSecurity>0</DocSecurity>
  <Lines>3</Lines>
  <Paragraphs>1</Paragraphs>
  <ScaleCrop>false</ScaleCrop>
  <Company>Lenovo</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超级管理员</dc:creator>
  <cp:lastModifiedBy>lenovo</cp:lastModifiedBy>
  <cp:revision>2</cp:revision>
  <cp:lastPrinted>2020-01-14T07:35:00Z</cp:lastPrinted>
  <dcterms:created xsi:type="dcterms:W3CDTF">2020-01-20T08:58:00Z</dcterms:created>
  <dcterms:modified xsi:type="dcterms:W3CDTF">2020-01-20T08:58:00Z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