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农业综合行政执法管理办法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(2022年11月22日农业农村部令2022年第9号公布，自2023年1月1日起施行)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default"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default" w:ascii="仿宋_GB2312" w:hAnsi="仿宋_GB2312" w:eastAsia="仿宋_GB2312" w:cs="仿宋_GB2312"/>
          <w:i w:val="0"/>
          <w:caps w:val="0"/>
          <w:color w:val="333333"/>
          <w:spacing w:val="0"/>
          <w:sz w:val="32"/>
          <w:szCs w:val="32"/>
          <w:shd w:val="clear" w:fill="FFFFFF"/>
          <w:lang w:val="en-US" w:eastAsia="zh-CN"/>
        </w:rPr>
        <w:t>为加强农业综合行政执法机构和执法人员管理，规范农业行政执法行为，根据《中华人民共和国行政处罚法》等有关法律的规定，结合农业综合行政执法工作实际，制定本办法。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default" w:ascii="仿宋_GB2312" w:hAnsi="仿宋_GB2312" w:eastAsia="仿宋_GB2312" w:cs="仿宋_GB2312"/>
          <w:i w:val="0"/>
          <w:caps w:val="0"/>
          <w:color w:val="333333"/>
          <w:spacing w:val="0"/>
          <w:sz w:val="32"/>
          <w:szCs w:val="32"/>
          <w:shd w:val="clear" w:fill="FFFFFF"/>
          <w:lang w:val="en-US" w:eastAsia="zh-CN"/>
        </w:rPr>
        <w:t>县级以上人民政府农业农村主管部门及农业综合行政执法机构开展农业综合行政执法工作及相关活动，适用本办法。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农业综合行政执法工作应当遵循合法行政、合理行政、诚实信用、程序正当、高效便民、权责统一的原则。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农业农村部负责指导和监督全国农业综合行政执法工作。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县级以上地方人民政府农业农村主管部门负责本辖区内农业综合行政执法工作。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五</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县级以上地方人民政府农业农村主管部门应当明确农业综合行政执法机构与行业管理、技术支撑机构的职责分工，健全完善线索处置、信息共享、监督抽查、检打联动等协作配合机制，形成执法合力。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六</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县级以上地方人民政府农业农村主管部门应当建立健全跨区域农业行政执法联动机制，加强与其他行政执法部门、司法机关的交流协作。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七</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县级以上人民政府农业农村主管部门对农业行政执法工作中表现突出、有显著成绩和贡献或者有其他突出事迹的执法机构、执法人员，按照国家和地方人民政府有关规定给予表彰和奖励。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八</w:t>
      </w:r>
      <w:r>
        <w:rPr>
          <w:rFonts w:hint="default" w:ascii="黑体" w:hAnsi="黑体" w:eastAsia="黑体" w:cs="黑体"/>
          <w:i w:val="0"/>
          <w:caps w:val="0"/>
          <w:color w:val="333333"/>
          <w:spacing w:val="0"/>
          <w:sz w:val="32"/>
          <w:szCs w:val="32"/>
          <w:shd w:val="clear" w:fill="FFFFFF"/>
          <w:lang w:val="en-US" w:eastAsia="zh-CN"/>
        </w:rPr>
        <w:t>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县级以上地方人民政府农业农村主管部门及其农业综合行政执法机构应当加强基层党组织和党员队伍建设，建立健全党风廉政建设责任制。</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执法机构和人员管理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宋体" w:eastAsia="黑体" w:cs="黑体"/>
          <w:kern w:val="2"/>
          <w:sz w:val="32"/>
          <w:szCs w:val="32"/>
          <w:lang w:val="en-US" w:eastAsia="zh-CN" w:bidi="ar"/>
        </w:rPr>
        <w:t>第九条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县级以上地方人民政府农业农村主管部门依法设立的农业综合行政执法机构承担并集中行使农业行政处罚以及与行政处罚相关的行政检查、行政强制职能，以农业农村部门名义统一执法。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省级农业综合行政执法机构承担并集中行使法律、法规、规章明确由省级人民政府农业农村主管部门及其所属单位承担的农业行政执法职责，负责查处具有重大影响的跨区域复杂违法案件，监督指导、组织协调辖区内农业行政执法工作。</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级农业综合行政执法机构承担并集中行使法律、法规、规章规定明确由市级人民政府农业农村主管部门及其所属单位承担的农业行政执法职责，负责查处具有较大影响的跨区域复杂违法案件及其直接管辖的市辖区内一般农业违法案件，监督指导、组织协调辖区内农业行政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县级农业综合行政执法机构负责统一实施辖区内日常执法检查和一般农业违法案件查处工作。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农业农村部建立健全执法办案指导机制，分领域遴选执法办案能手，组建全国农业行政执法专家库。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市级以上地方人民政府农业农村主管部门应当选调辖区内农业行政执法骨干组建执法办案指导小组，加强对基层农业行政执法工作的指导。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应当建立与乡镇人民政府、街道办事处执法协作机制，引导和支持乡镇人民政府、街道办事处执法机构协助农业综合行政执法机构开展日常巡查、投诉举报受理以及调查取证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农业行政处罚权依法交由乡镇人民政府、街道办事处行使的，县级人民政府农业农村主管部门应当加强对乡镇人民政府、街道办事处综合行政执法机构的业务指导和监督，提供专业技术、业务培训等方面的支持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上级农业农村主管部门及其农业综合行政执法机构可以根据工作需要，经下级农业农村主管部门同意后，按程序调用下级农业综合行政执法机构人员开展调查、取证等执法工作。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持有行政执法证件的农业综合行政执法人员，可以根据执法协同工作需要，参加跨部门、跨区域、跨层级的行政执法活动。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农业综合行政执法人员应当经过岗位培训，考试合格并取得行政执法证件后，方可从事行政执法工作。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农业综合行政执法机构应当鼓励和支持农业综合行政执法人员参加国家统一法律职业资格考试，取得法律职业资格。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农业农村部负责制定全国农业综合行政执法人员培训大纲，编撰统编执法培训教材，组织开展地方执法骨干和师资培训。</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县级以上地方人民政府农业农村主管部门应当制定培训计划，组织开展本辖区内执法人员培训。鼓励有条件的地方建设农业综合行政执法实训基地、现场教学基地。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农业综合行政执法人员每年应当接受不少于</w:t>
      </w:r>
      <w:r>
        <w:rPr>
          <w:rFonts w:hint="default" w:ascii="仿宋_GB2312" w:hAnsi="仿宋_GB2312" w:eastAsia="仿宋_GB2312" w:cs="仿宋_GB2312"/>
          <w:i w:val="0"/>
          <w:caps w:val="0"/>
          <w:color w:val="333333"/>
          <w:spacing w:val="0"/>
          <w:sz w:val="32"/>
          <w:szCs w:val="32"/>
          <w:shd w:val="clear" w:fill="FFFFFF"/>
          <w:lang w:val="en-US" w:eastAsia="zh-CN"/>
        </w:rPr>
        <w:t>60</w:t>
      </w:r>
      <w:r>
        <w:rPr>
          <w:rFonts w:hint="eastAsia" w:ascii="仿宋_GB2312" w:hAnsi="仿宋_GB2312" w:eastAsia="仿宋_GB2312" w:cs="仿宋_GB2312"/>
          <w:i w:val="0"/>
          <w:caps w:val="0"/>
          <w:color w:val="333333"/>
          <w:spacing w:val="0"/>
          <w:sz w:val="32"/>
          <w:szCs w:val="32"/>
          <w:shd w:val="clear" w:fill="FFFFFF"/>
          <w:lang w:val="en-US" w:eastAsia="zh-CN"/>
        </w:rPr>
        <w:t>学时的公共法律知识、业务法律知识和执法技能培训。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县级以上人民政府农业农村主管部门应当定期开展执法练兵比武活动，选拔和培养业务水平高、综合素质强的执法办案能手。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农业综合行政执法机构应当建立和实施执法人员定期轮岗制度，培养通专结合、一专多能的执法人才。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县级以上人民政府农业农村主管部门可以根据工作需要，按照规定程序和权限为农业综合行政执法机构配置行政执法辅助人员。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行政执法辅助人员应当在农业综合行政执法机构及执法人员的指导和监督下开展行政执法辅助性工作。禁止辅助人员独立执法。</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执法行为规范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县级以上人民政府农业农村主管部门实施行政处罚及相关执法活动，应当做到事实清楚，证据充分，程序合法，定性准确，适用法律正确，裁量合理，文书规范。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农业综合行政执法人员应当依照法定权限履行行政执法职责，做到严格规范公正文明执法，不得玩忽职守、超越职权、滥用职权。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通过本部门或者本级政府官方网站、公示栏、执法服务窗口等平台，向社会公开行政执法人员、职责、依据、范围、权限、程序等农业行政执法基本信息，并及时根据法律法规及机构职能、执法人员等变化情况进行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农业农村主管部门作出涉及农产品质量安全、农资质量、耕地质量、动植物疫情防控、农机、农业资源生态环境保护、植物新品种权保护等具有一定社会影响的行政处罚决定，应当依法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县级以上人民政府农业农村主管部门应当通过文字、音像等形式，对农业行政执法的启动、调查取证、审核决定、送达执行等全过程进行记录，全面系统归档保存，做到执法全过程留痕和可回溯管理。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查封扣押财产、收缴销毁违法物品产品等直接涉及重大财产权益的现场执法活动，以及调查取证、举行听证、留置送达和公告送达等容易引发争议的行政执法过程，应当全程音像记录。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农业行政执法制作的法律文书、音像等记录资料，应当按照有关法律法规和档案管理规定归档保存。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作出涉及重大公共利益，可能造成重大社会影响或引发社会风险，案件情况疑难复杂、涉及多个法律关系等重大执法决定前，应当依法履行法制审核程序。未经法制审核或者审核未通过的，不得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县级以上地方人民政府农业农村主管部门应当结合本部门行政执法行为类别、执法层级、所属领域、涉案金额等，制定本部门重大执法决定法制审核目录清单。</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农业综合行政执法机构制作农业行政执法文书，应当遵照农业农村部制定的农业行政执法文书制作规范和农业行政执法基本文书格式。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农业行政执法文书的内容应当符合有关法律、法规和规章的规定，做到格式统一、内容完整、表述清楚、逻辑严密、用语规范。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农业农村部可以根据统一和规范全国农业行政执法裁量尺度的需要，针对特定的农业行政处罚事项制定自由裁量权基准。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县级以上地方人民政府农业农村主管部门应当根据法律、法规、规章以及农业农村部规定，制定本辖区农业行政处罚自由裁量权基准，明确裁量标准和适用条件，并向社会公开。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县级以上人民政府农业农村主管部门行使农业行政处罚自由裁量权，应当根据违法行为的事实、性质、情节、社会危害程度等，准确适用行政处罚种类和处罚幅度。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人员开展执法检查、调查取证、采取强制措施和强制执行、送达执法文书等执法时，应当主动出示执法证件，向当事人和相关人员表明身份，并按照规定要求统一着执法服装、佩戴农业执法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农业农村部定期发布农业行政执法指导性案例，规范和统一全国农业综合行政执法法律适用。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县级以上人民政府农业农村主管部门应当及时发布辖区内农业行政执法典型案例，发挥警示和震慑作用。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农业综合行政执法机构应当坚持处罚与教育相结合，按照“谁执法谁普法”的要求，将法治宣传教育融入执法工作全过程。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县级农业综合行政执法人员应当采取包区包片等方式，与农村学法用法示范户建立联系机制。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农业综合行政执法人员依法履行法定职责受法律保护，非因法定事由、非经法定程序，不受处分。任何组织和个人不得阻挠、妨碍农业综合行政执法人员依法执行公务。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农业综合行政执法人员因故意或者重大过失，不履行或者违法履行行政执法职责，造成危害后果或者不良影响的，应当依法承担行政责任。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农业综合行政执法机构及其执法人员应当严格依照法律、法规、规章的要求进行执法，严格遵守下列规定：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（一）不准徇私枉法、庇护违法者；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（二）不准越权执法、违反程序办案；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（三）不准干扰市场主体正常经营活动；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（四）不准利用职务之便为自己和亲友牟利；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（五）不准执法随意、畸轻畸重、以罚代管；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（六）不准作风粗暴。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执法条件保障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县级以上地方人民政府农业农村主管部门应当</w:t>
      </w:r>
      <w:r>
        <w:rPr>
          <w:rFonts w:hint="eastAsia" w:ascii="仿宋_GB2312" w:hAnsi="仿宋_GB2312" w:eastAsia="仿宋_GB2312" w:cs="仿宋_GB2312"/>
          <w:i w:val="0"/>
          <w:caps w:val="0"/>
          <w:color w:val="333333"/>
          <w:spacing w:val="0"/>
          <w:sz w:val="32"/>
          <w:szCs w:val="32"/>
          <w:shd w:val="clear" w:fill="FFFFFF"/>
          <w:lang w:val="en-US" w:eastAsia="zh-CN"/>
        </w:rPr>
        <w:t>落实执法经费财政保障制度，将农业行政执法运行经费、执法装备建设经费、执法抽检经费、罚没物品保管处置经费等纳入部门预算，确保满足执法工作需要。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县级以上人民政府农业农村主管部门应当依托大数据、云计算、人工智能等信息技术手段，加强农业行政执法信息化建设，推进执法数据归集整合、互联互通。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农业综合行政执法机构应当充分利用已有执法信息系统和信息共享平台，全面推行掌上执法、移动执法，实现执法程序网上流转、执法活动网上监督、执法信息网上查询。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县级以上地方人民政府农业农村主管部门应当根据执法工作需要，为农业综合行政执法机构配置执法办公用房和问询室、调解室、听证室、物证室、罚没收缴扣押物品仓库等执法辅助用房。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应当按照党政机关公务用车管理办法、党政机关执法执勤用车配备使用管理办法等有关规定，结合本辖区农业行政执法实际，为农业综合行政执法机构合理配备农业行政执法执勤用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县级以上地方人民政府农业农村主管部门应当按照有关执法装备配备标准为农业综合行政执法机构配备依法履职所需的基础装备、取证设备、应急设备和个人防护设备等执法装备。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县级以上地方人民政府农业农村主管部门内设或所属的农业综合行政执法机构中在编在职执法人员，统一配发农业综合行政执法制式服装和标志。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县级以上地方人民政府农业农村主管部门应当按照综合行政执法制式服装和标志管理办法及有关技术规范配发制式服装和标志，不得自行扩大着装范围和提高发放标准，不得改变制式服装和标志样式。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农业综合行政执法人员应当妥善保管制式服装和标志，辞职、调离或者被辞退、开除的，应当交回所有制式服装和帽徽、臂章、肩章等标志；退休的，应当交回帽徽、臂章、肩章等所有标志。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农业农村部制定、发布全国统一的农业综合行政执法标识。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县级以上地方人民政府农业农村主管部门应当按照农业农村部有关要求，规范使用执法标识，不得随意改变标识的内容、颜色、内部结构及比例。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农业综合行政执法标识所有权归农业农村部所有。未经许可，任何单位和个人不得擅自使用，不得将相同或者近似标识作</w:t>
      </w:r>
      <w:r>
        <w:rPr>
          <w:rFonts w:hint="eastAsia" w:ascii="仿宋_GB2312" w:hAnsi="仿宋_GB2312" w:eastAsia="仿宋_GB2312" w:cs="仿宋_GB2312"/>
          <w:i w:val="0"/>
          <w:caps w:val="0"/>
          <w:color w:val="333333"/>
          <w:spacing w:val="0"/>
          <w:sz w:val="32"/>
          <w:szCs w:val="32"/>
          <w:shd w:val="clear" w:fill="FFFFFF"/>
          <w:lang w:val="en-US" w:eastAsia="zh-CN"/>
        </w:rPr>
        <w:t>为商标注册。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执法监督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上级农业农村部门应当对下级农业农村部门及其农业综合行政执法机构的行政执法工作情况进行监督，及时纠正违法或明显不当的行为。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属于社会影响重大、案情复杂或者可能涉及犯罪的重大违法案件，上级农业农村部门可以采取发函督办、挂牌督办、现场督办等方式，督促下级农业农村部门及其农业综合行政执法机构调查处理。接办案件的农业农村部门及其农业综合行政执法机构应当及时调查处置，并按要求反馈查处进展情况和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县级以上人民政府农业农村主管部门应当建立健全行政执法文书和案卷评查制度，定期开展评查，发布评查结果。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县级以上地方人民政府农业农村主管部门应当定期对本单位农业综合行政执法工作情况进行考核评议。考核评议结果作为农业行政执法人员职级晋升、评优评先的重要依据。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农业综合行政执法机构应当建立行政执法情况统计报送制度，按照农业农村部有关要求，于每年</w:t>
      </w: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月</w:t>
      </w:r>
      <w:r>
        <w:rPr>
          <w:rFonts w:hint="default" w:ascii="仿宋_GB2312" w:hAnsi="仿宋_GB2312" w:eastAsia="仿宋_GB2312" w:cs="仿宋_GB2312"/>
          <w:i w:val="0"/>
          <w:caps w:val="0"/>
          <w:color w:val="333333"/>
          <w:spacing w:val="0"/>
          <w:sz w:val="32"/>
          <w:szCs w:val="32"/>
          <w:shd w:val="clear" w:fill="FFFFFF"/>
          <w:lang w:val="en-US" w:eastAsia="zh-CN"/>
        </w:rPr>
        <w:t>30</w:t>
      </w:r>
      <w:r>
        <w:rPr>
          <w:rFonts w:hint="eastAsia" w:ascii="仿宋_GB2312" w:hAnsi="仿宋_GB2312" w:eastAsia="仿宋_GB2312" w:cs="仿宋_GB2312"/>
          <w:i w:val="0"/>
          <w:caps w:val="0"/>
          <w:color w:val="333333"/>
          <w:spacing w:val="0"/>
          <w:sz w:val="32"/>
          <w:szCs w:val="32"/>
          <w:shd w:val="clear" w:fill="FFFFFF"/>
          <w:lang w:val="en-US" w:eastAsia="zh-CN"/>
        </w:rPr>
        <w:t>日和</w:t>
      </w:r>
      <w:r>
        <w:rPr>
          <w:rFonts w:hint="default"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lang w:val="en-US" w:eastAsia="zh-CN"/>
        </w:rPr>
        <w:t>月</w:t>
      </w:r>
      <w:r>
        <w:rPr>
          <w:rFonts w:hint="default" w:ascii="仿宋_GB2312" w:hAnsi="仿宋_GB2312" w:eastAsia="仿宋_GB2312" w:cs="仿宋_GB2312"/>
          <w:i w:val="0"/>
          <w:caps w:val="0"/>
          <w:color w:val="333333"/>
          <w:spacing w:val="0"/>
          <w:sz w:val="32"/>
          <w:szCs w:val="32"/>
          <w:shd w:val="clear" w:fill="FFFFFF"/>
          <w:lang w:val="en-US" w:eastAsia="zh-CN"/>
        </w:rPr>
        <w:t>31</w:t>
      </w:r>
      <w:r>
        <w:rPr>
          <w:rFonts w:hint="eastAsia" w:ascii="仿宋_GB2312" w:hAnsi="仿宋_GB2312" w:eastAsia="仿宋_GB2312" w:cs="仿宋_GB2312"/>
          <w:i w:val="0"/>
          <w:caps w:val="0"/>
          <w:color w:val="333333"/>
          <w:spacing w:val="0"/>
          <w:sz w:val="32"/>
          <w:szCs w:val="32"/>
          <w:shd w:val="clear" w:fill="FFFFFF"/>
          <w:lang w:val="en-US" w:eastAsia="zh-CN"/>
        </w:rPr>
        <w:t>日前向本级农业农村主管部门和上一级农业综合行政执法机构报送半年、全年执法统计情况。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县级以上地方人民政府农业农村主管部门应当健全群众监督、舆论监督等社会监督机制，对人民群众举报投诉、新闻媒体曝光、有关部门移送的涉农违法案件及时回应，妥善处置。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鼓励县级以上地方人民政府农业农村主管部门会同财政、司法行政等有关部门建立重大违法行为举报奖励机制，结合本地实际对举报奖励范围、标准等予以具体规定，规范发放程序，做好全程监督。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县级以上人民政府农业农村主管部门应当建立领导干部干预执法活动、插手具体案件责任追究制度。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县级以上人民政府农业农村主管部门应当建立健全突发问题预警研判和应急处置机制，及时回应社会关切，提</w:t>
      </w:r>
      <w:r>
        <w:rPr>
          <w:rFonts w:hint="eastAsia" w:ascii="仿宋_GB2312" w:hAnsi="仿宋_GB2312" w:eastAsia="仿宋_GB2312" w:cs="仿宋_GB2312"/>
          <w:i w:val="0"/>
          <w:caps w:val="0"/>
          <w:color w:val="333333"/>
          <w:spacing w:val="0"/>
          <w:sz w:val="32"/>
          <w:szCs w:val="32"/>
          <w:shd w:val="clear" w:fill="FFFFFF"/>
          <w:lang w:val="en-US" w:eastAsia="zh-CN"/>
        </w:rPr>
        <w:t>高风险防范及应对能力。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本办法自</w:t>
      </w:r>
      <w:r>
        <w:rPr>
          <w:rFonts w:hint="default" w:ascii="仿宋_GB2312" w:hAnsi="仿宋_GB2312" w:eastAsia="仿宋_GB2312" w:cs="仿宋_GB2312"/>
          <w:i w:val="0"/>
          <w:caps w:val="0"/>
          <w:color w:val="333333"/>
          <w:spacing w:val="0"/>
          <w:sz w:val="32"/>
          <w:szCs w:val="32"/>
          <w:shd w:val="clear" w:fill="FFFFFF"/>
          <w:lang w:val="en-US" w:eastAsia="zh-CN"/>
        </w:rPr>
        <w:t>2023</w:t>
      </w:r>
      <w:r>
        <w:rPr>
          <w:rFonts w:hint="eastAsia" w:ascii="仿宋_GB2312" w:hAnsi="仿宋_GB2312" w:eastAsia="仿宋_GB2312" w:cs="仿宋_GB2312"/>
          <w:i w:val="0"/>
          <w:caps w:val="0"/>
          <w:color w:val="333333"/>
          <w:spacing w:val="0"/>
          <w:sz w:val="32"/>
          <w:szCs w:val="32"/>
          <w:shd w:val="clear" w:fill="FFFFFF"/>
          <w:lang w:val="en-US" w:eastAsia="zh-CN"/>
        </w:rPr>
        <w:t>年</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月</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日起施行。</w:t>
      </w: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农业农村部发布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农业农村部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Y2IzMmMzN2RmYjgyOTQ1YmRjY2I3NTZlN2ViOGMifQ=="/>
  </w:docVars>
  <w:rsids>
    <w:rsidRoot w:val="00172A27"/>
    <w:rsid w:val="015915B7"/>
    <w:rsid w:val="019E71BD"/>
    <w:rsid w:val="01F91FE5"/>
    <w:rsid w:val="04B679C3"/>
    <w:rsid w:val="080F63D8"/>
    <w:rsid w:val="09341458"/>
    <w:rsid w:val="0B0912D7"/>
    <w:rsid w:val="0B386F97"/>
    <w:rsid w:val="0F5D1260"/>
    <w:rsid w:val="12A44436"/>
    <w:rsid w:val="12A90552"/>
    <w:rsid w:val="152D2DCA"/>
    <w:rsid w:val="19B4308D"/>
    <w:rsid w:val="19C86B39"/>
    <w:rsid w:val="1AA360D0"/>
    <w:rsid w:val="1DEC284C"/>
    <w:rsid w:val="1E6523AC"/>
    <w:rsid w:val="22440422"/>
    <w:rsid w:val="227B5090"/>
    <w:rsid w:val="252E780F"/>
    <w:rsid w:val="2A76186E"/>
    <w:rsid w:val="2D174FF8"/>
    <w:rsid w:val="2E874603"/>
    <w:rsid w:val="307F5FD1"/>
    <w:rsid w:val="31A15F24"/>
    <w:rsid w:val="323D7C6C"/>
    <w:rsid w:val="34A93520"/>
    <w:rsid w:val="395347B5"/>
    <w:rsid w:val="39A232A0"/>
    <w:rsid w:val="39E745AA"/>
    <w:rsid w:val="3B5A6BBB"/>
    <w:rsid w:val="3EDA13A6"/>
    <w:rsid w:val="3FC3686F"/>
    <w:rsid w:val="41BA5215"/>
    <w:rsid w:val="42F058B7"/>
    <w:rsid w:val="436109F6"/>
    <w:rsid w:val="43964600"/>
    <w:rsid w:val="441A38D4"/>
    <w:rsid w:val="49156DF5"/>
    <w:rsid w:val="4BC77339"/>
    <w:rsid w:val="4C9236C5"/>
    <w:rsid w:val="4F83473D"/>
    <w:rsid w:val="505C172E"/>
    <w:rsid w:val="52B0193D"/>
    <w:rsid w:val="52F46F0B"/>
    <w:rsid w:val="530E6C52"/>
    <w:rsid w:val="53D8014D"/>
    <w:rsid w:val="55E064E0"/>
    <w:rsid w:val="5713626C"/>
    <w:rsid w:val="572C6D10"/>
    <w:rsid w:val="5DC34279"/>
    <w:rsid w:val="60164BA2"/>
    <w:rsid w:val="608816D1"/>
    <w:rsid w:val="60EF4E7F"/>
    <w:rsid w:val="614C55DB"/>
    <w:rsid w:val="629F6AAE"/>
    <w:rsid w:val="63366248"/>
    <w:rsid w:val="665233C1"/>
    <w:rsid w:val="6AD9688B"/>
    <w:rsid w:val="6C357F47"/>
    <w:rsid w:val="6D0E3F22"/>
    <w:rsid w:val="6DAF6403"/>
    <w:rsid w:val="6E9D3265"/>
    <w:rsid w:val="6EAF77D6"/>
    <w:rsid w:val="70310109"/>
    <w:rsid w:val="74D53759"/>
    <w:rsid w:val="75ED18A7"/>
    <w:rsid w:val="764A782F"/>
    <w:rsid w:val="7B276391"/>
    <w:rsid w:val="7C9011D9"/>
    <w:rsid w:val="7DC651C5"/>
    <w:rsid w:val="7FBD3842"/>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avjie"/>
    <w:qFormat/>
    <w:uiPriority w:val="0"/>
    <w:pPr>
      <w:widowControl w:val="0"/>
      <w:jc w:val="both"/>
    </w:pPr>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5254</Words>
  <Characters>5273</Characters>
  <Lines>1</Lines>
  <Paragraphs>1</Paragraphs>
  <TotalTime>23</TotalTime>
  <ScaleCrop>false</ScaleCrop>
  <LinksUpToDate>false</LinksUpToDate>
  <CharactersWithSpaces>5349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2022-12-20T01:44:37Z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E4EE1E9FC94140BCAFA36AB1CAF26748</vt:lpwstr>
  </property>
</Properties>
</file>