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val="en-US" w:eastAsia="zh-CN"/>
        </w:rPr>
      </w:pP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eastAsia="zh-CN"/>
        </w:rPr>
        <w:t>附件</w:t>
      </w:r>
      <w:r>
        <w:rPr>
          <w:rFonts w:hint="eastAsia" w:ascii="黑体" w:hAnsi="黑体" w:eastAsia="黑体" w:cs="黑体"/>
          <w:color w:val="auto"/>
          <w:kern w:val="0"/>
          <w:sz w:val="30"/>
          <w:szCs w:val="30"/>
          <w:highlight w:val="none"/>
          <w:lang w:val="en-US" w:eastAsia="zh-CN"/>
        </w:rPr>
        <w:t>6</w:t>
      </w:r>
    </w:p>
    <w:p>
      <w:pPr>
        <w:widowControl/>
        <w:spacing w:line="560" w:lineRule="exact"/>
        <w:jc w:val="center"/>
        <w:rPr>
          <w:rFonts w:hint="eastAsia" w:ascii="华文中宋" w:hAnsi="华文中宋" w:eastAsia="华文中宋" w:cs="宋体"/>
          <w:color w:val="auto"/>
          <w:kern w:val="0"/>
          <w:sz w:val="30"/>
          <w:szCs w:val="30"/>
          <w:highlight w:val="none"/>
        </w:rPr>
      </w:pPr>
    </w:p>
    <w:p>
      <w:pPr>
        <w:widowControl/>
        <w:spacing w:line="560" w:lineRule="exact"/>
        <w:jc w:val="center"/>
        <w:rPr>
          <w:rFonts w:hint="eastAsia" w:ascii="华文中宋" w:hAnsi="华文中宋" w:eastAsia="华文中宋" w:cs="宋体"/>
          <w:color w:val="auto"/>
          <w:kern w:val="0"/>
          <w:sz w:val="30"/>
          <w:szCs w:val="30"/>
          <w:highlight w:val="none"/>
        </w:rPr>
      </w:pPr>
    </w:p>
    <w:p>
      <w:pPr>
        <w:widowControl/>
        <w:spacing w:line="560" w:lineRule="exact"/>
        <w:jc w:val="center"/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0"/>
          <w:sz w:val="36"/>
          <w:szCs w:val="36"/>
          <w:highlight w:val="none"/>
        </w:rPr>
        <w:t>动物防疫等补助经费分配测算方法及标准</w:t>
      </w:r>
    </w:p>
    <w:p>
      <w:pPr>
        <w:widowControl/>
        <w:spacing w:line="560" w:lineRule="exact"/>
        <w:ind w:firstLine="1066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</w:rPr>
        <w:t> </w:t>
      </w:r>
    </w:p>
    <w:p>
      <w:pPr>
        <w:widowControl/>
        <w:spacing w:line="560" w:lineRule="exact"/>
        <w:ind w:firstLine="705"/>
        <w:rPr>
          <w:rFonts w:hint="eastAsia" w:ascii="宋体" w:hAnsi="宋体" w:eastAsia="仿宋_GB2312" w:cs="宋体"/>
          <w:color w:val="auto"/>
          <w:kern w:val="0"/>
          <w:sz w:val="30"/>
          <w:szCs w:val="30"/>
          <w:highlight w:val="none"/>
          <w:lang w:eastAsia="zh-CN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0"/>
          <w:szCs w:val="30"/>
          <w:highlight w:val="none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  <w:t>强制免疫补助。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为指导性任务。根据畜禽饲养量、单个畜禽免疫补助标准、地区补助系数测算，其中强制免疫补助标准和地区补助系数按照有关规定执行。</w:t>
      </w:r>
    </w:p>
    <w:p>
      <w:pPr>
        <w:widowControl/>
        <w:spacing w:line="560" w:lineRule="exact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  <w:t>计算方法：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  <w:highlight w:val="none"/>
        </w:rPr>
        <w:t>补助经费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=∑某类畜禽饲养量×单个畜禽免疫补助标准×地区补助系数</w:t>
      </w:r>
      <w:bookmarkStart w:id="0" w:name="_GoBack"/>
      <w:bookmarkEnd w:id="0"/>
    </w:p>
    <w:p>
      <w:pPr>
        <w:widowControl/>
        <w:spacing w:line="560" w:lineRule="exact"/>
        <w:ind w:firstLine="630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  <w:t> </w:t>
      </w:r>
    </w:p>
    <w:p>
      <w:pPr>
        <w:widowControl/>
        <w:spacing w:line="560" w:lineRule="exact"/>
        <w:ind w:firstLine="630"/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0"/>
          <w:szCs w:val="30"/>
          <w:highlight w:val="none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强制扑杀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lang w:eastAsia="zh-CN"/>
        </w:rPr>
        <w:t>和销毁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补助。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为约束性任务。根据强制扑杀畜禽数量、单个畜禽扑杀补助标准、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销毁的动物产品和相关物品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的实际重量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单种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动物产品和物品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销毁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补助标准、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地区补助系数测算，其中扑杀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lang w:eastAsia="zh-CN"/>
        </w:rPr>
        <w:t>和销毁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补助标准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lang w:eastAsia="zh-CN"/>
        </w:rPr>
        <w:t>、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地区补助系数按照有关规定执行。</w:t>
      </w:r>
    </w:p>
    <w:p>
      <w:pPr>
        <w:widowControl/>
        <w:spacing w:line="560" w:lineRule="exact"/>
        <w:rPr>
          <w:rFonts w:ascii="宋体" w:hAnsi="宋体" w:eastAsia="宋体" w:cs="宋体"/>
          <w:color w:val="auto"/>
          <w:kern w:val="0"/>
          <w:sz w:val="30"/>
          <w:szCs w:val="30"/>
        </w:rPr>
      </w:pP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</w:rPr>
        <w:t>计算方法：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</w:rPr>
        <w:t>补助经费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=∑强制扑杀某类畜禽数量×单个畜禽扑杀补助标准×地区补助系数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lang w:val="en-US" w:eastAsia="zh-CN"/>
        </w:rPr>
        <w:t>+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∑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销毁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某种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动物产品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重量</w:t>
      </w:r>
      <w:r>
        <w:rPr>
          <w:rFonts w:ascii="Arial" w:hAnsi="Arial" w:eastAsia="仿宋_GB2312" w:cs="Arial"/>
          <w:color w:val="auto"/>
          <w:sz w:val="30"/>
          <w:szCs w:val="30"/>
        </w:rPr>
        <w:t>×</w:t>
      </w:r>
      <w:r>
        <w:rPr>
          <w:rFonts w:hint="eastAsia" w:ascii="Arial" w:hAnsi="Arial" w:eastAsia="仿宋_GB2312" w:cs="Arial"/>
          <w:color w:val="auto"/>
          <w:sz w:val="30"/>
          <w:szCs w:val="30"/>
        </w:rPr>
        <w:t>单种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产品销毁补助标准</w:t>
      </w:r>
      <w:r>
        <w:rPr>
          <w:rFonts w:ascii="Arial" w:hAnsi="Arial" w:eastAsia="仿宋_GB2312" w:cs="Arial"/>
          <w:color w:val="auto"/>
          <w:sz w:val="30"/>
          <w:szCs w:val="30"/>
        </w:rPr>
        <w:t>×</w:t>
      </w:r>
      <w:r>
        <w:rPr>
          <w:rFonts w:hint="eastAsia" w:ascii="Arial" w:hAnsi="Arial" w:eastAsia="仿宋_GB2312" w:cs="Arial"/>
          <w:color w:val="auto"/>
          <w:sz w:val="30"/>
          <w:szCs w:val="30"/>
        </w:rPr>
        <w:t>地区补助系数+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</w:rPr>
        <w:t>∑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销毁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  <w:lang w:eastAsia="zh-CN"/>
        </w:rPr>
        <w:t>某种</w:t>
      </w:r>
      <w:r>
        <w:rPr>
          <w:rFonts w:ascii="Times New Roman" w:hAnsi="Times New Roman" w:eastAsia="仿宋_GB2312" w:cs="Times New Roman"/>
          <w:color w:val="auto"/>
          <w:sz w:val="30"/>
          <w:szCs w:val="30"/>
        </w:rPr>
        <w:t>相关物品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重量</w:t>
      </w:r>
      <w:r>
        <w:rPr>
          <w:rFonts w:ascii="Arial" w:hAnsi="Arial" w:eastAsia="仿宋_GB2312" w:cs="Arial"/>
          <w:color w:val="auto"/>
          <w:sz w:val="30"/>
          <w:szCs w:val="30"/>
        </w:rPr>
        <w:t>×</w:t>
      </w:r>
      <w:r>
        <w:rPr>
          <w:rFonts w:hint="eastAsia" w:ascii="Arial" w:hAnsi="Arial" w:eastAsia="仿宋_GB2312" w:cs="Arial"/>
          <w:color w:val="auto"/>
          <w:sz w:val="30"/>
          <w:szCs w:val="30"/>
        </w:rPr>
        <w:t>单种</w:t>
      </w:r>
      <w:r>
        <w:rPr>
          <w:rFonts w:hint="eastAsia" w:ascii="Times New Roman" w:hAnsi="Times New Roman" w:eastAsia="仿宋_GB2312" w:cs="Times New Roman"/>
          <w:color w:val="auto"/>
          <w:sz w:val="30"/>
          <w:szCs w:val="30"/>
        </w:rPr>
        <w:t>物品销毁补助标准</w:t>
      </w:r>
      <w:r>
        <w:rPr>
          <w:rFonts w:ascii="Arial" w:hAnsi="Arial" w:eastAsia="仿宋_GB2312" w:cs="Arial"/>
          <w:color w:val="auto"/>
          <w:sz w:val="30"/>
          <w:szCs w:val="30"/>
        </w:rPr>
        <w:t>×</w:t>
      </w:r>
      <w:r>
        <w:rPr>
          <w:rFonts w:hint="eastAsia" w:ascii="Arial" w:hAnsi="Arial" w:eastAsia="仿宋_GB2312" w:cs="Arial"/>
          <w:color w:val="auto"/>
          <w:sz w:val="30"/>
          <w:szCs w:val="30"/>
        </w:rPr>
        <w:t>地区补助系数</w:t>
      </w:r>
    </w:p>
    <w:p>
      <w:pPr>
        <w:widowControl/>
        <w:spacing w:line="560" w:lineRule="exact"/>
        <w:ind w:firstLine="705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eastAsia="宋体" w:cs="宋体"/>
          <w:color w:val="auto"/>
          <w:kern w:val="0"/>
          <w:sz w:val="30"/>
          <w:szCs w:val="30"/>
          <w:highlight w:val="none"/>
        </w:rPr>
        <w:t> </w:t>
      </w:r>
    </w:p>
    <w:p>
      <w:pPr>
        <w:widowControl/>
        <w:spacing w:line="560" w:lineRule="exact"/>
        <w:ind w:firstLine="705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方正仿宋_GBK" w:hAnsi="方正仿宋_GBK" w:eastAsia="方正仿宋_GBK" w:cs="方正仿宋_GBK"/>
          <w:b/>
          <w:bCs/>
          <w:color w:val="auto"/>
          <w:kern w:val="0"/>
          <w:sz w:val="30"/>
          <w:szCs w:val="30"/>
          <w:highlight w:val="none"/>
          <w:lang w:eastAsia="zh-CN"/>
        </w:rPr>
        <w:t>——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  <w:t>养殖环节无害化处理补助。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为指导性任务。根据基础资源（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%）、政策任务（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>95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%）因素测算，其中基础资源因素包括生猪养殖量等，政策任务因素包括病死猪无害化处理量、专业无害化处理场集中处理数量等。</w:t>
      </w:r>
    </w:p>
    <w:p>
      <w:pPr>
        <w:widowControl/>
        <w:spacing w:line="560" w:lineRule="exact"/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宋体" w:hAnsi="宋体" w:cs="宋体"/>
          <w:b/>
          <w:bCs/>
          <w:color w:val="auto"/>
          <w:kern w:val="0"/>
          <w:sz w:val="30"/>
          <w:szCs w:val="30"/>
          <w:highlight w:val="none"/>
          <w:lang w:val="en-US" w:eastAsia="zh-CN"/>
        </w:rPr>
        <w:t xml:space="preserve">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0"/>
          <w:szCs w:val="30"/>
          <w:highlight w:val="none"/>
        </w:rPr>
        <w:t>计算方法：</w:t>
      </w:r>
      <w:r>
        <w:rPr>
          <w:rFonts w:hint="eastAsia" w:ascii="仿宋_GB2312" w:hAnsi="宋体" w:eastAsia="仿宋_GB2312" w:cs="宋体"/>
          <w:b/>
          <w:bCs/>
          <w:color w:val="auto"/>
          <w:kern w:val="0"/>
          <w:sz w:val="30"/>
          <w:szCs w:val="30"/>
          <w:highlight w:val="none"/>
        </w:rPr>
        <w:t>补助经费=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养殖环节无害化处理补助资金规模×（基础资源因素×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>5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%+政策任务因素×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val="en-US" w:eastAsia="zh-CN"/>
        </w:rPr>
        <w:t>95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%）</w:t>
      </w:r>
    </w:p>
    <w:p>
      <w:pPr>
        <w:widowControl/>
        <w:spacing w:line="560" w:lineRule="exact"/>
        <w:ind w:firstLine="600" w:firstLineChars="200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eastAsia="zh-CN"/>
        </w:rPr>
        <w:t>注：除强制扑杀和销毁补助资金外，其他资金测算原则上应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根据绩效评价结果等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eastAsia="zh-CN"/>
        </w:rPr>
        <w:t>合理设置调节系数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</w:rPr>
        <w:t>进行适当调节</w:t>
      </w:r>
      <w:r>
        <w:rPr>
          <w:rFonts w:hint="eastAsia" w:ascii="仿宋_GB2312" w:hAnsi="宋体" w:eastAsia="仿宋_GB2312" w:cs="宋体"/>
          <w:color w:val="auto"/>
          <w:kern w:val="0"/>
          <w:sz w:val="30"/>
          <w:szCs w:val="30"/>
          <w:highlight w:val="none"/>
          <w:lang w:eastAsia="zh-CN"/>
        </w:rPr>
        <w:t>。</w:t>
      </w:r>
    </w:p>
    <w:p>
      <w:pPr>
        <w:widowControl/>
        <w:spacing w:line="560" w:lineRule="exact"/>
        <w:ind w:firstLine="660"/>
        <w:rPr>
          <w:rFonts w:ascii="仿宋_GB2312" w:hAnsi="宋体" w:eastAsia="仿宋_GB2312" w:cs="宋体"/>
          <w:color w:val="auto"/>
          <w:kern w:val="0"/>
          <w:sz w:val="30"/>
          <w:szCs w:val="30"/>
          <w:highlight w:val="none"/>
        </w:rPr>
      </w:pPr>
    </w:p>
    <w:p>
      <w:pPr>
        <w:widowControl/>
        <w:ind w:firstLine="705"/>
        <w:jc w:val="left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widowControl/>
        <w:ind w:firstLine="705"/>
        <w:jc w:val="left"/>
        <w:rPr>
          <w:rFonts w:hint="eastAsia" w:ascii="Times New Roman" w:hAnsi="Times New Roman" w:eastAsia="仿宋_GB2312" w:cs="Times New Roman"/>
          <w:color w:val="auto"/>
          <w:sz w:val="30"/>
          <w:szCs w:val="30"/>
          <w:highlight w:val="none"/>
        </w:rPr>
      </w:pPr>
    </w:p>
    <w:p>
      <w:pPr>
        <w:widowControl/>
        <w:spacing w:line="560" w:lineRule="exact"/>
        <w:ind w:firstLine="705"/>
        <w:rPr>
          <w:rFonts w:ascii="宋体" w:hAnsi="宋体" w:eastAsia="宋体" w:cs="宋体"/>
          <w:color w:val="auto"/>
          <w:kern w:val="0"/>
          <w:sz w:val="30"/>
          <w:szCs w:val="30"/>
          <w:highlight w:val="none"/>
        </w:rPr>
      </w:pPr>
    </w:p>
    <w:p>
      <w:pPr>
        <w:spacing w:line="560" w:lineRule="exact"/>
        <w:rPr>
          <w:color w:val="auto"/>
          <w:sz w:val="30"/>
          <w:szCs w:val="30"/>
          <w:highlight w:val="none"/>
        </w:rPr>
      </w:pPr>
    </w:p>
    <w:p/>
    <w:sectPr>
      <w:headerReference r:id="rId3" w:type="default"/>
      <w:footerReference r:id="rId5" w:type="default"/>
      <w:head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黑体">
    <w:altName w:val="方正黑体_GBK"/>
    <w:panose1 w:val="02010609060101010101"/>
    <w:charset w:val="00"/>
    <w:family w:val="auto"/>
    <w:pitch w:val="default"/>
    <w:sig w:usb0="800002BF" w:usb1="38CF7CFA" w:usb2="00000016" w:usb3="00000000" w:csb0="00040001" w:csb1="00000000"/>
  </w:font>
  <w:font w:name="华文中宋">
    <w:altName w:val="汉仪中宋简"/>
    <w:panose1 w:val="02010600040101010101"/>
    <w:charset w:val="00"/>
    <w:family w:val="auto"/>
    <w:pitch w:val="default"/>
    <w:sig w:usb0="00000000" w:usb1="00000000" w:usb2="00000000" w:usb3="00000000" w:csb0="0004009F" w:csb1="DFD7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">
    <w:altName w:val="DejaVu Sans"/>
    <w:panose1 w:val="020B0604020202020204"/>
    <w:charset w:val="00"/>
    <w:family w:val="swiss"/>
    <w:pitch w:val="default"/>
    <w:sig w:usb0="E0002AFF" w:usb1="C0007843" w:usb2="00000009" w:usb3="00000000" w:csb0="400001FF" w:csb1="FFFF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汉仪中宋简">
    <w:panose1 w:val="02010600000101010101"/>
    <w:charset w:val="86"/>
    <w:family w:val="auto"/>
    <w:pitch w:val="default"/>
    <w:sig w:usb0="00000001" w:usb1="080E0800" w:usb2="00000002" w:usb3="00000000" w:csb0="00040000" w:csb1="00000000"/>
  </w:font>
  <w:font w:name="方正宋体S-超大字符集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true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none" lIns="0" tIns="0" rIns="0" bIns="0" anchor="t" anchorCtr="false" upright="false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NotDisplayPageBoundaries w:val="true"/>
  <w:bordersDoNotSurroundHeader w:val="true"/>
  <w:bordersDoNotSurroundFooter w:val="true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EAB0813"/>
    <w:rsid w:val="577FA10C"/>
    <w:rsid w:val="57B73B51"/>
    <w:rsid w:val="7F08955F"/>
    <w:rsid w:val="9F7F87C9"/>
    <w:rsid w:val="BFE70218"/>
    <w:rsid w:val="CDFB1331"/>
    <w:rsid w:val="D9CF6BF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Style w:val="4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Office_11.8.2.10422_F1E327BC-269C-435d-A152-05C5408002CA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2014-10-30T12:08:00Z</dcterms:created>
  <dc:creator>Administrator</dc:creator>
  <cp:lastModifiedBy>Admin</cp:lastModifiedBy>
  <dcterms:modified xsi:type="dcterms:W3CDTF">2022-04-19T09:22:13Z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2052-11.8.2.10422</vt:lpwstr>
  </property>
</Properties>
</file>